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4ED" w:rsidRDefault="003254ED" w:rsidP="003254ED">
      <w:pPr>
        <w:jc w:val="both"/>
      </w:pPr>
    </w:p>
    <w:p w:rsidR="003254ED" w:rsidRPr="003254ED" w:rsidRDefault="003254ED" w:rsidP="003254ED">
      <w:pPr>
        <w:spacing w:after="0" w:line="240" w:lineRule="auto"/>
        <w:ind w:left="288"/>
        <w:jc w:val="both"/>
        <w:rPr>
          <w:rFonts w:ascii="Arial" w:hAnsi="Arial" w:cs="Arial"/>
          <w:color w:val="000000"/>
        </w:rPr>
      </w:pPr>
      <w:r w:rsidRPr="003254ED">
        <w:rPr>
          <w:rFonts w:ascii="Arial" w:hAnsi="Arial" w:cs="Arial"/>
          <w:b/>
          <w:color w:val="000000"/>
        </w:rPr>
        <w:t>Figure S1: DENV-2 protease expression plasmid and predicted primary structure of rNS2b-NS3Pro enzyme.</w:t>
      </w:r>
      <w:r w:rsidRPr="003254ED">
        <w:rPr>
          <w:rFonts w:ascii="Arial" w:hAnsi="Arial" w:cs="Arial"/>
          <w:color w:val="000000"/>
        </w:rPr>
        <w:t xml:space="preserve">  (A)  Map of the rNS2b-NS3Pro </w:t>
      </w:r>
      <w:r w:rsidRPr="003254ED">
        <w:rPr>
          <w:rFonts w:ascii="Arial" w:hAnsi="Arial" w:cs="Arial"/>
          <w:i/>
          <w:color w:val="000000"/>
        </w:rPr>
        <w:t>E. coli</w:t>
      </w:r>
      <w:r w:rsidRPr="003254ED">
        <w:rPr>
          <w:rFonts w:ascii="Arial" w:hAnsi="Arial" w:cs="Arial"/>
          <w:color w:val="000000"/>
        </w:rPr>
        <w:t xml:space="preserve"> expression plasmid. The salient features of this plasmid include: the phage T7 promoter (pT7), </w:t>
      </w:r>
      <w:r w:rsidRPr="003254ED">
        <w:rPr>
          <w:rFonts w:ascii="Arial" w:hAnsi="Arial" w:cs="Arial"/>
          <w:i/>
        </w:rPr>
        <w:t>Lac</w:t>
      </w:r>
      <w:r w:rsidRPr="003254ED">
        <w:rPr>
          <w:rFonts w:ascii="Arial" w:hAnsi="Arial" w:cs="Arial"/>
        </w:rPr>
        <w:t xml:space="preserve"> repressor gene </w:t>
      </w:r>
      <w:r w:rsidRPr="003254ED">
        <w:rPr>
          <w:rFonts w:ascii="Arial" w:hAnsi="Arial" w:cs="Arial"/>
          <w:color w:val="000000"/>
        </w:rPr>
        <w:t>(</w:t>
      </w:r>
      <w:r w:rsidRPr="003254ED">
        <w:rPr>
          <w:rFonts w:ascii="Arial" w:hAnsi="Arial" w:cs="Arial"/>
          <w:i/>
        </w:rPr>
        <w:t>Lac I</w:t>
      </w:r>
      <w:r w:rsidRPr="003254ED">
        <w:rPr>
          <w:rFonts w:ascii="Arial" w:hAnsi="Arial" w:cs="Arial"/>
        </w:rPr>
        <w:t xml:space="preserve">), </w:t>
      </w:r>
      <w:proofErr w:type="spellStart"/>
      <w:r w:rsidRPr="003254ED">
        <w:rPr>
          <w:rFonts w:ascii="Arial" w:hAnsi="Arial" w:cs="Arial"/>
        </w:rPr>
        <w:t>Kanamycin</w:t>
      </w:r>
      <w:proofErr w:type="spellEnd"/>
      <w:r w:rsidRPr="003254ED">
        <w:rPr>
          <w:rFonts w:ascii="Arial" w:hAnsi="Arial" w:cs="Arial"/>
        </w:rPr>
        <w:t xml:space="preserve"> marker (</w:t>
      </w:r>
      <w:proofErr w:type="spellStart"/>
      <w:r w:rsidRPr="003254ED">
        <w:rPr>
          <w:rFonts w:ascii="Arial" w:hAnsi="Arial" w:cs="Arial"/>
          <w:i/>
        </w:rPr>
        <w:t>Kan</w:t>
      </w:r>
      <w:r w:rsidRPr="003254ED">
        <w:rPr>
          <w:rFonts w:ascii="Arial" w:hAnsi="Arial" w:cs="Arial"/>
          <w:i/>
          <w:vertAlign w:val="superscript"/>
        </w:rPr>
        <w:t>R</w:t>
      </w:r>
      <w:proofErr w:type="spellEnd"/>
      <w:r w:rsidRPr="003254ED">
        <w:rPr>
          <w:rFonts w:ascii="Arial" w:hAnsi="Arial" w:cs="Arial"/>
        </w:rPr>
        <w:t>) and replication origin sequences (</w:t>
      </w:r>
      <w:proofErr w:type="spellStart"/>
      <w:r w:rsidRPr="003254ED">
        <w:rPr>
          <w:rFonts w:ascii="Arial" w:hAnsi="Arial" w:cs="Arial"/>
          <w:i/>
        </w:rPr>
        <w:t>Ori</w:t>
      </w:r>
      <w:proofErr w:type="spellEnd"/>
      <w:r w:rsidRPr="003254ED">
        <w:rPr>
          <w:rFonts w:ascii="Arial" w:hAnsi="Arial" w:cs="Arial"/>
        </w:rPr>
        <w:t>).</w:t>
      </w:r>
      <w:r w:rsidRPr="003254ED">
        <w:rPr>
          <w:rFonts w:ascii="Arial" w:hAnsi="Arial" w:cs="Arial"/>
          <w:color w:val="000000"/>
          <w:sz w:val="24"/>
          <w:szCs w:val="24"/>
        </w:rPr>
        <w:t xml:space="preserve"> </w:t>
      </w:r>
      <w:r w:rsidRPr="003254ED">
        <w:rPr>
          <w:rFonts w:ascii="Arial" w:hAnsi="Arial" w:cs="Arial"/>
          <w:color w:val="000000"/>
        </w:rPr>
        <w:t xml:space="preserve">The synthetic </w:t>
      </w:r>
      <w:r w:rsidRPr="003254ED">
        <w:rPr>
          <w:rFonts w:ascii="Arial" w:hAnsi="Arial" w:cs="Arial"/>
          <w:i/>
          <w:color w:val="000000"/>
        </w:rPr>
        <w:t xml:space="preserve">NS2b-NS3Pro </w:t>
      </w:r>
      <w:r w:rsidRPr="003254ED">
        <w:rPr>
          <w:rFonts w:ascii="Arial" w:hAnsi="Arial" w:cs="Arial"/>
          <w:color w:val="000000"/>
        </w:rPr>
        <w:t>gene is inserted under the control of pT7. The chimeric gene consists of NS2b-derived sequences encoding the hydrophilic co-factor domain (red box) fused in frame to the protease-encoding domain of NS3 (blue box). These two are fused in frame through a non-cleavable peptide linker encoding sequence (grey box). The white box at the 3’ end denotes sequences encoding 6x His tag.  (B) The amino acid sequence of the protein encoded by the r</w:t>
      </w:r>
      <w:r w:rsidRPr="003254ED">
        <w:rPr>
          <w:rFonts w:ascii="Arial" w:hAnsi="Arial" w:cs="Arial"/>
          <w:i/>
          <w:color w:val="000000"/>
        </w:rPr>
        <w:t>NS2b-NS3</w:t>
      </w:r>
      <w:r w:rsidRPr="003254ED">
        <w:rPr>
          <w:rFonts w:ascii="Arial" w:hAnsi="Arial" w:cs="Arial"/>
          <w:color w:val="000000"/>
        </w:rPr>
        <w:t xml:space="preserve"> gene is shown. The different sequence components are indicated using the same </w:t>
      </w:r>
      <w:proofErr w:type="spellStart"/>
      <w:r w:rsidRPr="003254ED">
        <w:rPr>
          <w:rFonts w:ascii="Arial" w:hAnsi="Arial" w:cs="Arial"/>
          <w:color w:val="000000"/>
        </w:rPr>
        <w:t>colors</w:t>
      </w:r>
      <w:proofErr w:type="spellEnd"/>
      <w:r w:rsidRPr="003254ED">
        <w:rPr>
          <w:rFonts w:ascii="Arial" w:hAnsi="Arial" w:cs="Arial"/>
          <w:color w:val="000000"/>
        </w:rPr>
        <w:t xml:space="preserve"> as shown in panel A.</w:t>
      </w:r>
    </w:p>
    <w:p w:rsidR="003254ED" w:rsidRDefault="003254ED" w:rsidP="003254ED">
      <w:pPr>
        <w:jc w:val="both"/>
      </w:pPr>
      <w:r w:rsidRPr="003254ED">
        <w:rPr>
          <w:noProof/>
          <w:lang w:val="en-US"/>
        </w:rPr>
        <w:drawing>
          <wp:anchor distT="0" distB="0" distL="114300" distR="114300" simplePos="0" relativeHeight="251659264" behindDoc="0" locked="0" layoutInCell="1" allowOverlap="1">
            <wp:simplePos x="1066800" y="5000625"/>
            <wp:positionH relativeFrom="margin">
              <wp:align>center</wp:align>
            </wp:positionH>
            <wp:positionV relativeFrom="margin">
              <wp:align>top</wp:align>
            </wp:positionV>
            <wp:extent cx="5394960" cy="2720791"/>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4960" cy="2720791"/>
                    </a:xfrm>
                    <a:prstGeom prst="rect">
                      <a:avLst/>
                    </a:prstGeom>
                    <a:noFill/>
                    <a:ln>
                      <a:noFill/>
                    </a:ln>
                  </pic:spPr>
                </pic:pic>
              </a:graphicData>
            </a:graphic>
          </wp:anchor>
        </w:drawing>
      </w:r>
    </w:p>
    <w:p w:rsidR="003254ED" w:rsidRDefault="003254ED" w:rsidP="003254ED">
      <w:pPr>
        <w:jc w:val="both"/>
      </w:pPr>
    </w:p>
    <w:p w:rsidR="003254ED" w:rsidRDefault="003254ED" w:rsidP="003254ED">
      <w:pPr>
        <w:jc w:val="both"/>
      </w:pPr>
    </w:p>
    <w:p w:rsidR="003254ED" w:rsidRDefault="003254ED" w:rsidP="003254ED">
      <w:pPr>
        <w:jc w:val="both"/>
      </w:pPr>
    </w:p>
    <w:p w:rsidR="003254ED" w:rsidRDefault="003254ED" w:rsidP="003254ED">
      <w:pPr>
        <w:jc w:val="both"/>
      </w:pPr>
    </w:p>
    <w:p w:rsidR="003254ED" w:rsidRDefault="003254ED" w:rsidP="003254ED">
      <w:pPr>
        <w:jc w:val="both"/>
      </w:pPr>
    </w:p>
    <w:p w:rsidR="003254ED" w:rsidRDefault="003254ED" w:rsidP="003254ED">
      <w:pPr>
        <w:jc w:val="both"/>
      </w:pPr>
    </w:p>
    <w:p w:rsidR="003254ED" w:rsidRDefault="003254ED" w:rsidP="003254ED">
      <w:pPr>
        <w:jc w:val="both"/>
      </w:pPr>
    </w:p>
    <w:p w:rsidR="003254ED" w:rsidRDefault="003254ED" w:rsidP="003254ED">
      <w:pPr>
        <w:jc w:val="both"/>
      </w:pPr>
    </w:p>
    <w:p w:rsidR="003254ED" w:rsidRDefault="003254ED" w:rsidP="003254ED">
      <w:pPr>
        <w:jc w:val="both"/>
      </w:pPr>
    </w:p>
    <w:p w:rsidR="003254ED" w:rsidRDefault="003254ED" w:rsidP="003254ED">
      <w:pPr>
        <w:jc w:val="both"/>
      </w:pPr>
    </w:p>
    <w:p w:rsidR="003254ED" w:rsidRDefault="003254ED" w:rsidP="003254ED">
      <w:pPr>
        <w:jc w:val="both"/>
      </w:pPr>
    </w:p>
    <w:p w:rsidR="003254ED" w:rsidRDefault="003254ED" w:rsidP="003254ED">
      <w:pPr>
        <w:jc w:val="both"/>
      </w:pPr>
    </w:p>
    <w:p w:rsidR="003254ED" w:rsidRDefault="003254ED" w:rsidP="003254ED">
      <w:pPr>
        <w:jc w:val="both"/>
      </w:pPr>
    </w:p>
    <w:p w:rsidR="001C4D14" w:rsidRDefault="001C4D14" w:rsidP="003254ED">
      <w:pPr>
        <w:jc w:val="both"/>
      </w:pPr>
      <w:r w:rsidRPr="001C4D14">
        <w:rPr>
          <w:noProof/>
          <w:lang w:val="en-US"/>
        </w:rPr>
        <w:drawing>
          <wp:inline distT="0" distB="0" distL="0" distR="0">
            <wp:extent cx="5731510" cy="2209664"/>
            <wp:effectExtent l="0" t="0" r="254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2209664"/>
                    </a:xfrm>
                    <a:prstGeom prst="rect">
                      <a:avLst/>
                    </a:prstGeom>
                    <a:noFill/>
                    <a:ln>
                      <a:noFill/>
                    </a:ln>
                  </pic:spPr>
                </pic:pic>
              </a:graphicData>
            </a:graphic>
          </wp:inline>
        </w:drawing>
      </w:r>
    </w:p>
    <w:p w:rsidR="00A817E3" w:rsidRPr="00E6470D" w:rsidRDefault="00A817E3" w:rsidP="00A817E3">
      <w:pPr>
        <w:spacing w:after="0" w:line="240" w:lineRule="auto"/>
        <w:ind w:left="288"/>
        <w:jc w:val="both"/>
        <w:rPr>
          <w:rFonts w:ascii="Arial" w:hAnsi="Arial" w:cs="Arial"/>
          <w:color w:val="000000"/>
        </w:rPr>
      </w:pPr>
      <w:r>
        <w:rPr>
          <w:rFonts w:ascii="Arial" w:hAnsi="Arial" w:cs="Arial"/>
          <w:b/>
          <w:color w:val="000000"/>
        </w:rPr>
        <w:t xml:space="preserve">Figure S2: </w:t>
      </w:r>
      <w:r w:rsidRPr="0097717D">
        <w:rPr>
          <w:rFonts w:ascii="Arial" w:hAnsi="Arial" w:cs="Arial"/>
          <w:b/>
          <w:i/>
          <w:color w:val="000000"/>
        </w:rPr>
        <w:t>E.coli</w:t>
      </w:r>
      <w:r w:rsidRPr="0097717D">
        <w:rPr>
          <w:rFonts w:ascii="Arial" w:hAnsi="Arial" w:cs="Arial"/>
          <w:b/>
          <w:color w:val="000000"/>
        </w:rPr>
        <w:t>-expression of DENV-2 rNS2b-NS3</w:t>
      </w:r>
      <w:r w:rsidR="003360B6">
        <w:rPr>
          <w:rFonts w:ascii="Arial" w:hAnsi="Arial" w:cs="Arial"/>
          <w:b/>
          <w:color w:val="000000"/>
        </w:rPr>
        <w:t>Pro</w:t>
      </w:r>
      <w:r w:rsidRPr="0097717D">
        <w:rPr>
          <w:rFonts w:ascii="Arial" w:hAnsi="Arial" w:cs="Arial"/>
          <w:b/>
          <w:color w:val="000000"/>
        </w:rPr>
        <w:t xml:space="preserve"> and its affinity purification.</w:t>
      </w:r>
      <w:r>
        <w:rPr>
          <w:rFonts w:ascii="Arial" w:hAnsi="Arial" w:cs="Arial"/>
          <w:color w:val="000000"/>
        </w:rPr>
        <w:t xml:space="preserve"> (A) </w:t>
      </w:r>
      <w:r w:rsidRPr="009617F7">
        <w:rPr>
          <w:rFonts w:ascii="Arial" w:hAnsi="Arial" w:cs="Arial"/>
          <w:color w:val="000000"/>
        </w:rPr>
        <w:t>SDS-PAGE analysis of rNS2b-NS3</w:t>
      </w:r>
      <w:r w:rsidR="003360B6">
        <w:rPr>
          <w:rFonts w:ascii="Arial" w:hAnsi="Arial" w:cs="Arial"/>
          <w:color w:val="000000"/>
        </w:rPr>
        <w:t>Pro</w:t>
      </w:r>
      <w:r w:rsidRPr="009617F7">
        <w:rPr>
          <w:rFonts w:ascii="Arial" w:hAnsi="Arial" w:cs="Arial"/>
          <w:color w:val="000000"/>
        </w:rPr>
        <w:t xml:space="preserve"> </w:t>
      </w:r>
      <w:r>
        <w:rPr>
          <w:rFonts w:ascii="Arial" w:hAnsi="Arial" w:cs="Arial"/>
          <w:color w:val="000000"/>
        </w:rPr>
        <w:t>expression following IPTG induction at 30</w:t>
      </w:r>
      <w:r w:rsidRPr="00EB4A26">
        <w:rPr>
          <w:rFonts w:ascii="Arial" w:hAnsi="Arial" w:cs="Arial"/>
          <w:color w:val="000000"/>
          <w:vertAlign w:val="superscript"/>
        </w:rPr>
        <w:t>o</w:t>
      </w:r>
      <w:r>
        <w:rPr>
          <w:rFonts w:ascii="Arial" w:hAnsi="Arial" w:cs="Arial"/>
          <w:color w:val="000000"/>
        </w:rPr>
        <w:t xml:space="preserve">C. </w:t>
      </w:r>
      <w:r w:rsidRPr="009617F7">
        <w:rPr>
          <w:rFonts w:ascii="Arial" w:hAnsi="Arial" w:cs="Arial"/>
          <w:color w:val="000000"/>
        </w:rPr>
        <w:t xml:space="preserve">This panel displays the </w:t>
      </w:r>
      <w:proofErr w:type="spellStart"/>
      <w:r w:rsidRPr="009617F7">
        <w:rPr>
          <w:rFonts w:ascii="Arial" w:hAnsi="Arial" w:cs="Arial"/>
          <w:color w:val="000000"/>
        </w:rPr>
        <w:t>Coomassie</w:t>
      </w:r>
      <w:proofErr w:type="spellEnd"/>
      <w:r w:rsidRPr="009617F7">
        <w:rPr>
          <w:rFonts w:ascii="Arial" w:hAnsi="Arial" w:cs="Arial"/>
          <w:color w:val="000000"/>
        </w:rPr>
        <w:t xml:space="preserve">-stained polypeptide profiles of </w:t>
      </w:r>
      <w:r>
        <w:rPr>
          <w:rFonts w:ascii="Arial" w:hAnsi="Arial" w:cs="Arial"/>
          <w:color w:val="000000"/>
        </w:rPr>
        <w:t>total extracts</w:t>
      </w:r>
      <w:r w:rsidRPr="009617F7">
        <w:rPr>
          <w:rFonts w:ascii="Arial" w:hAnsi="Arial" w:cs="Arial"/>
        </w:rPr>
        <w:t xml:space="preserve"> p</w:t>
      </w:r>
      <w:r>
        <w:rPr>
          <w:rFonts w:ascii="Arial" w:hAnsi="Arial" w:cs="Arial"/>
        </w:rPr>
        <w:t xml:space="preserve">repared from un-induced (U) and </w:t>
      </w:r>
      <w:r w:rsidRPr="009617F7">
        <w:rPr>
          <w:rFonts w:ascii="Arial" w:hAnsi="Arial" w:cs="Arial"/>
        </w:rPr>
        <w:t xml:space="preserve">induced (I) </w:t>
      </w:r>
      <w:r w:rsidRPr="009617F7">
        <w:rPr>
          <w:rFonts w:ascii="Arial" w:hAnsi="Arial" w:cs="Arial"/>
          <w:i/>
        </w:rPr>
        <w:t>E. coli</w:t>
      </w:r>
      <w:r w:rsidRPr="009617F7">
        <w:rPr>
          <w:rFonts w:ascii="Arial" w:hAnsi="Arial" w:cs="Arial"/>
        </w:rPr>
        <w:t xml:space="preserve"> cells </w:t>
      </w:r>
      <w:proofErr w:type="spellStart"/>
      <w:r w:rsidRPr="009617F7">
        <w:rPr>
          <w:rFonts w:ascii="Arial" w:hAnsi="Arial" w:cs="Arial"/>
        </w:rPr>
        <w:t>harboring</w:t>
      </w:r>
      <w:proofErr w:type="spellEnd"/>
      <w:r w:rsidRPr="009617F7">
        <w:rPr>
          <w:rFonts w:ascii="Arial" w:hAnsi="Arial" w:cs="Arial"/>
        </w:rPr>
        <w:t xml:space="preserve"> the plasmid shown in </w:t>
      </w:r>
      <w:r>
        <w:rPr>
          <w:rFonts w:ascii="Arial" w:hAnsi="Arial" w:cs="Arial"/>
        </w:rPr>
        <w:t xml:space="preserve">Figure </w:t>
      </w:r>
      <w:r w:rsidR="003360B6">
        <w:rPr>
          <w:rFonts w:ascii="Arial" w:hAnsi="Arial" w:cs="Arial"/>
        </w:rPr>
        <w:t>S</w:t>
      </w:r>
      <w:r>
        <w:rPr>
          <w:rFonts w:ascii="Arial" w:hAnsi="Arial" w:cs="Arial"/>
        </w:rPr>
        <w:t>1</w:t>
      </w:r>
      <w:r w:rsidRPr="009617F7">
        <w:rPr>
          <w:rFonts w:ascii="Arial" w:hAnsi="Arial" w:cs="Arial"/>
        </w:rPr>
        <w:t xml:space="preserve">A.  </w:t>
      </w:r>
      <w:r>
        <w:rPr>
          <w:rFonts w:ascii="Arial" w:hAnsi="Arial" w:cs="Arial"/>
        </w:rPr>
        <w:t>Lanes ‘P’ and ‘S’ display polypeptide profiles in the pellet and supernatant fractions, respectively, of induced cell extracts. (B) This panel shows poly</w:t>
      </w:r>
      <w:r w:rsidR="003360B6">
        <w:rPr>
          <w:rFonts w:ascii="Arial" w:hAnsi="Arial" w:cs="Arial"/>
        </w:rPr>
        <w:t>peptide profiles obtained from P</w:t>
      </w:r>
      <w:r>
        <w:rPr>
          <w:rFonts w:ascii="Arial" w:hAnsi="Arial" w:cs="Arial"/>
        </w:rPr>
        <w:t xml:space="preserve"> and S fractions of cells induced at 18</w:t>
      </w:r>
      <w:r w:rsidRPr="00EB4A26">
        <w:rPr>
          <w:rFonts w:ascii="Arial" w:hAnsi="Arial" w:cs="Arial"/>
          <w:vertAlign w:val="superscript"/>
        </w:rPr>
        <w:t>o</w:t>
      </w:r>
      <w:r>
        <w:rPr>
          <w:rFonts w:ascii="Arial" w:hAnsi="Arial" w:cs="Arial"/>
        </w:rPr>
        <w:t>C. (C) Native Ni</w:t>
      </w:r>
      <w:r w:rsidRPr="00EB4A26">
        <w:rPr>
          <w:rFonts w:ascii="Arial" w:hAnsi="Arial" w:cs="Arial"/>
          <w:vertAlign w:val="superscript"/>
        </w:rPr>
        <w:t>2+</w:t>
      </w:r>
      <w:r>
        <w:rPr>
          <w:rFonts w:ascii="Arial" w:hAnsi="Arial" w:cs="Arial"/>
        </w:rPr>
        <w:t xml:space="preserve">-NTA affinity purification of NS2b-NS3 from </w:t>
      </w:r>
      <w:r w:rsidRPr="00B0181F">
        <w:rPr>
          <w:rFonts w:ascii="Arial" w:hAnsi="Arial" w:cs="Arial"/>
          <w:i/>
        </w:rPr>
        <w:t>E. coli</w:t>
      </w:r>
      <w:r>
        <w:rPr>
          <w:rFonts w:ascii="Arial" w:hAnsi="Arial" w:cs="Arial"/>
        </w:rPr>
        <w:t xml:space="preserve"> induced at 18</w:t>
      </w:r>
      <w:r w:rsidRPr="00B0181F">
        <w:rPr>
          <w:rFonts w:ascii="Arial" w:hAnsi="Arial" w:cs="Arial"/>
          <w:vertAlign w:val="superscript"/>
        </w:rPr>
        <w:t>o</w:t>
      </w:r>
      <w:r>
        <w:rPr>
          <w:rFonts w:ascii="Arial" w:hAnsi="Arial" w:cs="Arial"/>
        </w:rPr>
        <w:t>C. The panel shows the SDS-PAGE polypeptide profiles at different stages of the purification, which are indicated by the following abbreviations above the lanes: S (supernatant fraction from induced cell lysate), F (flow-through), W (20mM imidazole wash), E</w:t>
      </w:r>
      <w:r w:rsidRPr="00B0181F">
        <w:rPr>
          <w:rFonts w:ascii="Arial" w:hAnsi="Arial" w:cs="Arial"/>
          <w:vertAlign w:val="subscript"/>
        </w:rPr>
        <w:t>1</w:t>
      </w:r>
      <w:r>
        <w:rPr>
          <w:rFonts w:ascii="Arial" w:hAnsi="Arial" w:cs="Arial"/>
        </w:rPr>
        <w:t xml:space="preserve"> to E</w:t>
      </w:r>
      <w:r>
        <w:rPr>
          <w:rFonts w:ascii="Arial" w:hAnsi="Arial" w:cs="Arial"/>
          <w:vertAlign w:val="subscript"/>
        </w:rPr>
        <w:t>5</w:t>
      </w:r>
      <w:r>
        <w:rPr>
          <w:rFonts w:ascii="Arial" w:hAnsi="Arial" w:cs="Arial"/>
        </w:rPr>
        <w:t xml:space="preserve"> (fractions </w:t>
      </w:r>
      <w:r w:rsidR="003360B6">
        <w:rPr>
          <w:rFonts w:ascii="Arial" w:hAnsi="Arial" w:cs="Arial"/>
        </w:rPr>
        <w:t xml:space="preserve">eluted </w:t>
      </w:r>
      <w:r>
        <w:rPr>
          <w:rFonts w:ascii="Arial" w:hAnsi="Arial" w:cs="Arial"/>
        </w:rPr>
        <w:t xml:space="preserve">using 100mM imidazole). Positions of the protein markers are shown to the left of the panel. (D)  </w:t>
      </w:r>
      <w:proofErr w:type="spellStart"/>
      <w:r>
        <w:rPr>
          <w:rFonts w:ascii="Arial" w:hAnsi="Arial" w:cs="Arial"/>
        </w:rPr>
        <w:t>Immunoblot</w:t>
      </w:r>
      <w:proofErr w:type="spellEnd"/>
      <w:r>
        <w:rPr>
          <w:rFonts w:ascii="Arial" w:hAnsi="Arial" w:cs="Arial"/>
        </w:rPr>
        <w:t xml:space="preserve"> analysi</w:t>
      </w:r>
      <w:r w:rsidRPr="009617F7">
        <w:rPr>
          <w:rFonts w:ascii="Arial" w:hAnsi="Arial" w:cs="Arial"/>
        </w:rPr>
        <w:t xml:space="preserve">s of </w:t>
      </w:r>
      <w:r>
        <w:rPr>
          <w:rFonts w:ascii="Arial" w:hAnsi="Arial" w:cs="Arial"/>
        </w:rPr>
        <w:t xml:space="preserve">pooled fractions (r2b-3) from panel C using </w:t>
      </w:r>
      <w:proofErr w:type="spellStart"/>
      <w:r>
        <w:rPr>
          <w:rFonts w:ascii="Arial" w:hAnsi="Arial" w:cs="Arial"/>
        </w:rPr>
        <w:t>penta</w:t>
      </w:r>
      <w:proofErr w:type="spellEnd"/>
      <w:r>
        <w:rPr>
          <w:rFonts w:ascii="Arial" w:hAnsi="Arial" w:cs="Arial"/>
        </w:rPr>
        <w:t xml:space="preserve">-His </w:t>
      </w:r>
      <w:proofErr w:type="spellStart"/>
      <w:r>
        <w:rPr>
          <w:rFonts w:ascii="Arial" w:hAnsi="Arial" w:cs="Arial"/>
        </w:rPr>
        <w:t>mAb</w:t>
      </w:r>
      <w:proofErr w:type="spellEnd"/>
      <w:r>
        <w:rPr>
          <w:rFonts w:ascii="Arial" w:hAnsi="Arial" w:cs="Arial"/>
        </w:rPr>
        <w:t xml:space="preserve">. </w:t>
      </w:r>
      <w:r w:rsidRPr="009617F7">
        <w:rPr>
          <w:rFonts w:ascii="Arial" w:hAnsi="Arial" w:cs="Arial"/>
        </w:rPr>
        <w:t xml:space="preserve">Pre-stained protein size markers were run in lanes marked ‘M’. Their sizes (in </w:t>
      </w:r>
      <w:proofErr w:type="spellStart"/>
      <w:r w:rsidRPr="009617F7">
        <w:rPr>
          <w:rFonts w:ascii="Arial" w:hAnsi="Arial" w:cs="Arial"/>
        </w:rPr>
        <w:t>kDa</w:t>
      </w:r>
      <w:proofErr w:type="spellEnd"/>
      <w:r w:rsidRPr="009617F7">
        <w:rPr>
          <w:rFonts w:ascii="Arial" w:hAnsi="Arial" w:cs="Arial"/>
        </w:rPr>
        <w:t>) are indicat</w:t>
      </w:r>
      <w:r w:rsidR="003360B6">
        <w:rPr>
          <w:rFonts w:ascii="Arial" w:hAnsi="Arial" w:cs="Arial"/>
        </w:rPr>
        <w:t>ed to the left of panel A</w:t>
      </w:r>
      <w:r w:rsidRPr="009617F7">
        <w:rPr>
          <w:rFonts w:ascii="Arial" w:hAnsi="Arial" w:cs="Arial"/>
        </w:rPr>
        <w:t xml:space="preserve">.  The arrow on the right </w:t>
      </w:r>
      <w:r>
        <w:rPr>
          <w:rFonts w:ascii="Arial" w:hAnsi="Arial" w:cs="Arial"/>
        </w:rPr>
        <w:t xml:space="preserve">of each panel </w:t>
      </w:r>
      <w:r w:rsidRPr="009617F7">
        <w:rPr>
          <w:rFonts w:ascii="Arial" w:hAnsi="Arial" w:cs="Arial"/>
        </w:rPr>
        <w:t xml:space="preserve">indicates the position </w:t>
      </w:r>
      <w:r>
        <w:rPr>
          <w:rFonts w:ascii="Arial" w:hAnsi="Arial" w:cs="Arial"/>
        </w:rPr>
        <w:t>of the rNS2b-NS3 protein.</w:t>
      </w:r>
    </w:p>
    <w:p w:rsidR="001C4D14" w:rsidRDefault="001C4D14" w:rsidP="003254ED">
      <w:pPr>
        <w:jc w:val="both"/>
      </w:pPr>
    </w:p>
    <w:p w:rsidR="001C4D14" w:rsidRDefault="001C4D14" w:rsidP="003254ED">
      <w:pPr>
        <w:jc w:val="both"/>
      </w:pPr>
    </w:p>
    <w:p w:rsidR="001C4D14" w:rsidRDefault="001C4D14" w:rsidP="003254ED">
      <w:pPr>
        <w:jc w:val="both"/>
      </w:pPr>
    </w:p>
    <w:p w:rsidR="001C4D14" w:rsidRDefault="001C4D14" w:rsidP="003254ED">
      <w:pPr>
        <w:jc w:val="both"/>
      </w:pPr>
    </w:p>
    <w:p w:rsidR="001C4D14" w:rsidRDefault="001C4D14" w:rsidP="003254ED">
      <w:pPr>
        <w:jc w:val="both"/>
      </w:pPr>
    </w:p>
    <w:p w:rsidR="001C4D14" w:rsidRDefault="001C4D14" w:rsidP="003254ED">
      <w:pPr>
        <w:jc w:val="both"/>
      </w:pPr>
    </w:p>
    <w:p w:rsidR="001C4D14" w:rsidRDefault="001C4D14" w:rsidP="003254ED">
      <w:pPr>
        <w:jc w:val="both"/>
      </w:pPr>
    </w:p>
    <w:p w:rsidR="001C4D14" w:rsidRDefault="001C4D14" w:rsidP="003254ED">
      <w:pPr>
        <w:jc w:val="both"/>
      </w:pPr>
    </w:p>
    <w:p w:rsidR="001C4D14" w:rsidRDefault="001C4D14" w:rsidP="003254ED">
      <w:pPr>
        <w:jc w:val="both"/>
      </w:pPr>
    </w:p>
    <w:p w:rsidR="001C4D14" w:rsidRDefault="001C4D14" w:rsidP="003254ED">
      <w:pPr>
        <w:jc w:val="both"/>
      </w:pPr>
    </w:p>
    <w:p w:rsidR="001C4D14" w:rsidRDefault="001C4D14" w:rsidP="003254ED">
      <w:pPr>
        <w:jc w:val="both"/>
      </w:pPr>
    </w:p>
    <w:p w:rsidR="00576EB4" w:rsidRDefault="00576EB4"/>
    <w:p w:rsidR="007A024D" w:rsidRDefault="007A024D">
      <w:r w:rsidRPr="007A024D">
        <w:rPr>
          <w:noProof/>
          <w:lang w:val="en-US"/>
        </w:rPr>
        <w:drawing>
          <wp:inline distT="0" distB="0" distL="0" distR="0">
            <wp:extent cx="5731510" cy="58978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731510" cy="5897880"/>
                    </a:xfrm>
                    <a:prstGeom prst="rect">
                      <a:avLst/>
                    </a:prstGeom>
                  </pic:spPr>
                </pic:pic>
              </a:graphicData>
            </a:graphic>
          </wp:inline>
        </w:drawing>
      </w:r>
    </w:p>
    <w:p w:rsidR="007A024D" w:rsidRPr="00A817E3" w:rsidRDefault="00EC1070" w:rsidP="007A024D">
      <w:pPr>
        <w:jc w:val="both"/>
        <w:rPr>
          <w:rFonts w:ascii="Arial" w:hAnsi="Arial" w:cs="Arial"/>
        </w:rPr>
      </w:pPr>
      <w:r w:rsidRPr="00A817E3">
        <w:rPr>
          <w:rFonts w:ascii="Arial" w:hAnsi="Arial" w:cs="Arial"/>
          <w:b/>
        </w:rPr>
        <w:t>Figure S3</w:t>
      </w:r>
      <w:r w:rsidR="007A024D" w:rsidRPr="00A817E3">
        <w:rPr>
          <w:rFonts w:ascii="Arial" w:hAnsi="Arial" w:cs="Arial"/>
          <w:b/>
        </w:rPr>
        <w:t xml:space="preserve">: Small molecule inhibitors of cloned DENV-2 NS2b-NS3Pro. </w:t>
      </w:r>
      <w:r w:rsidR="007A024D" w:rsidRPr="00A817E3">
        <w:rPr>
          <w:rFonts w:ascii="Arial" w:hAnsi="Arial" w:cs="Arial"/>
        </w:rPr>
        <w:t xml:space="preserve">Shown to the right of each molecule is the name of the compound, its molecular </w:t>
      </w:r>
      <w:r w:rsidR="00977CED" w:rsidRPr="00A817E3">
        <w:rPr>
          <w:rFonts w:ascii="Arial" w:hAnsi="Arial" w:cs="Arial"/>
        </w:rPr>
        <w:t xml:space="preserve">formula and </w:t>
      </w:r>
      <w:r w:rsidR="007A024D" w:rsidRPr="00A817E3">
        <w:rPr>
          <w:rFonts w:ascii="Arial" w:hAnsi="Arial" w:cs="Arial"/>
        </w:rPr>
        <w:t>weight (in parenthesis) and the DENV-2 protease inhibitory potential (IC</w:t>
      </w:r>
      <w:r w:rsidR="007A024D" w:rsidRPr="00A817E3">
        <w:rPr>
          <w:rFonts w:ascii="Arial" w:hAnsi="Arial" w:cs="Arial"/>
          <w:vertAlign w:val="subscript"/>
        </w:rPr>
        <w:t>50</w:t>
      </w:r>
      <w:r w:rsidR="007A024D" w:rsidRPr="00A817E3">
        <w:rPr>
          <w:rFonts w:ascii="Arial" w:hAnsi="Arial" w:cs="Arial"/>
        </w:rPr>
        <w:t xml:space="preserve"> value). MTT assay showed that at 30µM concentration RB02 was cytotoxic to Vero cells</w:t>
      </w:r>
      <w:r w:rsidR="00570891" w:rsidRPr="00A817E3">
        <w:rPr>
          <w:rFonts w:ascii="Arial" w:hAnsi="Arial" w:cs="Arial"/>
        </w:rPr>
        <w:t xml:space="preserve">, while the remaining three </w:t>
      </w:r>
      <w:r w:rsidR="007A024D" w:rsidRPr="00A817E3">
        <w:rPr>
          <w:rFonts w:ascii="Arial" w:hAnsi="Arial" w:cs="Arial"/>
        </w:rPr>
        <w:t>were not</w:t>
      </w:r>
      <w:r w:rsidR="00570891" w:rsidRPr="00A817E3">
        <w:rPr>
          <w:rFonts w:ascii="Arial" w:hAnsi="Arial" w:cs="Arial"/>
        </w:rPr>
        <w:t>. When these latter molecules were tested for antiviral activity against DENV-2 in infected Vero cells, RA16 was without inhibitory effect</w:t>
      </w:r>
      <w:r w:rsidR="007A024D" w:rsidRPr="00A817E3">
        <w:rPr>
          <w:rFonts w:ascii="Arial" w:hAnsi="Arial" w:cs="Arial"/>
        </w:rPr>
        <w:t xml:space="preserve">, </w:t>
      </w:r>
      <w:r w:rsidR="00570891" w:rsidRPr="00A817E3">
        <w:rPr>
          <w:rFonts w:ascii="Arial" w:hAnsi="Arial" w:cs="Arial"/>
        </w:rPr>
        <w:t xml:space="preserve">presumably because it failed to enter the cells. RA14 and MB21 inhibited DENV-2 by ~30% and ~70% respectively. </w:t>
      </w:r>
    </w:p>
    <w:p w:rsidR="007A024D" w:rsidRDefault="007A024D"/>
    <w:p w:rsidR="00A817E3" w:rsidRDefault="00A817E3">
      <w:r>
        <w:br w:type="page"/>
      </w:r>
    </w:p>
    <w:p w:rsidR="00A817E3" w:rsidRDefault="00A817E3">
      <w:r w:rsidRPr="00A817E3">
        <w:rPr>
          <w:noProof/>
          <w:lang w:val="en-US"/>
        </w:rPr>
        <w:lastRenderedPageBreak/>
        <w:drawing>
          <wp:inline distT="0" distB="0" distL="0" distR="0">
            <wp:extent cx="5731510" cy="274516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2745166"/>
                    </a:xfrm>
                    <a:prstGeom prst="rect">
                      <a:avLst/>
                    </a:prstGeom>
                    <a:noFill/>
                    <a:ln>
                      <a:noFill/>
                    </a:ln>
                  </pic:spPr>
                </pic:pic>
              </a:graphicData>
            </a:graphic>
          </wp:inline>
        </w:drawing>
      </w:r>
    </w:p>
    <w:p w:rsidR="00A817E3" w:rsidRPr="00E6470D" w:rsidRDefault="00A817E3" w:rsidP="00A817E3">
      <w:pPr>
        <w:spacing w:after="0" w:line="240" w:lineRule="auto"/>
        <w:ind w:left="288"/>
        <w:jc w:val="both"/>
        <w:rPr>
          <w:rFonts w:ascii="Arial" w:hAnsi="Arial" w:cs="Arial"/>
          <w:color w:val="000000"/>
          <w:sz w:val="24"/>
          <w:szCs w:val="24"/>
        </w:rPr>
      </w:pPr>
      <w:r>
        <w:rPr>
          <w:rFonts w:ascii="Arial" w:hAnsi="Arial" w:cs="Arial"/>
          <w:b/>
          <w:color w:val="000000"/>
        </w:rPr>
        <w:t>Figure S4</w:t>
      </w:r>
      <w:r w:rsidRPr="00B43921">
        <w:rPr>
          <w:rFonts w:ascii="Arial" w:hAnsi="Arial" w:cs="Arial"/>
          <w:b/>
          <w:color w:val="000000"/>
        </w:rPr>
        <w:t xml:space="preserve">: </w:t>
      </w:r>
      <w:r w:rsidRPr="00B43921">
        <w:rPr>
          <w:rFonts w:ascii="Arial" w:hAnsi="Arial" w:cs="Arial"/>
          <w:b/>
          <w:bCs/>
          <w:iCs/>
          <w:color w:val="000000"/>
        </w:rPr>
        <w:t>The effect of MB21 on DENV replication.</w:t>
      </w:r>
      <w:r>
        <w:rPr>
          <w:rFonts w:ascii="Arial" w:hAnsi="Arial" w:cs="Arial"/>
          <w:iCs/>
          <w:color w:val="000000"/>
        </w:rPr>
        <w:t xml:space="preserve"> Vero cells were infected separately with each of the four DENVs in the presence or absence of </w:t>
      </w:r>
      <w:r w:rsidR="003360B6">
        <w:rPr>
          <w:rFonts w:ascii="Arial" w:hAnsi="Arial" w:cs="Arial"/>
          <w:iCs/>
          <w:color w:val="000000"/>
        </w:rPr>
        <w:t xml:space="preserve">30μM </w:t>
      </w:r>
      <w:r>
        <w:rPr>
          <w:rFonts w:ascii="Arial" w:hAnsi="Arial" w:cs="Arial"/>
          <w:iCs/>
          <w:color w:val="000000"/>
        </w:rPr>
        <w:t>MB21</w:t>
      </w:r>
      <w:bookmarkStart w:id="0" w:name="_GoBack"/>
      <w:bookmarkEnd w:id="0"/>
      <w:r>
        <w:rPr>
          <w:rFonts w:ascii="Arial" w:hAnsi="Arial" w:cs="Arial"/>
          <w:iCs/>
          <w:color w:val="000000"/>
        </w:rPr>
        <w:t>. DENV titers in culture supernatants drawn on day-3 post-infection were determined by standard plaque assay. A. This panel shows a typical plaque assay experiment performed with different dilutions (10</w:t>
      </w:r>
      <w:r w:rsidRPr="009A2CC4">
        <w:rPr>
          <w:rFonts w:ascii="Arial" w:hAnsi="Arial" w:cs="Arial"/>
          <w:iCs/>
          <w:color w:val="000000"/>
          <w:vertAlign w:val="superscript"/>
        </w:rPr>
        <w:t>-2</w:t>
      </w:r>
      <w:r>
        <w:rPr>
          <w:rFonts w:ascii="Arial" w:hAnsi="Arial" w:cs="Arial"/>
          <w:iCs/>
          <w:color w:val="000000"/>
        </w:rPr>
        <w:t xml:space="preserve"> to 10</w:t>
      </w:r>
      <w:r w:rsidRPr="009A2CC4">
        <w:rPr>
          <w:rFonts w:ascii="Arial" w:hAnsi="Arial" w:cs="Arial"/>
          <w:iCs/>
          <w:color w:val="000000"/>
          <w:vertAlign w:val="superscript"/>
        </w:rPr>
        <w:t>-4</w:t>
      </w:r>
      <w:r>
        <w:rPr>
          <w:rFonts w:ascii="Arial" w:hAnsi="Arial" w:cs="Arial"/>
          <w:iCs/>
          <w:color w:val="000000"/>
        </w:rPr>
        <w:t xml:space="preserve">) of supernatants obtained from Vero cell cultures infected with DENV-4 in the absence (VC) or presence of MB21 (MB21). B. Histogram showing the percent inhibition of DENV-1 (D1), DENV-2 (D2), DENV-3 (D3) and DENV-4 (D4)  titers in the presence of MB21 with reference to those in its absence (taken as representing 0% inhibition). Data shown are mean values (n=3). </w:t>
      </w:r>
      <w:r>
        <w:rPr>
          <w:rFonts w:ascii="Arial" w:hAnsi="Arial" w:cs="Arial"/>
          <w:color w:val="000000"/>
        </w:rPr>
        <w:t>The vertical bars represent standard deviation, SD.</w:t>
      </w:r>
    </w:p>
    <w:p w:rsidR="00A817E3" w:rsidRDefault="00A817E3"/>
    <w:p w:rsidR="00A817E3" w:rsidRDefault="00A817E3"/>
    <w:p w:rsidR="00A817E3" w:rsidRDefault="00A817E3"/>
    <w:p w:rsidR="00A817E3" w:rsidRDefault="00A817E3"/>
    <w:p w:rsidR="00A817E3" w:rsidRDefault="00A817E3"/>
    <w:p w:rsidR="00A817E3" w:rsidRDefault="00A817E3"/>
    <w:p w:rsidR="00A817E3" w:rsidRDefault="00A817E3"/>
    <w:p w:rsidR="00A817E3" w:rsidRDefault="00A817E3"/>
    <w:p w:rsidR="00A817E3" w:rsidRDefault="00A817E3"/>
    <w:p w:rsidR="00A817E3" w:rsidRDefault="00A817E3"/>
    <w:p w:rsidR="00A817E3" w:rsidRDefault="00A817E3"/>
    <w:p w:rsidR="00A817E3" w:rsidRDefault="00A817E3"/>
    <w:p w:rsidR="00A817E3" w:rsidRDefault="00A817E3"/>
    <w:p w:rsidR="00A817E3" w:rsidRDefault="00A817E3"/>
    <w:sectPr w:rsidR="00A817E3" w:rsidSect="002D44B7">
      <w:head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7FF" w:rsidRDefault="009047FF" w:rsidP="007A024D">
      <w:pPr>
        <w:spacing w:after="0" w:line="240" w:lineRule="auto"/>
      </w:pPr>
      <w:r>
        <w:separator/>
      </w:r>
    </w:p>
  </w:endnote>
  <w:endnote w:type="continuationSeparator" w:id="0">
    <w:p w:rsidR="009047FF" w:rsidRDefault="009047FF" w:rsidP="007A02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7FF" w:rsidRDefault="009047FF" w:rsidP="007A024D">
      <w:pPr>
        <w:spacing w:after="0" w:line="240" w:lineRule="auto"/>
      </w:pPr>
      <w:r>
        <w:separator/>
      </w:r>
    </w:p>
  </w:footnote>
  <w:footnote w:type="continuationSeparator" w:id="0">
    <w:p w:rsidR="009047FF" w:rsidRDefault="009047FF" w:rsidP="007A02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24D" w:rsidRPr="00560F38" w:rsidRDefault="007A024D" w:rsidP="007A024D">
    <w:pPr>
      <w:spacing w:after="0" w:line="240" w:lineRule="auto"/>
      <w:jc w:val="center"/>
      <w:rPr>
        <w:rFonts w:ascii="Arial" w:hAnsi="Arial" w:cs="Arial"/>
        <w:sz w:val="24"/>
        <w:szCs w:val="24"/>
      </w:rPr>
    </w:pPr>
    <w:r w:rsidRPr="00560F38">
      <w:rPr>
        <w:rFonts w:ascii="Arial" w:hAnsi="Arial" w:cs="Arial"/>
        <w:sz w:val="24"/>
        <w:szCs w:val="24"/>
      </w:rPr>
      <w:t xml:space="preserve">A small molecule </w:t>
    </w:r>
    <w:r>
      <w:rPr>
        <w:rFonts w:ascii="Arial" w:hAnsi="Arial" w:cs="Arial"/>
        <w:sz w:val="24"/>
        <w:szCs w:val="24"/>
      </w:rPr>
      <w:t xml:space="preserve">inhibitor of </w:t>
    </w:r>
    <w:r w:rsidRPr="00560F38">
      <w:rPr>
        <w:rFonts w:ascii="Arial" w:hAnsi="Arial" w:cs="Arial"/>
        <w:sz w:val="24"/>
        <w:szCs w:val="24"/>
      </w:rPr>
      <w:t>dengue virus type 2 protease inhibits the replication of all four dengue virus serotypes</w:t>
    </w:r>
    <w:r>
      <w:rPr>
        <w:rFonts w:ascii="Arial" w:hAnsi="Arial" w:cs="Arial"/>
        <w:sz w:val="24"/>
        <w:szCs w:val="24"/>
      </w:rPr>
      <w:t xml:space="preserve"> in cell culture</w:t>
    </w:r>
  </w:p>
  <w:p w:rsidR="007A024D" w:rsidRDefault="007A024D" w:rsidP="007A024D">
    <w:pPr>
      <w:spacing w:after="0" w:line="240" w:lineRule="auto"/>
      <w:jc w:val="center"/>
      <w:rPr>
        <w:rFonts w:ascii="Arial" w:hAnsi="Arial" w:cs="Arial"/>
      </w:rPr>
    </w:pPr>
  </w:p>
  <w:p w:rsidR="007A024D" w:rsidRPr="00560F38" w:rsidRDefault="007A024D" w:rsidP="007A024D">
    <w:pPr>
      <w:spacing w:after="0" w:line="240" w:lineRule="auto"/>
      <w:jc w:val="center"/>
      <w:rPr>
        <w:rFonts w:ascii="Arial" w:hAnsi="Arial" w:cs="Arial"/>
      </w:rPr>
    </w:pPr>
    <w:proofErr w:type="spellStart"/>
    <w:r w:rsidRPr="00560F38">
      <w:rPr>
        <w:rFonts w:ascii="Arial" w:hAnsi="Arial" w:cs="Arial"/>
      </w:rPr>
      <w:t>Raut</w:t>
    </w:r>
    <w:proofErr w:type="spellEnd"/>
    <w:r w:rsidRPr="00560F38">
      <w:rPr>
        <w:rFonts w:ascii="Arial" w:hAnsi="Arial" w:cs="Arial"/>
      </w:rPr>
      <w:t xml:space="preserve"> </w:t>
    </w:r>
    <w:r w:rsidRPr="00560F38">
      <w:rPr>
        <w:rFonts w:ascii="Arial" w:hAnsi="Arial" w:cs="Arial"/>
        <w:i/>
      </w:rPr>
      <w:t>et al</w:t>
    </w:r>
    <w:r>
      <w:rPr>
        <w:rFonts w:ascii="Arial" w:hAnsi="Arial" w:cs="Arial"/>
      </w:rPr>
      <w:t xml:space="preserve"> (Additional F</w:t>
    </w:r>
    <w:r w:rsidRPr="00560F38">
      <w:rPr>
        <w:rFonts w:ascii="Arial" w:hAnsi="Arial" w:cs="Arial"/>
      </w:rPr>
      <w:t>ile</w:t>
    </w:r>
    <w:r>
      <w:rPr>
        <w:rFonts w:ascii="Arial" w:hAnsi="Arial" w:cs="Arial"/>
      </w:rPr>
      <w:t xml:space="preserve"> 1</w:t>
    </w:r>
    <w:r w:rsidRPr="00560F38">
      <w:rPr>
        <w:rFonts w:ascii="Arial" w:hAnsi="Arial" w:cs="Arial"/>
      </w:rPr>
      <w:t>)</w:t>
    </w:r>
  </w:p>
  <w:p w:rsidR="007A024D" w:rsidRDefault="007A024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A024D"/>
    <w:rsid w:val="001C4D14"/>
    <w:rsid w:val="002D44B7"/>
    <w:rsid w:val="003254ED"/>
    <w:rsid w:val="003360B6"/>
    <w:rsid w:val="00412A1B"/>
    <w:rsid w:val="00494886"/>
    <w:rsid w:val="00570891"/>
    <w:rsid w:val="00576EB4"/>
    <w:rsid w:val="007A024D"/>
    <w:rsid w:val="00803CA3"/>
    <w:rsid w:val="009047FF"/>
    <w:rsid w:val="00977CED"/>
    <w:rsid w:val="00A817E3"/>
    <w:rsid w:val="00BF31CF"/>
    <w:rsid w:val="00EC1070"/>
    <w:rsid w:val="00F5460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4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2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24D"/>
  </w:style>
  <w:style w:type="paragraph" w:styleId="Footer">
    <w:name w:val="footer"/>
    <w:basedOn w:val="Normal"/>
    <w:link w:val="FooterChar"/>
    <w:uiPriority w:val="99"/>
    <w:unhideWhenUsed/>
    <w:rsid w:val="007A02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24D"/>
  </w:style>
  <w:style w:type="paragraph" w:styleId="BalloonText">
    <w:name w:val="Balloon Text"/>
    <w:basedOn w:val="Normal"/>
    <w:link w:val="BalloonTextChar"/>
    <w:uiPriority w:val="99"/>
    <w:semiHidden/>
    <w:unhideWhenUsed/>
    <w:rsid w:val="00F54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603"/>
    <w:rPr>
      <w:rFonts w:ascii="Tahoma" w:hAnsi="Tahoma" w:cs="Tahoma"/>
      <w:sz w:val="16"/>
      <w:szCs w:val="16"/>
    </w:rPr>
  </w:style>
  <w:style w:type="paragraph" w:styleId="NormalWeb">
    <w:name w:val="Normal (Web)"/>
    <w:basedOn w:val="Normal"/>
    <w:uiPriority w:val="99"/>
    <w:semiHidden/>
    <w:unhideWhenUsed/>
    <w:rsid w:val="003254ED"/>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2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24D"/>
  </w:style>
  <w:style w:type="paragraph" w:styleId="Footer">
    <w:name w:val="footer"/>
    <w:basedOn w:val="Normal"/>
    <w:link w:val="FooterChar"/>
    <w:uiPriority w:val="99"/>
    <w:unhideWhenUsed/>
    <w:rsid w:val="007A02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24D"/>
  </w:style>
  <w:style w:type="paragraph" w:styleId="BalloonText">
    <w:name w:val="Balloon Text"/>
    <w:basedOn w:val="Normal"/>
    <w:link w:val="BalloonTextChar"/>
    <w:uiPriority w:val="99"/>
    <w:semiHidden/>
    <w:unhideWhenUsed/>
    <w:rsid w:val="00F54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603"/>
    <w:rPr>
      <w:rFonts w:ascii="Tahoma" w:hAnsi="Tahoma" w:cs="Tahoma"/>
      <w:sz w:val="16"/>
      <w:szCs w:val="16"/>
    </w:rPr>
  </w:style>
  <w:style w:type="paragraph" w:styleId="NormalWeb">
    <w:name w:val="Normal (Web)"/>
    <w:basedOn w:val="Normal"/>
    <w:uiPriority w:val="99"/>
    <w:semiHidden/>
    <w:unhideWhenUsed/>
    <w:rsid w:val="003254ED"/>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IIT Delhi</Company>
  <LinksUpToDate>false</LinksUpToDate>
  <CharactersWithSpaces>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ssn225 Swaminathan</dc:creator>
  <cp:lastModifiedBy>jolano</cp:lastModifiedBy>
  <cp:revision>8</cp:revision>
  <cp:lastPrinted>2014-11-18T05:29:00Z</cp:lastPrinted>
  <dcterms:created xsi:type="dcterms:W3CDTF">2014-11-16T10:02:00Z</dcterms:created>
  <dcterms:modified xsi:type="dcterms:W3CDTF">2015-02-02T13:46:00Z</dcterms:modified>
</cp:coreProperties>
</file>