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color w:val="FF0000"/>
          <w:sz w:val="24"/>
          <w:szCs w:val="24"/>
          <w:shd w:val="clear" w:color="auto" w:fill="FFFFFF"/>
        </w:rPr>
      </w:pPr>
      <w:r>
        <w:rPr>
          <w:rFonts w:hint="eastAsia"/>
          <w:b/>
          <w:bCs/>
          <w:color w:val="FF0000"/>
          <w:sz w:val="24"/>
          <w:szCs w:val="24"/>
          <w:shd w:val="clear" w:color="auto" w:fill="FFFFFF"/>
        </w:rPr>
        <w:t>Supplementary Table 1</w:t>
      </w:r>
      <w:r>
        <w:rPr>
          <w:rFonts w:hint="eastAsia"/>
          <w:b/>
          <w:bCs/>
          <w:color w:val="FF0000"/>
          <w:sz w:val="24"/>
          <w:szCs w:val="24"/>
          <w:shd w:val="clear" w:color="auto" w:fill="FFFFFF"/>
          <w:lang w:val="en-US" w:eastAsia="zh-CN"/>
        </w:rPr>
        <w:t>-2</w:t>
      </w:r>
      <w:r>
        <w:rPr>
          <w:rFonts w:hint="eastAsia"/>
          <w:b/>
          <w:bCs/>
          <w:color w:val="FF0000"/>
          <w:sz w:val="28"/>
          <w:szCs w:val="28"/>
          <w:shd w:val="clear" w:color="auto" w:fill="FFFFFF"/>
        </w:rPr>
        <w:t>.</w:t>
      </w:r>
      <w:r>
        <w:rPr>
          <w:rFonts w:hint="eastAsia"/>
          <w:color w:val="FF0000"/>
          <w:sz w:val="28"/>
          <w:szCs w:val="28"/>
          <w:shd w:val="clear" w:color="auto" w:fill="FFFFFF"/>
        </w:rPr>
        <w:t xml:space="preserve"> </w:t>
      </w:r>
      <w:bookmarkStart w:id="0" w:name="OLE_LINK52"/>
      <w:r>
        <w:rPr>
          <w:rFonts w:hint="eastAsia" w:ascii="Times New Roman" w:hAnsi="Times New Roman" w:eastAsia="Arial Unicode MS" w:cs="Times New Roman"/>
          <w:color w:val="FF0000"/>
          <w:sz w:val="24"/>
          <w:szCs w:val="21"/>
          <w:lang w:val="en-US" w:eastAsia="zh-CN"/>
        </w:rPr>
        <w:t>Enterovirus distribution in other enterovirus-positive H</w:t>
      </w:r>
      <w:r>
        <w:rPr>
          <w:rFonts w:hint="eastAsia" w:ascii="Times New Roman" w:hAnsi="Times New Roman" w:eastAsia="Arial Unicode MS" w:cs="Times New Roman"/>
          <w:color w:val="FF0000"/>
          <w:sz w:val="24"/>
          <w:szCs w:val="21"/>
        </w:rPr>
        <w:t>FMD cases</w:t>
      </w:r>
      <w:bookmarkEnd w:id="0"/>
    </w:p>
    <w:tbl>
      <w:tblPr>
        <w:tblStyle w:val="2"/>
        <w:tblW w:w="4999" w:type="pct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190"/>
        <w:gridCol w:w="848"/>
        <w:gridCol w:w="849"/>
        <w:gridCol w:w="849"/>
        <w:gridCol w:w="849"/>
        <w:gridCol w:w="849"/>
        <w:gridCol w:w="967"/>
        <w:gridCol w:w="967"/>
        <w:gridCol w:w="967"/>
        <w:gridCol w:w="954"/>
        <w:gridCol w:w="954"/>
        <w:gridCol w:w="967"/>
        <w:gridCol w:w="1260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Year</w:t>
            </w:r>
          </w:p>
        </w:tc>
        <w:tc>
          <w:tcPr>
            <w:tcW w:w="452" w:type="pct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No. tested</w:t>
            </w:r>
          </w:p>
        </w:tc>
        <w:tc>
          <w:tcPr>
            <w:tcW w:w="4280" w:type="pct"/>
            <w:gridSpan w:val="1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Enterovirus serotype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452" w:type="pct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CVA2</w:t>
            </w:r>
          </w:p>
        </w:tc>
        <w:tc>
          <w:tcPr>
            <w:tcW w:w="3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CVA4</w:t>
            </w:r>
          </w:p>
        </w:tc>
        <w:tc>
          <w:tcPr>
            <w:tcW w:w="3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CVA5</w:t>
            </w:r>
          </w:p>
        </w:tc>
        <w:tc>
          <w:tcPr>
            <w:tcW w:w="3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CVA6</w:t>
            </w:r>
          </w:p>
        </w:tc>
        <w:tc>
          <w:tcPr>
            <w:tcW w:w="32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CVA8</w:t>
            </w:r>
          </w:p>
        </w:tc>
        <w:tc>
          <w:tcPr>
            <w:tcW w:w="3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CVA10</w:t>
            </w:r>
          </w:p>
        </w:tc>
        <w:tc>
          <w:tcPr>
            <w:tcW w:w="3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CVA12</w:t>
            </w:r>
          </w:p>
        </w:tc>
        <w:tc>
          <w:tcPr>
            <w:tcW w:w="3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CVA14</w:t>
            </w:r>
          </w:p>
        </w:tc>
        <w:tc>
          <w:tcPr>
            <w:tcW w:w="36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HEV-B</w:t>
            </w:r>
          </w:p>
        </w:tc>
        <w:tc>
          <w:tcPr>
            <w:tcW w:w="36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HEV-C</w:t>
            </w:r>
          </w:p>
        </w:tc>
        <w:tc>
          <w:tcPr>
            <w:tcW w:w="3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HEV-D</w:t>
            </w:r>
          </w:p>
        </w:tc>
        <w:tc>
          <w:tcPr>
            <w:tcW w:w="47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Other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EV</w:t>
            </w:r>
            <w:r>
              <w:rPr>
                <w:rFonts w:hint="eastAsia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2013</w:t>
            </w:r>
          </w:p>
        </w:tc>
        <w:tc>
          <w:tcPr>
            <w:tcW w:w="45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550</w:t>
            </w:r>
          </w:p>
        </w:tc>
        <w:tc>
          <w:tcPr>
            <w:tcW w:w="32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2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32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6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6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470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2014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338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2015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1449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2016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472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2017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302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22" w:type="pct"/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2018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774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2" w:type="pct"/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2019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355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22" w:type="pct"/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2020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241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22" w:type="pct"/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2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2021</w:t>
            </w:r>
          </w:p>
        </w:tc>
        <w:tc>
          <w:tcPr>
            <w:tcW w:w="45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  <w:t>815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2" w:type="pct"/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2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FF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62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color w:val="FF0000"/>
                <w:lang w:val="en-US" w:eastAsia="zh-CN" w:bidi="ar"/>
              </w:rPr>
              <w:t>-</w:t>
            </w:r>
          </w:p>
        </w:tc>
        <w:tc>
          <w:tcPr>
            <w:tcW w:w="470" w:type="pc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</w:tbl>
    <w:p>
      <w:pPr>
        <w:spacing w:line="360" w:lineRule="auto"/>
        <w:rPr>
          <w:rFonts w:hint="eastAsia" w:eastAsia="宋体"/>
          <w:color w:val="FF0000"/>
          <w:sz w:val="22"/>
          <w:szCs w:val="22"/>
          <w:shd w:val="clear" w:color="auto" w:fill="FFFFFF"/>
          <w:lang w:val="en-US" w:eastAsia="zh-CN"/>
        </w:rPr>
        <w:sectPr>
          <w:pgSz w:w="15840" w:h="12240" w:orient="landscape"/>
          <w:pgMar w:top="1800" w:right="1440" w:bottom="1800" w:left="1440" w:header="720" w:footer="720" w:gutter="0"/>
          <w:lnNumType w:countBy="1" w:distance="360" w:restart="continuous"/>
          <w:cols w:space="720" w:num="1"/>
          <w:docGrid w:type="lines" w:linePitch="312" w:charSpace="0"/>
        </w:sectPr>
      </w:pPr>
      <w:r>
        <w:rPr>
          <w:rFonts w:hint="eastAsia"/>
          <w:color w:val="FF0000"/>
          <w:sz w:val="22"/>
          <w:szCs w:val="22"/>
          <w:shd w:val="clear" w:color="auto" w:fill="FFFFFF"/>
          <w:lang w:val="en-US" w:eastAsia="zh-CN"/>
        </w:rPr>
        <w:t>O</w:t>
      </w:r>
      <w:r>
        <w:rPr>
          <w:rFonts w:hint="eastAsia"/>
          <w:color w:val="FF0000"/>
          <w:sz w:val="22"/>
          <w:szCs w:val="22"/>
          <w:shd w:val="clear" w:color="auto" w:fill="FFFFFF"/>
        </w:rPr>
        <w:t xml:space="preserve">ther enterovirus-positive HFMD cases </w:t>
      </w:r>
      <w:r>
        <w:rPr>
          <w:rFonts w:hint="eastAsia"/>
          <w:color w:val="FF0000"/>
          <w:sz w:val="22"/>
          <w:szCs w:val="22"/>
          <w:shd w:val="clear" w:color="auto" w:fill="FFFFFF"/>
          <w:lang w:val="en-US" w:eastAsia="zh-CN"/>
        </w:rPr>
        <w:t xml:space="preserve">mean </w:t>
      </w:r>
      <w:r>
        <w:rPr>
          <w:rFonts w:hint="eastAsia"/>
          <w:color w:val="FF0000"/>
          <w:sz w:val="22"/>
          <w:szCs w:val="22"/>
          <w:shd w:val="clear" w:color="auto" w:fill="FFFFFF"/>
        </w:rPr>
        <w:t>non-EVA71 and non-CVA16 in 2013-2016</w:t>
      </w:r>
      <w:r>
        <w:rPr>
          <w:rFonts w:hint="eastAsia"/>
          <w:color w:val="FF0000"/>
          <w:sz w:val="22"/>
          <w:szCs w:val="22"/>
          <w:shd w:val="clear" w:color="auto" w:fill="FFFFFF"/>
          <w:lang w:val="en-US" w:eastAsia="zh-CN"/>
        </w:rPr>
        <w:t xml:space="preserve"> and </w:t>
      </w:r>
      <w:r>
        <w:rPr>
          <w:rFonts w:hint="eastAsia"/>
          <w:color w:val="FF0000"/>
          <w:sz w:val="22"/>
          <w:szCs w:val="22"/>
          <w:shd w:val="clear" w:color="auto" w:fill="FFFFFF"/>
        </w:rPr>
        <w:t>non-EVA71, non-CVA16 and non-CVA6 HFMD cases in 2017-2021</w:t>
      </w:r>
      <w:r>
        <w:rPr>
          <w:rFonts w:hint="eastAsia"/>
          <w:color w:val="FF0000"/>
          <w:sz w:val="22"/>
          <w:szCs w:val="22"/>
          <w:shd w:val="clear" w:color="auto" w:fill="FFFFFF"/>
          <w:lang w:val="en-US" w:eastAsia="zh-CN"/>
        </w:rPr>
        <w:t>.</w:t>
      </w:r>
      <w:bookmarkStart w:id="1" w:name="_GoBack"/>
      <w:bookmarkEnd w:id="1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YTI0MjY4NTljZGU0Y2JlOTJhODQxNDljOWMxYTMifQ=="/>
  </w:docVars>
  <w:rsids>
    <w:rsidRoot w:val="00000000"/>
    <w:rsid w:val="0293039B"/>
    <w:rsid w:val="0F8568E2"/>
    <w:rsid w:val="17DE1748"/>
    <w:rsid w:val="19F67576"/>
    <w:rsid w:val="34CF26B1"/>
    <w:rsid w:val="489B24D8"/>
    <w:rsid w:val="58210A23"/>
    <w:rsid w:val="5C341C79"/>
    <w:rsid w:val="774340F0"/>
    <w:rsid w:val="7F4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2024-01-06T07:20:00Z</dcterms:created>
  <dc:creator>98289</dc:creator>
  <cp:lastModifiedBy>lululululu</cp:lastModifiedBy>
  <dcterms:modified xsi:type="dcterms:W3CDTF">2024-04-18T08:23:29Z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9FBBE95C07C5415AAC3368A121A7CE3F_13</vt:lpwstr>
  </property>
</Properties>
</file>