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51F57" w14:textId="77777777" w:rsidR="00C27DBE" w:rsidRPr="007D0AE7" w:rsidRDefault="00C27DBE" w:rsidP="00C27DBE">
      <w:pPr>
        <w:spacing w:line="360" w:lineRule="auto"/>
        <w:jc w:val="both"/>
        <w:rPr>
          <w:rFonts w:ascii="Times New Roman" w:hAnsi="Times New Roman" w:cs="Times New Roman"/>
          <w:b/>
          <w:bCs/>
          <w:sz w:val="24"/>
          <w:szCs w:val="24"/>
          <w:lang w:val="en-GB"/>
        </w:rPr>
      </w:pPr>
      <w:bookmarkStart w:id="0" w:name="_Hlk181183802"/>
      <w:r w:rsidRPr="007D0AE7">
        <w:rPr>
          <w:rFonts w:ascii="Times New Roman" w:hAnsi="Times New Roman" w:cs="Times New Roman"/>
          <w:b/>
          <w:bCs/>
          <w:sz w:val="24"/>
          <w:szCs w:val="24"/>
          <w:lang w:val="en-GB"/>
        </w:rPr>
        <w:t xml:space="preserve">Supplementary Methods </w:t>
      </w:r>
    </w:p>
    <w:p w14:paraId="5F8FEC73" w14:textId="77777777" w:rsidR="00C27DBE" w:rsidRPr="007D0AE7" w:rsidRDefault="00C27DBE" w:rsidP="00C27DBE">
      <w:pPr>
        <w:spacing w:line="360" w:lineRule="auto"/>
        <w:jc w:val="both"/>
        <w:rPr>
          <w:rFonts w:ascii="Times New Roman" w:hAnsi="Times New Roman" w:cs="Times New Roman"/>
          <w:b/>
          <w:bCs/>
          <w:sz w:val="24"/>
          <w:szCs w:val="24"/>
          <w:lang w:val="en-GB"/>
        </w:rPr>
      </w:pPr>
      <w:r w:rsidRPr="007D0AE7">
        <w:rPr>
          <w:rFonts w:ascii="Times New Roman" w:hAnsi="Times New Roman" w:cs="Times New Roman"/>
          <w:b/>
          <w:bCs/>
          <w:sz w:val="24"/>
          <w:szCs w:val="24"/>
          <w:lang w:val="en-GB"/>
        </w:rPr>
        <w:t>HIV Testing at ART Clinics</w:t>
      </w:r>
    </w:p>
    <w:p w14:paraId="2F6ED930" w14:textId="77777777" w:rsidR="00C27DBE" w:rsidRPr="007D0AE7" w:rsidRDefault="00C27DBE" w:rsidP="00C27DBE">
      <w:pPr>
        <w:spacing w:line="360" w:lineRule="auto"/>
        <w:jc w:val="both"/>
        <w:rPr>
          <w:rFonts w:ascii="Times New Roman" w:hAnsi="Times New Roman" w:cs="Times New Roman"/>
          <w:sz w:val="24"/>
          <w:szCs w:val="24"/>
          <w:lang w:val="en-GB"/>
        </w:rPr>
      </w:pPr>
      <w:r w:rsidRPr="007D0AE7">
        <w:rPr>
          <w:rFonts w:ascii="Times New Roman" w:hAnsi="Times New Roman" w:cs="Times New Roman"/>
          <w:sz w:val="24"/>
          <w:szCs w:val="24"/>
          <w:lang w:val="en-GB"/>
        </w:rPr>
        <w:t xml:space="preserve">To determine the sero-status of participants, the testing algorithm adopted in Ghana which is based on WHO recommendations for testing in population with low prevalence of HIV was used </w:t>
      </w:r>
      <w:r w:rsidRPr="007D0AE7">
        <w:rPr>
          <w:rFonts w:ascii="Times New Roman" w:hAnsi="Times New Roman" w:cs="Times New Roman"/>
          <w:sz w:val="24"/>
          <w:szCs w:val="24"/>
          <w:lang w:val="en-GB"/>
        </w:rPr>
        <w:fldChar w:fldCharType="begin"/>
      </w:r>
      <w:r w:rsidRPr="007D0AE7">
        <w:rPr>
          <w:rFonts w:ascii="Times New Roman" w:hAnsi="Times New Roman" w:cs="Times New Roman"/>
          <w:sz w:val="24"/>
          <w:szCs w:val="24"/>
          <w:lang w:val="en-GB"/>
        </w:rPr>
        <w:instrText xml:space="preserve"> ADDIN EN.CITE &lt;EndNote&gt;&lt;Cite&gt;&lt;Author&gt;World Health Organization&lt;/Author&gt;&lt;Year&gt;2020&lt;/Year&gt;&lt;RecNum&gt;134&lt;/RecNum&gt;&lt;DisplayText&gt;(10)&lt;/DisplayText&gt;&lt;record&gt;&lt;rec-number&gt;134&lt;/rec-number&gt;&lt;foreign-keys&gt;&lt;key app="EN" db-id="pwftt529rzxevye5t0a5fwv9rr9wftvx5zet" timestamp="1702143522" guid="a0b78c55-b25d-45e6-90cc-0e47e854e881"&gt;134&lt;/key&gt;&lt;/foreign-keys&gt;&lt;ref-type name="Book Section"&gt;5&lt;/ref-type&gt;&lt;contributors&gt;&lt;authors&gt;&lt;author&gt;World Health Organization,&lt;/author&gt;&lt;/authors&gt;&lt;/contributors&gt;&lt;titles&gt;&lt;title&gt;Consolidated guidelines on HIV testing services, 2019&lt;/title&gt;&lt;secondary-title&gt;Consolidated guidelines on HIV testing services, 2019&lt;/secondary-title&gt;&lt;/titles&gt;&lt;dates&gt;&lt;year&gt;2020&lt;/year&gt;&lt;/dates&gt;&lt;urls&gt;&lt;/urls&gt;&lt;/record&gt;&lt;/Cite&gt;&lt;/EndNote&gt;</w:instrText>
      </w:r>
      <w:r w:rsidRPr="007D0AE7">
        <w:rPr>
          <w:rFonts w:ascii="Times New Roman" w:hAnsi="Times New Roman" w:cs="Times New Roman"/>
          <w:sz w:val="24"/>
          <w:szCs w:val="24"/>
          <w:lang w:val="en-GB"/>
        </w:rPr>
        <w:fldChar w:fldCharType="separate"/>
      </w:r>
      <w:r w:rsidRPr="007D0AE7">
        <w:rPr>
          <w:rFonts w:ascii="Times New Roman" w:hAnsi="Times New Roman" w:cs="Times New Roman"/>
          <w:noProof/>
          <w:sz w:val="24"/>
          <w:szCs w:val="24"/>
          <w:lang w:val="en-GB"/>
        </w:rPr>
        <w:t>(10)</w:t>
      </w:r>
      <w:r w:rsidRPr="007D0AE7">
        <w:rPr>
          <w:rFonts w:ascii="Times New Roman" w:hAnsi="Times New Roman" w:cs="Times New Roman"/>
          <w:sz w:val="24"/>
          <w:szCs w:val="24"/>
          <w:lang w:val="en-GB"/>
        </w:rPr>
        <w:fldChar w:fldCharType="end"/>
      </w:r>
      <w:r w:rsidRPr="007D0AE7">
        <w:rPr>
          <w:rFonts w:ascii="Times New Roman" w:hAnsi="Times New Roman" w:cs="Times New Roman"/>
          <w:sz w:val="24"/>
          <w:szCs w:val="24"/>
          <w:lang w:val="en-GB"/>
        </w:rPr>
        <w:t xml:space="preserve">. This required the use of three different rapid diagnostics test (RDTs) kits. First Response HIV 1&amp;2 (Premier Medical Corporation Private Limited, India) being the first test kit, Oraquick HIV 1&amp;2 (OraSure Technologies, Inc, USA) as the second test kit and SD Bioline HIV 1&amp;2 (Abbott Diagnostics Scarborough, Inc., USA) as the third test for the general population </w:t>
      </w:r>
      <w:r w:rsidRPr="007D0AE7">
        <w:rPr>
          <w:rFonts w:ascii="Times New Roman" w:hAnsi="Times New Roman" w:cs="Times New Roman"/>
          <w:sz w:val="24"/>
          <w:szCs w:val="24"/>
          <w:lang w:val="en-GB"/>
        </w:rPr>
        <w:fldChar w:fldCharType="begin"/>
      </w:r>
      <w:r w:rsidRPr="007D0AE7">
        <w:rPr>
          <w:rFonts w:ascii="Times New Roman" w:hAnsi="Times New Roman" w:cs="Times New Roman"/>
          <w:sz w:val="24"/>
          <w:szCs w:val="24"/>
          <w:lang w:val="en-GB"/>
        </w:rPr>
        <w:instrText xml:space="preserve"> ADDIN EN.CITE &lt;EndNote&gt;&lt;Cite&gt;&lt;Author&gt;Ghana Health Service&lt;/Author&gt;&lt;Year&gt;2019&lt;/Year&gt;&lt;RecNum&gt;148&lt;/RecNum&gt;&lt;DisplayText&gt;(9, 10)&lt;/DisplayText&gt;&lt;record&gt;&lt;rec-number&gt;148&lt;/rec-number&gt;&lt;foreign-keys&gt;&lt;key app="EN" db-id="pwftt529rzxevye5t0a5fwv9rr9wftvx5zet" timestamp="1714693093" guid="3ba0bc28-ba43-4bc7-bc03-79699fa5784d"&gt;148&lt;/key&gt;&lt;/foreign-keys&gt;&lt;ref-type name="Government Document"&gt;46&lt;/ref-type&gt;&lt;contributors&gt;&lt;authors&gt;&lt;author&gt;Ghana Health Service,&lt;/author&gt;&lt;/authors&gt;&lt;/contributors&gt;&lt;titles&gt;&lt;title&gt;Consolidated guidelines for HIV care in Ghana&lt;/title&gt;&lt;/titles&gt;&lt;dates&gt;&lt;year&gt;2019&lt;/year&gt;&lt;/dates&gt;&lt;urls&gt;&lt;related-urls&gt;&lt;url&gt;https://ghs.gov.gh/wp-content/uploads/2022/10/Consolidated-HIV-Guidelines.pdf&lt;/url&gt;&lt;/related-urls&gt;&lt;/urls&gt;&lt;custom1&gt;National AIDS/STI Control Programme&lt;/custom1&gt;&lt;/record&gt;&lt;/Cite&gt;&lt;Cite&gt;&lt;Author&gt;World Health Organization&lt;/Author&gt;&lt;Year&gt;2020&lt;/Year&gt;&lt;RecNum&gt;134&lt;/RecNum&gt;&lt;record&gt;&lt;rec-number&gt;134&lt;/rec-number&gt;&lt;foreign-keys&gt;&lt;key app="EN" db-id="pwftt529rzxevye5t0a5fwv9rr9wftvx5zet" timestamp="1702143522" guid="a0b78c55-b25d-45e6-90cc-0e47e854e881"&gt;134&lt;/key&gt;&lt;/foreign-keys&gt;&lt;ref-type name="Book Section"&gt;5&lt;/ref-type&gt;&lt;contributors&gt;&lt;authors&gt;&lt;author&gt;World Health Organization,&lt;/author&gt;&lt;/authors&gt;&lt;/contributors&gt;&lt;titles&gt;&lt;title&gt;Consolidated guidelines on HIV testing services, 2019&lt;/title&gt;&lt;secondary-title&gt;Consolidated guidelines on HIV testing services, 2019&lt;/secondary-title&gt;&lt;/titles&gt;&lt;dates&gt;&lt;year&gt;2020&lt;/year&gt;&lt;/dates&gt;&lt;urls&gt;&lt;/urls&gt;&lt;/record&gt;&lt;/Cite&gt;&lt;/EndNote&gt;</w:instrText>
      </w:r>
      <w:r w:rsidRPr="007D0AE7">
        <w:rPr>
          <w:rFonts w:ascii="Times New Roman" w:hAnsi="Times New Roman" w:cs="Times New Roman"/>
          <w:sz w:val="24"/>
          <w:szCs w:val="24"/>
          <w:lang w:val="en-GB"/>
        </w:rPr>
        <w:fldChar w:fldCharType="separate"/>
      </w:r>
      <w:r w:rsidRPr="007D0AE7">
        <w:rPr>
          <w:rFonts w:ascii="Times New Roman" w:hAnsi="Times New Roman" w:cs="Times New Roman"/>
          <w:noProof/>
          <w:sz w:val="24"/>
          <w:szCs w:val="24"/>
          <w:lang w:val="en-GB"/>
        </w:rPr>
        <w:t>(9, 10)</w:t>
      </w:r>
      <w:r w:rsidRPr="007D0AE7">
        <w:rPr>
          <w:rFonts w:ascii="Times New Roman" w:hAnsi="Times New Roman" w:cs="Times New Roman"/>
          <w:sz w:val="24"/>
          <w:szCs w:val="24"/>
          <w:lang w:val="en-GB"/>
        </w:rPr>
        <w:fldChar w:fldCharType="end"/>
      </w:r>
      <w:r w:rsidRPr="007D0AE7">
        <w:rPr>
          <w:rFonts w:ascii="Times New Roman" w:hAnsi="Times New Roman" w:cs="Times New Roman"/>
          <w:sz w:val="24"/>
          <w:szCs w:val="24"/>
          <w:lang w:val="en-GB"/>
        </w:rPr>
        <w:t>. Persons who are positive for all the three RDTs were classified as sero-positive.</w:t>
      </w:r>
    </w:p>
    <w:p w14:paraId="4A8ECCDF" w14:textId="77777777" w:rsidR="00C27DBE" w:rsidRPr="007D0AE7" w:rsidRDefault="00C27DBE" w:rsidP="00C27DBE">
      <w:pPr>
        <w:spacing w:line="360" w:lineRule="auto"/>
        <w:jc w:val="both"/>
        <w:rPr>
          <w:rFonts w:ascii="Times New Roman" w:hAnsi="Times New Roman" w:cs="Times New Roman"/>
          <w:b/>
          <w:bCs/>
          <w:sz w:val="24"/>
          <w:szCs w:val="24"/>
          <w:lang w:val="en-GB"/>
        </w:rPr>
      </w:pPr>
      <w:r w:rsidRPr="007D0AE7">
        <w:rPr>
          <w:rFonts w:ascii="Times New Roman" w:hAnsi="Times New Roman" w:cs="Times New Roman"/>
          <w:b/>
          <w:bCs/>
          <w:sz w:val="24"/>
          <w:szCs w:val="24"/>
          <w:lang w:val="en-GB"/>
        </w:rPr>
        <w:t>Antiretroviral therapy initiation</w:t>
      </w:r>
    </w:p>
    <w:p w14:paraId="635656F5" w14:textId="77777777" w:rsidR="00C27DBE" w:rsidRPr="007D0AE7" w:rsidRDefault="00C27DBE" w:rsidP="00C27DBE">
      <w:pPr>
        <w:spacing w:line="360" w:lineRule="auto"/>
        <w:jc w:val="both"/>
        <w:rPr>
          <w:rFonts w:ascii="Times New Roman" w:hAnsi="Times New Roman" w:cs="Times New Roman"/>
          <w:sz w:val="24"/>
          <w:szCs w:val="24"/>
          <w:lang w:val="en-GB"/>
        </w:rPr>
      </w:pPr>
      <w:r w:rsidRPr="007D0AE7">
        <w:rPr>
          <w:rFonts w:ascii="Times New Roman" w:hAnsi="Times New Roman" w:cs="Times New Roman"/>
          <w:sz w:val="24"/>
          <w:szCs w:val="24"/>
          <w:lang w:val="en-GB"/>
        </w:rPr>
        <w:t xml:space="preserve">Participants clinical care was not interrupted during this research. All participants were put on Fixed Dose Combinations (FDC) as per recommended guideline for first line ART in Ghana. The first line regimen is made up of Tenofovir (TDF) + Lamivudine (3TC) (or Emtricitabine (FTC)) + Dolutegravir (DTG), where virologic failure is confirmed with viral load, a second line regimen made up of Zidovudine (AZT/ZDV) + Lamivudine (3TC) (or Emtricitabine (FTC)) + Lopinavir/r (LPV/r) (or Atazanavir/r, ATV/r) were used </w:t>
      </w:r>
      <w:r w:rsidRPr="007D0AE7">
        <w:rPr>
          <w:rFonts w:ascii="Times New Roman" w:hAnsi="Times New Roman" w:cs="Times New Roman"/>
          <w:sz w:val="24"/>
          <w:szCs w:val="24"/>
          <w:lang w:val="en-GB"/>
        </w:rPr>
        <w:fldChar w:fldCharType="begin"/>
      </w:r>
      <w:r w:rsidRPr="007D0AE7">
        <w:rPr>
          <w:rFonts w:ascii="Times New Roman" w:hAnsi="Times New Roman" w:cs="Times New Roman"/>
          <w:sz w:val="24"/>
          <w:szCs w:val="24"/>
          <w:lang w:val="en-GB"/>
        </w:rPr>
        <w:instrText xml:space="preserve"> ADDIN EN.CITE &lt;EndNote&gt;&lt;Cite&gt;&lt;Author&gt;Ghana Health Service&lt;/Author&gt;&lt;Year&gt;2019&lt;/Year&gt;&lt;RecNum&gt;148&lt;/RecNum&gt;&lt;DisplayText&gt;(9)&lt;/DisplayText&gt;&lt;record&gt;&lt;rec-number&gt;148&lt;/rec-number&gt;&lt;foreign-keys&gt;&lt;key app="EN" db-id="pwftt529rzxevye5t0a5fwv9rr9wftvx5zet" timestamp="1714693093" guid="3ba0bc28-ba43-4bc7-bc03-79699fa5784d"&gt;148&lt;/key&gt;&lt;/foreign-keys&gt;&lt;ref-type name="Government Document"&gt;46&lt;/ref-type&gt;&lt;contributors&gt;&lt;authors&gt;&lt;author&gt;Ghana Health Service,&lt;/author&gt;&lt;/authors&gt;&lt;/contributors&gt;&lt;titles&gt;&lt;title&gt;Consolidated guidelines for HIV care in Ghana&lt;/title&gt;&lt;/titles&gt;&lt;dates&gt;&lt;year&gt;2019&lt;/year&gt;&lt;/dates&gt;&lt;urls&gt;&lt;related-urls&gt;&lt;url&gt;https://ghs.gov.gh/wp-content/uploads/2022/10/Consolidated-HIV-Guidelines.pdf&lt;/url&gt;&lt;/related-urls&gt;&lt;/urls&gt;&lt;custom1&gt;National AIDS/STI Control Programme&lt;/custom1&gt;&lt;/record&gt;&lt;/Cite&gt;&lt;/EndNote&gt;</w:instrText>
      </w:r>
      <w:r w:rsidRPr="007D0AE7">
        <w:rPr>
          <w:rFonts w:ascii="Times New Roman" w:hAnsi="Times New Roman" w:cs="Times New Roman"/>
          <w:sz w:val="24"/>
          <w:szCs w:val="24"/>
          <w:lang w:val="en-GB"/>
        </w:rPr>
        <w:fldChar w:fldCharType="separate"/>
      </w:r>
      <w:r w:rsidRPr="007D0AE7">
        <w:rPr>
          <w:rFonts w:ascii="Times New Roman" w:hAnsi="Times New Roman" w:cs="Times New Roman"/>
          <w:noProof/>
          <w:sz w:val="24"/>
          <w:szCs w:val="24"/>
          <w:lang w:val="en-GB"/>
        </w:rPr>
        <w:t>(9)</w:t>
      </w:r>
      <w:r w:rsidRPr="007D0AE7">
        <w:rPr>
          <w:rFonts w:ascii="Times New Roman" w:hAnsi="Times New Roman" w:cs="Times New Roman"/>
          <w:sz w:val="24"/>
          <w:szCs w:val="24"/>
          <w:lang w:val="en-GB"/>
        </w:rPr>
        <w:fldChar w:fldCharType="end"/>
      </w:r>
      <w:r w:rsidRPr="007D0AE7">
        <w:rPr>
          <w:rFonts w:ascii="Times New Roman" w:hAnsi="Times New Roman" w:cs="Times New Roman"/>
          <w:sz w:val="24"/>
          <w:szCs w:val="24"/>
          <w:lang w:val="en-GB"/>
        </w:rPr>
        <w:t xml:space="preserve">. A third line or salvage therapy is available for those who have failed second line treatment which is made up of Darunavir/r (DRV/r) + Raltegravir (RAL) + 1 or 2 NRTI </w:t>
      </w:r>
      <w:r w:rsidRPr="007D0AE7">
        <w:rPr>
          <w:rFonts w:ascii="Times New Roman" w:hAnsi="Times New Roman" w:cs="Times New Roman"/>
          <w:sz w:val="24"/>
          <w:szCs w:val="24"/>
          <w:lang w:val="en-GB"/>
        </w:rPr>
        <w:fldChar w:fldCharType="begin"/>
      </w:r>
      <w:r w:rsidRPr="007D0AE7">
        <w:rPr>
          <w:rFonts w:ascii="Times New Roman" w:hAnsi="Times New Roman" w:cs="Times New Roman"/>
          <w:sz w:val="24"/>
          <w:szCs w:val="24"/>
          <w:lang w:val="en-GB"/>
        </w:rPr>
        <w:instrText xml:space="preserve"> ADDIN EN.CITE &lt;EndNote&gt;&lt;Cite&gt;&lt;Author&gt;Ghana Health Service&lt;/Author&gt;&lt;Year&gt;2019&lt;/Year&gt;&lt;RecNum&gt;148&lt;/RecNum&gt;&lt;DisplayText&gt;(9)&lt;/DisplayText&gt;&lt;record&gt;&lt;rec-number&gt;148&lt;/rec-number&gt;&lt;foreign-keys&gt;&lt;key app="EN" db-id="pwftt529rzxevye5t0a5fwv9rr9wftvx5zet" timestamp="1714693093" guid="3ba0bc28-ba43-4bc7-bc03-79699fa5784d"&gt;148&lt;/key&gt;&lt;/foreign-keys&gt;&lt;ref-type name="Government Document"&gt;46&lt;/ref-type&gt;&lt;contributors&gt;&lt;authors&gt;&lt;author&gt;Ghana Health Service,&lt;/author&gt;&lt;/authors&gt;&lt;/contributors&gt;&lt;titles&gt;&lt;title&gt;Consolidated guidelines for HIV care in Ghana&lt;/title&gt;&lt;/titles&gt;&lt;dates&gt;&lt;year&gt;2019&lt;/year&gt;&lt;/dates&gt;&lt;urls&gt;&lt;related-urls&gt;&lt;url&gt;https://ghs.gov.gh/wp-content/uploads/2022/10/Consolidated-HIV-Guidelines.pdf&lt;/url&gt;&lt;/related-urls&gt;&lt;/urls&gt;&lt;custom1&gt;National AIDS/STI Control Programme&lt;/custom1&gt;&lt;/record&gt;&lt;/Cite&gt;&lt;/EndNote&gt;</w:instrText>
      </w:r>
      <w:r w:rsidRPr="007D0AE7">
        <w:rPr>
          <w:rFonts w:ascii="Times New Roman" w:hAnsi="Times New Roman" w:cs="Times New Roman"/>
          <w:sz w:val="24"/>
          <w:szCs w:val="24"/>
          <w:lang w:val="en-GB"/>
        </w:rPr>
        <w:fldChar w:fldCharType="separate"/>
      </w:r>
      <w:r w:rsidRPr="007D0AE7">
        <w:rPr>
          <w:rFonts w:ascii="Times New Roman" w:hAnsi="Times New Roman" w:cs="Times New Roman"/>
          <w:noProof/>
          <w:sz w:val="24"/>
          <w:szCs w:val="24"/>
          <w:lang w:val="en-GB"/>
        </w:rPr>
        <w:t>(9)</w:t>
      </w:r>
      <w:r w:rsidRPr="007D0AE7">
        <w:rPr>
          <w:rFonts w:ascii="Times New Roman" w:hAnsi="Times New Roman" w:cs="Times New Roman"/>
          <w:sz w:val="24"/>
          <w:szCs w:val="24"/>
          <w:lang w:val="en-GB"/>
        </w:rPr>
        <w:fldChar w:fldCharType="end"/>
      </w:r>
      <w:r w:rsidRPr="007D0AE7">
        <w:rPr>
          <w:rFonts w:ascii="Times New Roman" w:hAnsi="Times New Roman" w:cs="Times New Roman"/>
          <w:sz w:val="24"/>
          <w:szCs w:val="24"/>
          <w:lang w:val="en-GB"/>
        </w:rPr>
        <w:t xml:space="preserve">. </w:t>
      </w:r>
    </w:p>
    <w:p w14:paraId="0252EDF1" w14:textId="77777777" w:rsidR="00C27DBE" w:rsidRPr="007D0AE7" w:rsidRDefault="00C27DBE" w:rsidP="00C27DBE">
      <w:pPr>
        <w:spacing w:line="360" w:lineRule="auto"/>
        <w:jc w:val="both"/>
        <w:rPr>
          <w:rFonts w:ascii="Times New Roman" w:hAnsi="Times New Roman" w:cs="Times New Roman"/>
          <w:b/>
          <w:bCs/>
          <w:sz w:val="24"/>
          <w:szCs w:val="24"/>
          <w:lang w:val="en-GB"/>
        </w:rPr>
      </w:pPr>
      <w:r w:rsidRPr="007D0AE7">
        <w:rPr>
          <w:rFonts w:ascii="Times New Roman" w:hAnsi="Times New Roman" w:cs="Times New Roman"/>
          <w:b/>
          <w:bCs/>
          <w:sz w:val="24"/>
          <w:szCs w:val="24"/>
          <w:lang w:val="en-GB"/>
        </w:rPr>
        <w:t>Blood sample collection and processing</w:t>
      </w:r>
    </w:p>
    <w:p w14:paraId="427EF078" w14:textId="512183E8" w:rsidR="00C27DBE" w:rsidRPr="007D0AE7" w:rsidRDefault="00C27DBE" w:rsidP="00C27DBE">
      <w:pPr>
        <w:spacing w:line="360" w:lineRule="auto"/>
        <w:jc w:val="both"/>
        <w:rPr>
          <w:rFonts w:ascii="Times New Roman" w:hAnsi="Times New Roman" w:cs="Times New Roman"/>
          <w:bCs/>
          <w:sz w:val="24"/>
          <w:szCs w:val="24"/>
          <w:lang w:val="en-GB"/>
        </w:rPr>
      </w:pPr>
      <w:r w:rsidRPr="007D0AE7">
        <w:rPr>
          <w:rFonts w:ascii="Times New Roman" w:hAnsi="Times New Roman" w:cs="Times New Roman"/>
          <w:bCs/>
          <w:sz w:val="24"/>
          <w:szCs w:val="24"/>
          <w:lang w:val="en-GB"/>
        </w:rPr>
        <w:t>Venous blood (ten ml) was collected from each patient and divided into a BD Vacutainer® K</w:t>
      </w:r>
      <w:r w:rsidRPr="007D0AE7">
        <w:rPr>
          <w:rFonts w:ascii="Times New Roman" w:hAnsi="Times New Roman" w:cs="Times New Roman"/>
          <w:bCs/>
          <w:sz w:val="24"/>
          <w:szCs w:val="24"/>
          <w:vertAlign w:val="subscript"/>
          <w:lang w:val="en-GB"/>
        </w:rPr>
        <w:t>2</w:t>
      </w:r>
      <w:r w:rsidRPr="007D0AE7">
        <w:rPr>
          <w:rFonts w:ascii="Times New Roman" w:hAnsi="Times New Roman" w:cs="Times New Roman"/>
          <w:bCs/>
          <w:sz w:val="24"/>
          <w:szCs w:val="24"/>
          <w:lang w:val="en-GB"/>
        </w:rPr>
        <w:t>EDTA tubes and BD Vacutainer</w:t>
      </w:r>
      <w:r w:rsidRPr="007D0AE7">
        <w:rPr>
          <w:rFonts w:ascii="Times New Roman" w:hAnsi="Times New Roman" w:cs="Times New Roman"/>
          <w:bCs/>
          <w:sz w:val="24"/>
          <w:szCs w:val="24"/>
          <w:vertAlign w:val="superscript"/>
          <w:lang w:val="en-GB"/>
        </w:rPr>
        <w:t>®</w:t>
      </w:r>
      <w:r w:rsidRPr="007D0AE7">
        <w:rPr>
          <w:rFonts w:ascii="Times New Roman" w:hAnsi="Times New Roman" w:cs="Times New Roman"/>
          <w:bCs/>
          <w:sz w:val="24"/>
          <w:szCs w:val="24"/>
          <w:lang w:val="en-GB"/>
        </w:rPr>
        <w:t> SST</w:t>
      </w:r>
      <w:r w:rsidRPr="007D0AE7">
        <w:rPr>
          <w:rFonts w:ascii="Times New Roman" w:hAnsi="Times New Roman" w:cs="Times New Roman"/>
          <w:bCs/>
          <w:sz w:val="24"/>
          <w:szCs w:val="24"/>
          <w:vertAlign w:val="superscript"/>
          <w:lang w:val="en-GB"/>
        </w:rPr>
        <w:t>TM</w:t>
      </w:r>
      <w:r w:rsidRPr="007D0AE7">
        <w:rPr>
          <w:rFonts w:ascii="Times New Roman" w:hAnsi="Times New Roman" w:cs="Times New Roman"/>
          <w:bCs/>
          <w:sz w:val="24"/>
          <w:szCs w:val="24"/>
          <w:lang w:val="en-GB"/>
        </w:rPr>
        <w:t xml:space="preserve"> tubes (BD Biosciences, UK). K</w:t>
      </w:r>
      <w:r w:rsidRPr="007D0AE7">
        <w:rPr>
          <w:rFonts w:ascii="Times New Roman" w:hAnsi="Times New Roman" w:cs="Times New Roman"/>
          <w:bCs/>
          <w:sz w:val="24"/>
          <w:szCs w:val="24"/>
          <w:vertAlign w:val="subscript"/>
          <w:lang w:val="en-GB"/>
        </w:rPr>
        <w:t>2</w:t>
      </w:r>
      <w:r w:rsidRPr="007D0AE7">
        <w:rPr>
          <w:rFonts w:ascii="Times New Roman" w:hAnsi="Times New Roman" w:cs="Times New Roman"/>
          <w:bCs/>
          <w:sz w:val="24"/>
          <w:szCs w:val="24"/>
          <w:lang w:val="en-GB"/>
        </w:rPr>
        <w:t>EDTA whole blood aliquot was used for haemoglobin and CD4/CD8 + T cell count. The remaining portion was centrifuged at 2500 rpm for 10 minutes to separate plasma, Peripheral blood mononuclear cells (PBMCs) and Red Blood Cells (RBCs).  PBMC isolation was performed using density gradient separation (Lymphoprep</w:t>
      </w:r>
      <w:r w:rsidR="00A80408" w:rsidRPr="00A80408">
        <w:rPr>
          <w:rFonts w:ascii="Times New Roman" w:hAnsi="Times New Roman" w:cs="Times New Roman"/>
          <w:bCs/>
          <w:sz w:val="24"/>
          <w:szCs w:val="24"/>
          <w:vertAlign w:val="superscript"/>
          <w:lang w:val="en-GB"/>
        </w:rPr>
        <w:t>TM</w:t>
      </w:r>
      <w:r w:rsidRPr="007D0AE7">
        <w:rPr>
          <w:rFonts w:ascii="Times New Roman" w:hAnsi="Times New Roman" w:cs="Times New Roman"/>
          <w:bCs/>
          <w:sz w:val="24"/>
          <w:szCs w:val="24"/>
          <w:lang w:val="en-GB"/>
        </w:rPr>
        <w:t xml:space="preserve">, STEMCELL Technologies) as previously described </w:t>
      </w:r>
      <w:r w:rsidRPr="007D0AE7">
        <w:rPr>
          <w:rFonts w:ascii="Times New Roman" w:hAnsi="Times New Roman" w:cs="Times New Roman"/>
          <w:bCs/>
          <w:sz w:val="24"/>
          <w:szCs w:val="24"/>
          <w:lang w:val="en-GB"/>
        </w:rPr>
        <w:fldChar w:fldCharType="begin"/>
      </w:r>
      <w:r w:rsidRPr="007D0AE7">
        <w:rPr>
          <w:rFonts w:ascii="Times New Roman" w:hAnsi="Times New Roman" w:cs="Times New Roman"/>
          <w:bCs/>
          <w:sz w:val="24"/>
          <w:szCs w:val="24"/>
          <w:lang w:val="en-GB"/>
        </w:rPr>
        <w:instrText xml:space="preserve"> ADDIN EN.CITE &lt;EndNote&gt;&lt;Cite&gt;&lt;Author&gt;Lim&lt;/Author&gt;&lt;Year&gt;2018&lt;/Year&gt;&lt;RecNum&gt;379&lt;/RecNum&gt;&lt;DisplayText&gt;(56)&lt;/DisplayText&gt;&lt;record&gt;&lt;rec-number&gt;379&lt;/rec-number&gt;&lt;foreign-keys&gt;&lt;key app="EN" db-id="pwftt529rzxevye5t0a5fwv9rr9wftvx5zet" timestamp="1730131089" guid="82fcdada-4ed6-437a-a22d-a507982e1e27"&gt;379&lt;/key&gt;&lt;/foreign-keys&gt;&lt;ref-type name="Journal Article"&gt;17&lt;/ref-type&gt;&lt;contributors&gt;&lt;authors&gt;&lt;author&gt;Lim, Wen Chean&lt;/author&gt;&lt;author&gt;Olding, Michael&lt;/author&gt;&lt;author&gt;Healy, Eugene&lt;/author&gt;&lt;author&gt;Millar, Timothy M.&lt;/author&gt;&lt;/authors&gt;&lt;/contributors&gt;&lt;titles&gt;&lt;title&gt;Human Endothelial Cells Modulate CD4+ T Cell Populations and Enhance Regulatory T Cell Suppressive Capacity&lt;/title&gt;&lt;secondary-title&gt;Frontiers in Immunology&lt;/secondary-title&gt;&lt;/titles&gt;&lt;periodical&gt;&lt;full-title&gt;Front Immunol&lt;/full-title&gt;&lt;abbr-1&gt;Frontiers in immunology&lt;/abbr-1&gt;&lt;/periodical&gt;&lt;volume&gt;9&lt;/volume&gt;&lt;dates&gt;&lt;year&gt;2018&lt;/year&gt;&lt;pub-dates&gt;&lt;date&gt;2018-03-23&lt;/date&gt;&lt;/pub-dates&gt;&lt;/dates&gt;&lt;publisher&gt;Frontiers Media SA&lt;/publisher&gt;&lt;isbn&gt;1664-3224&lt;/isbn&gt;&lt;urls&gt;&lt;related-urls&gt;&lt;url&gt;https://eprints.soton.ac.uk/419234/1/fimmu_09_00565.pdf&lt;/url&gt;&lt;/related-urls&gt;&lt;/urls&gt;&lt;electronic-resource-num&gt;10.3389/fimmu.2018.00565&lt;/electronic-resource-num&gt;&lt;access-date&gt;2024-10-28T15:56:03&lt;/access-date&gt;&lt;/record&gt;&lt;/Cite&gt;&lt;/EndNote&gt;</w:instrText>
      </w:r>
      <w:r w:rsidRPr="007D0AE7">
        <w:rPr>
          <w:rFonts w:ascii="Times New Roman" w:hAnsi="Times New Roman" w:cs="Times New Roman"/>
          <w:bCs/>
          <w:sz w:val="24"/>
          <w:szCs w:val="24"/>
          <w:lang w:val="en-GB"/>
        </w:rPr>
        <w:fldChar w:fldCharType="separate"/>
      </w:r>
      <w:r w:rsidRPr="007D0AE7">
        <w:rPr>
          <w:rFonts w:ascii="Times New Roman" w:hAnsi="Times New Roman" w:cs="Times New Roman"/>
          <w:bCs/>
          <w:noProof/>
          <w:sz w:val="24"/>
          <w:szCs w:val="24"/>
          <w:lang w:val="en-GB"/>
        </w:rPr>
        <w:t>(56)</w:t>
      </w:r>
      <w:r w:rsidRPr="007D0AE7">
        <w:rPr>
          <w:rFonts w:ascii="Times New Roman" w:hAnsi="Times New Roman" w:cs="Times New Roman"/>
          <w:bCs/>
          <w:sz w:val="24"/>
          <w:szCs w:val="24"/>
          <w:lang w:val="en-GB"/>
        </w:rPr>
        <w:fldChar w:fldCharType="end"/>
      </w:r>
      <w:r w:rsidRPr="007D0AE7">
        <w:rPr>
          <w:rFonts w:ascii="Times New Roman" w:hAnsi="Times New Roman" w:cs="Times New Roman"/>
          <w:bCs/>
          <w:sz w:val="24"/>
          <w:szCs w:val="24"/>
          <w:lang w:val="en-GB"/>
        </w:rPr>
        <w:t xml:space="preserve"> and stored in a</w:t>
      </w:r>
      <w:r w:rsidRPr="007D0AE7">
        <w:rPr>
          <w:rFonts w:ascii="Times New Roman" w:hAnsi="Times New Roman" w:cs="Times New Roman"/>
          <w:color w:val="000000"/>
          <w:sz w:val="24"/>
          <w:szCs w:val="24"/>
          <w:lang w:val="en-GB"/>
        </w:rPr>
        <w:t xml:space="preserve"> </w:t>
      </w:r>
      <w:r w:rsidRPr="007D0AE7">
        <w:rPr>
          <w:rFonts w:ascii="Times New Roman" w:hAnsi="Times New Roman" w:cs="Times New Roman"/>
          <w:bCs/>
          <w:sz w:val="24"/>
          <w:szCs w:val="24"/>
          <w:lang w:val="en-GB"/>
        </w:rPr>
        <w:t> Nalgene Mr. Frosty™ Freezing Container (VWR International, LLC.)  in -80</w:t>
      </w:r>
      <w:r w:rsidRPr="007D0AE7">
        <w:rPr>
          <w:rFonts w:ascii="Times New Roman" w:hAnsi="Times New Roman" w:cs="Times New Roman"/>
          <w:bCs/>
          <w:sz w:val="24"/>
          <w:szCs w:val="24"/>
          <w:vertAlign w:val="superscript"/>
          <w:lang w:val="en-GB"/>
        </w:rPr>
        <w:t>o</w:t>
      </w:r>
      <w:r w:rsidRPr="007D0AE7">
        <w:rPr>
          <w:rFonts w:ascii="Times New Roman" w:hAnsi="Times New Roman" w:cs="Times New Roman"/>
          <w:bCs/>
          <w:sz w:val="24"/>
          <w:szCs w:val="24"/>
          <w:lang w:val="en-GB"/>
        </w:rPr>
        <w:t xml:space="preserve">C freezer for 24 hours prior to liquid nitrogen storage as previously described </w:t>
      </w:r>
      <w:r w:rsidRPr="007D0AE7">
        <w:rPr>
          <w:rFonts w:ascii="Times New Roman" w:hAnsi="Times New Roman" w:cs="Times New Roman"/>
          <w:bCs/>
          <w:sz w:val="24"/>
          <w:szCs w:val="24"/>
          <w:lang w:val="en-GB"/>
        </w:rPr>
        <w:fldChar w:fldCharType="begin">
          <w:fldData xml:space="preserve">PEVuZE5vdGU+PENpdGU+PEF1dGhvcj5TaGFoPC9BdXRob3I+PFllYXI+MjAyMjwvWWVhcj48UmVj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</w:fldData>
        </w:fldChar>
      </w:r>
      <w:r w:rsidRPr="007D0AE7">
        <w:rPr>
          <w:rFonts w:ascii="Times New Roman" w:hAnsi="Times New Roman" w:cs="Times New Roman"/>
          <w:bCs/>
          <w:sz w:val="24"/>
          <w:szCs w:val="24"/>
          <w:lang w:val="en-GB"/>
        </w:rPr>
        <w:instrText xml:space="preserve"> ADDIN EN.CITE </w:instrText>
      </w:r>
      <w:r w:rsidRPr="007D0AE7">
        <w:rPr>
          <w:rFonts w:ascii="Times New Roman" w:hAnsi="Times New Roman" w:cs="Times New Roman"/>
          <w:bCs/>
          <w:sz w:val="24"/>
          <w:szCs w:val="24"/>
          <w:lang w:val="en-GB"/>
        </w:rPr>
        <w:fldChar w:fldCharType="begin">
          <w:fldData xml:space="preserve">PEVuZE5vdGU+PENpdGU+PEF1dGhvcj5TaGFoPC9BdXRob3I+PFllYXI+MjAyMjwvWWVhcj48UmVj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</w:fldData>
        </w:fldChar>
      </w:r>
      <w:r w:rsidRPr="007D0AE7">
        <w:rPr>
          <w:rFonts w:ascii="Times New Roman" w:hAnsi="Times New Roman" w:cs="Times New Roman"/>
          <w:bCs/>
          <w:sz w:val="24"/>
          <w:szCs w:val="24"/>
          <w:lang w:val="en-GB"/>
        </w:rPr>
        <w:instrText xml:space="preserve"> ADDIN EN.CITE.DATA </w:instrText>
      </w:r>
      <w:r w:rsidRPr="007D0AE7">
        <w:rPr>
          <w:rFonts w:ascii="Times New Roman" w:hAnsi="Times New Roman" w:cs="Times New Roman"/>
          <w:bCs/>
          <w:sz w:val="24"/>
          <w:szCs w:val="24"/>
          <w:lang w:val="en-GB"/>
        </w:rPr>
      </w:r>
      <w:r w:rsidRPr="007D0AE7">
        <w:rPr>
          <w:rFonts w:ascii="Times New Roman" w:hAnsi="Times New Roman" w:cs="Times New Roman"/>
          <w:bCs/>
          <w:sz w:val="24"/>
          <w:szCs w:val="24"/>
          <w:lang w:val="en-GB"/>
        </w:rPr>
        <w:fldChar w:fldCharType="end"/>
      </w:r>
      <w:r w:rsidRPr="007D0AE7">
        <w:rPr>
          <w:rFonts w:ascii="Times New Roman" w:hAnsi="Times New Roman" w:cs="Times New Roman"/>
          <w:bCs/>
          <w:sz w:val="24"/>
          <w:szCs w:val="24"/>
          <w:lang w:val="en-GB"/>
        </w:rPr>
      </w:r>
      <w:r w:rsidRPr="007D0AE7">
        <w:rPr>
          <w:rFonts w:ascii="Times New Roman" w:hAnsi="Times New Roman" w:cs="Times New Roman"/>
          <w:bCs/>
          <w:sz w:val="24"/>
          <w:szCs w:val="24"/>
          <w:lang w:val="en-GB"/>
        </w:rPr>
        <w:fldChar w:fldCharType="separate"/>
      </w:r>
      <w:r w:rsidRPr="007D0AE7">
        <w:rPr>
          <w:rFonts w:ascii="Times New Roman" w:hAnsi="Times New Roman" w:cs="Times New Roman"/>
          <w:bCs/>
          <w:noProof/>
          <w:sz w:val="24"/>
          <w:szCs w:val="24"/>
          <w:lang w:val="en-GB"/>
        </w:rPr>
        <w:t>(57)</w:t>
      </w:r>
      <w:r w:rsidRPr="007D0AE7">
        <w:rPr>
          <w:rFonts w:ascii="Times New Roman" w:hAnsi="Times New Roman" w:cs="Times New Roman"/>
          <w:bCs/>
          <w:sz w:val="24"/>
          <w:szCs w:val="24"/>
          <w:lang w:val="en-GB"/>
        </w:rPr>
        <w:fldChar w:fldCharType="end"/>
      </w:r>
      <w:r w:rsidRPr="007D0AE7">
        <w:rPr>
          <w:rFonts w:ascii="Times New Roman" w:hAnsi="Times New Roman" w:cs="Times New Roman"/>
          <w:bCs/>
          <w:sz w:val="24"/>
          <w:szCs w:val="24"/>
          <w:lang w:val="en-GB"/>
        </w:rPr>
        <w:t xml:space="preserve">. Blood samples collected in serum separator tube were used to obtain serum for downstream analysis. </w:t>
      </w:r>
    </w:p>
    <w:p w14:paraId="1ADC1519" w14:textId="77777777" w:rsidR="00C27DBE" w:rsidRPr="007D0AE7" w:rsidRDefault="00C27DBE" w:rsidP="00C27DBE">
      <w:pPr>
        <w:spacing w:line="360" w:lineRule="auto"/>
        <w:jc w:val="both"/>
        <w:rPr>
          <w:rFonts w:ascii="Times New Roman" w:hAnsi="Times New Roman" w:cs="Times New Roman"/>
          <w:b/>
          <w:bCs/>
          <w:lang w:val="en-GB"/>
        </w:rPr>
      </w:pPr>
    </w:p>
    <w:p w14:paraId="082220F9" w14:textId="77777777" w:rsidR="00C27DBE" w:rsidRPr="007D0AE7" w:rsidRDefault="00C27DBE" w:rsidP="00C27DBE">
      <w:pPr>
        <w:spacing w:line="360" w:lineRule="auto"/>
        <w:jc w:val="both"/>
        <w:rPr>
          <w:rFonts w:ascii="Times New Roman" w:hAnsi="Times New Roman" w:cs="Times New Roman"/>
          <w:b/>
          <w:bCs/>
          <w:lang w:val="en-GB"/>
        </w:rPr>
      </w:pPr>
    </w:p>
    <w:p w14:paraId="2057AF79" w14:textId="77777777" w:rsidR="00C27DBE" w:rsidRPr="007D0AE7" w:rsidRDefault="00C27DBE" w:rsidP="00C27DBE">
      <w:pPr>
        <w:spacing w:line="360" w:lineRule="auto"/>
        <w:jc w:val="both"/>
        <w:rPr>
          <w:rFonts w:ascii="Times New Roman" w:hAnsi="Times New Roman" w:cs="Times New Roman"/>
          <w:b/>
          <w:bCs/>
          <w:lang w:val="en-GB"/>
        </w:rPr>
        <w:sectPr w:rsidR="00C27DBE" w:rsidRPr="007D0AE7" w:rsidSect="00C27DBE">
          <w:pgSz w:w="11906" w:h="16838"/>
          <w:pgMar w:top="1440" w:right="426" w:bottom="1440" w:left="709" w:header="708" w:footer="708" w:gutter="0"/>
          <w:cols w:space="708"/>
          <w:docGrid w:linePitch="360"/>
        </w:sectPr>
      </w:pPr>
    </w:p>
    <w:p w14:paraId="6CBDE278" w14:textId="77777777" w:rsidR="00C27DBE" w:rsidRPr="007D0AE7" w:rsidRDefault="00C27DBE" w:rsidP="00C27DBE">
      <w:pPr>
        <w:rPr>
          <w:rFonts w:ascii="Times New Roman" w:hAnsi="Times New Roman" w:cs="Times New Roman"/>
          <w:b/>
          <w:bCs/>
          <w:lang w:val="en-GB"/>
        </w:rPr>
      </w:pPr>
    </w:p>
    <w:p w14:paraId="4BA606A9" w14:textId="381CA3C6" w:rsidR="00C27DBE" w:rsidRPr="007D0AE7" w:rsidRDefault="00C27DBE" w:rsidP="00C27DBE">
      <w:pPr>
        <w:spacing w:line="360" w:lineRule="auto"/>
        <w:jc w:val="both"/>
        <w:rPr>
          <w:rFonts w:ascii="Times New Roman" w:hAnsi="Times New Roman" w:cs="Times New Roman"/>
          <w:b/>
          <w:bCs/>
          <w:lang w:val="en-GB"/>
        </w:rPr>
      </w:pPr>
      <w:r w:rsidRPr="007D0AE7">
        <w:rPr>
          <w:rFonts w:ascii="Times New Roman" w:hAnsi="Times New Roman" w:cs="Times New Roman"/>
          <w:b/>
          <w:bCs/>
          <w:lang w:val="en-GB"/>
        </w:rPr>
        <w:t xml:space="preserve">Supplementary Table </w:t>
      </w:r>
      <w:r w:rsidR="00AC7487">
        <w:rPr>
          <w:rFonts w:ascii="Times New Roman" w:hAnsi="Times New Roman" w:cs="Times New Roman"/>
          <w:b/>
          <w:bCs/>
          <w:lang w:val="en-GB"/>
        </w:rPr>
        <w:t>1</w:t>
      </w:r>
      <w:r w:rsidRPr="007D0AE7">
        <w:rPr>
          <w:rFonts w:ascii="Times New Roman" w:hAnsi="Times New Roman" w:cs="Times New Roman"/>
          <w:b/>
          <w:bCs/>
          <w:lang w:val="en-GB"/>
        </w:rPr>
        <w:t>. Reference ranges for Biochemical and Haematological assays</w:t>
      </w:r>
    </w:p>
    <w:tbl>
      <w:tblPr>
        <w:tblW w:w="10206" w:type="dxa"/>
        <w:tblLook w:val="04A0" w:firstRow="1" w:lastRow="0" w:firstColumn="1" w:lastColumn="0" w:noHBand="0" w:noVBand="1"/>
      </w:tblPr>
      <w:tblGrid>
        <w:gridCol w:w="2865"/>
        <w:gridCol w:w="3089"/>
        <w:gridCol w:w="1134"/>
        <w:gridCol w:w="3118"/>
      </w:tblGrid>
      <w:tr w:rsidR="00C27DBE" w:rsidRPr="00BB73DD" w14:paraId="60B7FF48" w14:textId="77777777" w:rsidTr="00CF1234">
        <w:trPr>
          <w:trHeight w:val="288"/>
        </w:trPr>
        <w:tc>
          <w:tcPr>
            <w:tcW w:w="2865" w:type="dxa"/>
            <w:tcBorders>
              <w:top w:val="single" w:sz="12" w:space="0" w:color="auto"/>
              <w:bottom w:val="single" w:sz="12" w:space="0" w:color="auto"/>
            </w:tcBorders>
            <w:shd w:val="clear" w:color="auto" w:fill="auto"/>
            <w:noWrap/>
            <w:vAlign w:val="bottom"/>
            <w:hideMark/>
          </w:tcPr>
          <w:p w14:paraId="3B5A5EFB"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Parameter</w:t>
            </w:r>
          </w:p>
        </w:tc>
        <w:tc>
          <w:tcPr>
            <w:tcW w:w="3089" w:type="dxa"/>
            <w:tcBorders>
              <w:top w:val="single" w:sz="12" w:space="0" w:color="auto"/>
              <w:bottom w:val="single" w:sz="12" w:space="0" w:color="auto"/>
            </w:tcBorders>
            <w:shd w:val="clear" w:color="auto" w:fill="auto"/>
            <w:noWrap/>
            <w:vAlign w:val="bottom"/>
            <w:hideMark/>
          </w:tcPr>
          <w:p w14:paraId="14FA9801"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Classification</w:t>
            </w:r>
          </w:p>
        </w:tc>
        <w:tc>
          <w:tcPr>
            <w:tcW w:w="1134" w:type="dxa"/>
            <w:tcBorders>
              <w:top w:val="single" w:sz="12" w:space="0" w:color="auto"/>
              <w:bottom w:val="single" w:sz="12" w:space="0" w:color="auto"/>
            </w:tcBorders>
            <w:shd w:val="clear" w:color="auto" w:fill="auto"/>
            <w:noWrap/>
            <w:vAlign w:val="bottom"/>
            <w:hideMark/>
          </w:tcPr>
          <w:p w14:paraId="6CA62984"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Range</w:t>
            </w:r>
          </w:p>
        </w:tc>
        <w:tc>
          <w:tcPr>
            <w:tcW w:w="3118" w:type="dxa"/>
            <w:tcBorders>
              <w:top w:val="single" w:sz="12" w:space="0" w:color="auto"/>
              <w:bottom w:val="single" w:sz="12" w:space="0" w:color="auto"/>
            </w:tcBorders>
          </w:tcPr>
          <w:p w14:paraId="3D938DE9"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Reference</w:t>
            </w:r>
          </w:p>
        </w:tc>
      </w:tr>
      <w:tr w:rsidR="00C27DBE" w:rsidRPr="00BB73DD" w14:paraId="15B6F68F" w14:textId="77777777" w:rsidTr="00CF1234">
        <w:trPr>
          <w:trHeight w:val="288"/>
        </w:trPr>
        <w:tc>
          <w:tcPr>
            <w:tcW w:w="2865" w:type="dxa"/>
            <w:tcBorders>
              <w:top w:val="single" w:sz="12" w:space="0" w:color="auto"/>
            </w:tcBorders>
            <w:shd w:val="clear" w:color="auto" w:fill="auto"/>
            <w:noWrap/>
            <w:vAlign w:val="bottom"/>
            <w:hideMark/>
          </w:tcPr>
          <w:p w14:paraId="0DC94C9E"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Kidney Function (eGFR)</w:t>
            </w:r>
          </w:p>
        </w:tc>
        <w:tc>
          <w:tcPr>
            <w:tcW w:w="3089" w:type="dxa"/>
            <w:tcBorders>
              <w:top w:val="single" w:sz="12" w:space="0" w:color="auto"/>
            </w:tcBorders>
            <w:shd w:val="clear" w:color="auto" w:fill="auto"/>
            <w:noWrap/>
            <w:vAlign w:val="bottom"/>
            <w:hideMark/>
          </w:tcPr>
          <w:p w14:paraId="7E8D0C9B"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Normal</w:t>
            </w:r>
          </w:p>
        </w:tc>
        <w:tc>
          <w:tcPr>
            <w:tcW w:w="1134" w:type="dxa"/>
            <w:tcBorders>
              <w:top w:val="single" w:sz="12" w:space="0" w:color="auto"/>
            </w:tcBorders>
            <w:shd w:val="clear" w:color="auto" w:fill="auto"/>
            <w:noWrap/>
            <w:vAlign w:val="bottom"/>
            <w:hideMark/>
          </w:tcPr>
          <w:p w14:paraId="042993E4"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&gt; 90</w:t>
            </w:r>
          </w:p>
        </w:tc>
        <w:tc>
          <w:tcPr>
            <w:tcW w:w="3118" w:type="dxa"/>
            <w:tcBorders>
              <w:top w:val="single" w:sz="12" w:space="0" w:color="auto"/>
            </w:tcBorders>
          </w:tcPr>
          <w:p w14:paraId="4A1B55CA"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r>
      <w:tr w:rsidR="00C27DBE" w:rsidRPr="00BB73DD" w14:paraId="00274EFF" w14:textId="77777777" w:rsidTr="00CF1234">
        <w:trPr>
          <w:trHeight w:val="288"/>
        </w:trPr>
        <w:tc>
          <w:tcPr>
            <w:tcW w:w="2865" w:type="dxa"/>
            <w:shd w:val="clear" w:color="auto" w:fill="auto"/>
            <w:noWrap/>
            <w:vAlign w:val="bottom"/>
            <w:hideMark/>
          </w:tcPr>
          <w:p w14:paraId="271D8D10"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mL/min/1.73m²</w:t>
            </w:r>
          </w:p>
        </w:tc>
        <w:tc>
          <w:tcPr>
            <w:tcW w:w="3089" w:type="dxa"/>
            <w:shd w:val="clear" w:color="auto" w:fill="auto"/>
            <w:noWrap/>
            <w:vAlign w:val="bottom"/>
            <w:hideMark/>
          </w:tcPr>
          <w:p w14:paraId="33B972BC"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Mild loss of function</w:t>
            </w:r>
          </w:p>
        </w:tc>
        <w:tc>
          <w:tcPr>
            <w:tcW w:w="1134" w:type="dxa"/>
            <w:shd w:val="clear" w:color="auto" w:fill="auto"/>
            <w:noWrap/>
            <w:vAlign w:val="bottom"/>
            <w:hideMark/>
          </w:tcPr>
          <w:p w14:paraId="6C735A8E"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60–89</w:t>
            </w:r>
          </w:p>
        </w:tc>
        <w:tc>
          <w:tcPr>
            <w:tcW w:w="3118" w:type="dxa"/>
            <w:vMerge w:val="restart"/>
          </w:tcPr>
          <w:p w14:paraId="2065E5A3"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&lt;EndNote&gt;&lt;Cite&gt;&lt;Author&gt;Delgado&lt;/Author&gt;&lt;Year&gt;2022&lt;/Year&gt;&lt;RecNum&gt;146&lt;/RecNum&gt;&lt;DisplayText&gt;(58)&lt;/DisplayText&gt;&lt;record&gt;&lt;rec-number&gt;146&lt;/rec-number&gt;&lt;foreign-keys&gt;&lt;key app="EN" db-id="pwftt529rzxevye5t0a5fwv9rr9wftvx5zet" timestamp="1714646986" guid="89e435bd-1b76-48ce-b26e-184e7a89af95"&gt;146&lt;/key&gt;&lt;/foreign-keys&gt;&lt;ref-type name="Journal Article"&gt;17&lt;/ref-type&gt;&lt;contributors&gt;&lt;authors&gt;&lt;author&gt;Delgado, Cynthia&lt;/author&gt;&lt;author&gt;Baweja, Mukta&lt;/author&gt;&lt;author&gt;Crews, Deidra C.&lt;/author&gt;&lt;author&gt;Eneanya, Nwamaka D.&lt;/author&gt;&lt;author&gt;Gadegbeku, Crystal A.&lt;/author&gt;&lt;author&gt;Inker, Lesley A.&lt;/author&gt;&lt;author&gt;Mendu, Mallika L.&lt;/author&gt;&lt;author&gt;Miller, W. Greg&lt;/author&gt;&lt;author&gt;Moxey-Mims, Marva M.&lt;/author&gt;&lt;author&gt;Roberts, Glenda V.&lt;/author&gt;&lt;author&gt;St. Peter, Wendy L.&lt;/author&gt;&lt;author&gt;Warfield, Curtis&lt;/author&gt;&lt;author&gt;Powe, Neil R.&lt;/author&gt;&lt;/authors&gt;&lt;/contributors&gt;&lt;titles&gt;&lt;title&gt;A Unifying Approach for GFR Estimation: Recommendations of the NKF-ASN Task Force on Reassessing the Inclusion of Race in Diagnosing Kidney Disease&lt;/title&gt;&lt;secondary-title&gt;American Journal of Kidney Diseases&lt;/secondary-title&gt;&lt;/titles&gt;&lt;periodical&gt;&lt;full-title&gt;American Journal of Kidney Diseases&lt;/full-title&gt;&lt;/periodical&gt;&lt;pages&gt;268-288.e1&lt;/pages&gt;&lt;volume&gt;79&lt;/volume&gt;&lt;number&gt;2&lt;/number&gt;&lt;dates&gt;&lt;year&gt;2022&lt;/year&gt;&lt;pub-dates&gt;&lt;date&gt;2022-02-01&lt;/date&gt;&lt;/pub-dates&gt;&lt;/dates&gt;&lt;publisher&gt;Elsevier BV&lt;/publisher&gt;&lt;isbn&gt;0272-6386&lt;/isbn&gt;&lt;urls&gt;&lt;/urls&gt;&lt;electronic-resource-num&gt;10.1053/j.ajkd.2021.08.003&lt;/electronic-resource-num&gt;&lt;access-date&gt;2024-05-02T10:32:09&lt;/access-date&gt;&lt;/record&gt;&lt;/Cite&gt;&lt;/EndNote&gt;</w:instrText>
            </w:r>
            <w:r w:rsidRPr="007D0AE7">
              <w:rPr>
                <w:rFonts w:ascii="Times New Roman" w:hAnsi="Times New Roman" w:cs="Times New Roman"/>
                <w:lang w:val="en-GB"/>
              </w:rPr>
              <w:fldChar w:fldCharType="separate"/>
            </w:r>
            <w:r>
              <w:rPr>
                <w:rFonts w:ascii="Times New Roman" w:hAnsi="Times New Roman" w:cs="Times New Roman"/>
                <w:noProof/>
                <w:lang w:val="en-GB"/>
              </w:rPr>
              <w:t>(58)</w:t>
            </w:r>
            <w:r w:rsidRPr="007D0AE7">
              <w:rPr>
                <w:rFonts w:ascii="Times New Roman" w:hAnsi="Times New Roman" w:cs="Times New Roman"/>
                <w:lang w:val="en-GB"/>
              </w:rPr>
              <w:fldChar w:fldCharType="end"/>
            </w:r>
          </w:p>
        </w:tc>
      </w:tr>
      <w:tr w:rsidR="00C27DBE" w:rsidRPr="00BB73DD" w14:paraId="4DC2FE22" w14:textId="77777777" w:rsidTr="00CF1234">
        <w:trPr>
          <w:trHeight w:val="288"/>
        </w:trPr>
        <w:tc>
          <w:tcPr>
            <w:tcW w:w="2865" w:type="dxa"/>
            <w:shd w:val="clear" w:color="auto" w:fill="auto"/>
            <w:noWrap/>
            <w:vAlign w:val="bottom"/>
            <w:hideMark/>
          </w:tcPr>
          <w:p w14:paraId="7F0E49A0" w14:textId="77777777" w:rsidR="00C27DBE" w:rsidRPr="007D0AE7" w:rsidRDefault="00C27DBE" w:rsidP="00CF1234">
            <w:pPr>
              <w:spacing w:after="0" w:line="240" w:lineRule="auto"/>
              <w:rPr>
                <w:rFonts w:ascii="Times New Roman" w:eastAsia="Times New Roman" w:hAnsi="Times New Roman" w:cs="Times New Roman"/>
                <w:kern w:val="0"/>
                <w:lang w:val="en-GB"/>
                <w14:ligatures w14:val="none"/>
              </w:rPr>
            </w:pPr>
          </w:p>
        </w:tc>
        <w:tc>
          <w:tcPr>
            <w:tcW w:w="3089" w:type="dxa"/>
            <w:shd w:val="clear" w:color="auto" w:fill="auto"/>
            <w:noWrap/>
            <w:vAlign w:val="bottom"/>
            <w:hideMark/>
          </w:tcPr>
          <w:p w14:paraId="622B79C8"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Moderate loss of function</w:t>
            </w:r>
          </w:p>
        </w:tc>
        <w:tc>
          <w:tcPr>
            <w:tcW w:w="1134" w:type="dxa"/>
            <w:shd w:val="clear" w:color="auto" w:fill="auto"/>
            <w:noWrap/>
            <w:vAlign w:val="bottom"/>
            <w:hideMark/>
          </w:tcPr>
          <w:p w14:paraId="38EBE338"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30–59</w:t>
            </w:r>
          </w:p>
        </w:tc>
        <w:tc>
          <w:tcPr>
            <w:tcW w:w="3118" w:type="dxa"/>
            <w:vMerge/>
          </w:tcPr>
          <w:p w14:paraId="4C78B4F5"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r>
      <w:tr w:rsidR="00C27DBE" w:rsidRPr="00BB73DD" w14:paraId="5AFFA95F" w14:textId="77777777" w:rsidTr="00CF1234">
        <w:trPr>
          <w:trHeight w:val="288"/>
        </w:trPr>
        <w:tc>
          <w:tcPr>
            <w:tcW w:w="2865" w:type="dxa"/>
            <w:shd w:val="clear" w:color="auto" w:fill="auto"/>
            <w:noWrap/>
            <w:vAlign w:val="bottom"/>
            <w:hideMark/>
          </w:tcPr>
          <w:p w14:paraId="4C9C441B" w14:textId="77777777" w:rsidR="00C27DBE" w:rsidRPr="007D0AE7" w:rsidRDefault="00C27DBE" w:rsidP="00CF1234">
            <w:pPr>
              <w:spacing w:after="0" w:line="240" w:lineRule="auto"/>
              <w:rPr>
                <w:rFonts w:ascii="Times New Roman" w:eastAsia="Times New Roman" w:hAnsi="Times New Roman" w:cs="Times New Roman"/>
                <w:kern w:val="0"/>
                <w:lang w:val="en-GB"/>
                <w14:ligatures w14:val="none"/>
              </w:rPr>
            </w:pPr>
          </w:p>
        </w:tc>
        <w:tc>
          <w:tcPr>
            <w:tcW w:w="3089" w:type="dxa"/>
            <w:shd w:val="clear" w:color="auto" w:fill="auto"/>
            <w:noWrap/>
            <w:vAlign w:val="bottom"/>
            <w:hideMark/>
          </w:tcPr>
          <w:p w14:paraId="21ED8CE9"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Severe loss of function</w:t>
            </w:r>
          </w:p>
        </w:tc>
        <w:tc>
          <w:tcPr>
            <w:tcW w:w="1134" w:type="dxa"/>
            <w:shd w:val="clear" w:color="auto" w:fill="auto"/>
            <w:noWrap/>
            <w:vAlign w:val="bottom"/>
            <w:hideMark/>
          </w:tcPr>
          <w:p w14:paraId="31439CF7"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15–29</w:t>
            </w:r>
          </w:p>
        </w:tc>
        <w:tc>
          <w:tcPr>
            <w:tcW w:w="3118" w:type="dxa"/>
            <w:vMerge/>
          </w:tcPr>
          <w:p w14:paraId="09E96CCD"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r>
      <w:tr w:rsidR="00C27DBE" w:rsidRPr="00BB73DD" w14:paraId="1521DC32" w14:textId="77777777" w:rsidTr="00CF1234">
        <w:trPr>
          <w:trHeight w:val="288"/>
        </w:trPr>
        <w:tc>
          <w:tcPr>
            <w:tcW w:w="2865" w:type="dxa"/>
            <w:shd w:val="clear" w:color="auto" w:fill="auto"/>
            <w:noWrap/>
            <w:vAlign w:val="bottom"/>
            <w:hideMark/>
          </w:tcPr>
          <w:p w14:paraId="1D11847F" w14:textId="77777777" w:rsidR="00C27DBE" w:rsidRPr="007D0AE7" w:rsidRDefault="00C27DBE" w:rsidP="00CF1234">
            <w:pPr>
              <w:spacing w:after="0" w:line="240" w:lineRule="auto"/>
              <w:rPr>
                <w:rFonts w:ascii="Times New Roman" w:eastAsia="Times New Roman" w:hAnsi="Times New Roman" w:cs="Times New Roman"/>
                <w:kern w:val="0"/>
                <w:lang w:val="en-GB"/>
                <w14:ligatures w14:val="none"/>
              </w:rPr>
            </w:pPr>
          </w:p>
        </w:tc>
        <w:tc>
          <w:tcPr>
            <w:tcW w:w="3089" w:type="dxa"/>
            <w:shd w:val="clear" w:color="auto" w:fill="auto"/>
            <w:noWrap/>
            <w:vAlign w:val="bottom"/>
            <w:hideMark/>
          </w:tcPr>
          <w:p w14:paraId="4414AD97"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End stage renal failure</w:t>
            </w:r>
          </w:p>
        </w:tc>
        <w:tc>
          <w:tcPr>
            <w:tcW w:w="1134" w:type="dxa"/>
            <w:shd w:val="clear" w:color="auto" w:fill="auto"/>
            <w:noWrap/>
            <w:vAlign w:val="bottom"/>
            <w:hideMark/>
          </w:tcPr>
          <w:p w14:paraId="68544F32"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&lt; 15</w:t>
            </w:r>
          </w:p>
        </w:tc>
        <w:tc>
          <w:tcPr>
            <w:tcW w:w="3118" w:type="dxa"/>
            <w:vMerge/>
          </w:tcPr>
          <w:p w14:paraId="056F2D19"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r>
      <w:tr w:rsidR="00C27DBE" w:rsidRPr="00BB73DD" w14:paraId="320271B3" w14:textId="77777777" w:rsidTr="00CF1234">
        <w:trPr>
          <w:trHeight w:val="288"/>
        </w:trPr>
        <w:tc>
          <w:tcPr>
            <w:tcW w:w="2865" w:type="dxa"/>
            <w:shd w:val="clear" w:color="auto" w:fill="auto"/>
            <w:noWrap/>
            <w:vAlign w:val="bottom"/>
            <w:hideMark/>
          </w:tcPr>
          <w:p w14:paraId="4F0921E9"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Haemoglobin (g/dL)</w:t>
            </w:r>
          </w:p>
        </w:tc>
        <w:tc>
          <w:tcPr>
            <w:tcW w:w="3089" w:type="dxa"/>
            <w:shd w:val="clear" w:color="auto" w:fill="auto"/>
            <w:noWrap/>
            <w:vAlign w:val="bottom"/>
            <w:hideMark/>
          </w:tcPr>
          <w:p w14:paraId="2C66C6E1"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Anaemic (females)</w:t>
            </w:r>
          </w:p>
        </w:tc>
        <w:tc>
          <w:tcPr>
            <w:tcW w:w="1134" w:type="dxa"/>
            <w:shd w:val="clear" w:color="auto" w:fill="auto"/>
            <w:noWrap/>
            <w:vAlign w:val="bottom"/>
            <w:hideMark/>
          </w:tcPr>
          <w:p w14:paraId="7DE87A67"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&lt; 12.0</w:t>
            </w:r>
          </w:p>
        </w:tc>
        <w:tc>
          <w:tcPr>
            <w:tcW w:w="3118" w:type="dxa"/>
            <w:vMerge w:val="restart"/>
          </w:tcPr>
          <w:p w14:paraId="5AACCB5C"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(Chaparro &amp; Suchdev, 2019)</w:t>
            </w:r>
          </w:p>
        </w:tc>
      </w:tr>
      <w:tr w:rsidR="00C27DBE" w:rsidRPr="00BB73DD" w14:paraId="788DF7D5" w14:textId="77777777" w:rsidTr="00CF1234">
        <w:trPr>
          <w:trHeight w:val="288"/>
        </w:trPr>
        <w:tc>
          <w:tcPr>
            <w:tcW w:w="2865" w:type="dxa"/>
            <w:shd w:val="clear" w:color="auto" w:fill="auto"/>
            <w:noWrap/>
            <w:vAlign w:val="bottom"/>
            <w:hideMark/>
          </w:tcPr>
          <w:p w14:paraId="22D09B5F"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c>
          <w:tcPr>
            <w:tcW w:w="3089" w:type="dxa"/>
            <w:shd w:val="clear" w:color="auto" w:fill="auto"/>
            <w:noWrap/>
            <w:vAlign w:val="bottom"/>
            <w:hideMark/>
          </w:tcPr>
          <w:p w14:paraId="37E55FF5"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Anaemic (males)</w:t>
            </w:r>
          </w:p>
        </w:tc>
        <w:tc>
          <w:tcPr>
            <w:tcW w:w="1134" w:type="dxa"/>
            <w:shd w:val="clear" w:color="auto" w:fill="auto"/>
            <w:noWrap/>
            <w:vAlign w:val="bottom"/>
            <w:hideMark/>
          </w:tcPr>
          <w:p w14:paraId="759F08AD"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&lt; 13.0</w:t>
            </w:r>
          </w:p>
        </w:tc>
        <w:tc>
          <w:tcPr>
            <w:tcW w:w="3118" w:type="dxa"/>
            <w:vMerge/>
          </w:tcPr>
          <w:p w14:paraId="711CCA68"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r>
      <w:tr w:rsidR="00C27DBE" w:rsidRPr="00BB73DD" w14:paraId="2B96A4F4" w14:textId="77777777" w:rsidTr="00CF1234">
        <w:trPr>
          <w:trHeight w:val="288"/>
        </w:trPr>
        <w:tc>
          <w:tcPr>
            <w:tcW w:w="2865" w:type="dxa"/>
            <w:shd w:val="clear" w:color="auto" w:fill="auto"/>
            <w:noWrap/>
            <w:vAlign w:val="bottom"/>
          </w:tcPr>
          <w:p w14:paraId="7969908D"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c>
          <w:tcPr>
            <w:tcW w:w="3089" w:type="dxa"/>
            <w:shd w:val="clear" w:color="auto" w:fill="auto"/>
            <w:noWrap/>
            <w:vAlign w:val="bottom"/>
          </w:tcPr>
          <w:p w14:paraId="61DB59E5"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c>
          <w:tcPr>
            <w:tcW w:w="1134" w:type="dxa"/>
            <w:shd w:val="clear" w:color="auto" w:fill="auto"/>
            <w:noWrap/>
            <w:vAlign w:val="bottom"/>
          </w:tcPr>
          <w:p w14:paraId="37149CF4"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c>
          <w:tcPr>
            <w:tcW w:w="3118" w:type="dxa"/>
          </w:tcPr>
          <w:p w14:paraId="2CD612A9"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r>
      <w:tr w:rsidR="00C27DBE" w:rsidRPr="00BB73DD" w14:paraId="2BC3E262" w14:textId="77777777" w:rsidTr="00CF1234">
        <w:trPr>
          <w:trHeight w:val="288"/>
        </w:trPr>
        <w:tc>
          <w:tcPr>
            <w:tcW w:w="2865" w:type="dxa"/>
            <w:shd w:val="clear" w:color="auto" w:fill="auto"/>
            <w:noWrap/>
            <w:vAlign w:val="bottom"/>
          </w:tcPr>
          <w:p w14:paraId="4D42EA06"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AST(U/L)</w:t>
            </w:r>
          </w:p>
        </w:tc>
        <w:tc>
          <w:tcPr>
            <w:tcW w:w="3089" w:type="dxa"/>
            <w:shd w:val="clear" w:color="auto" w:fill="auto"/>
            <w:noWrap/>
            <w:vAlign w:val="bottom"/>
          </w:tcPr>
          <w:p w14:paraId="1B18C9AA" w14:textId="06908253" w:rsidR="00C27DBE" w:rsidRPr="007D0AE7" w:rsidRDefault="00AC7487" w:rsidP="00CF1234">
            <w:pPr>
              <w:spacing w:after="0" w:line="240" w:lineRule="auto"/>
              <w:rPr>
                <w:rFonts w:ascii="Times New Roman" w:eastAsia="Times New Roman" w:hAnsi="Times New Roman" w:cs="Times New Roman"/>
                <w:color w:val="000000"/>
                <w:kern w:val="0"/>
                <w:lang w:val="en-GB"/>
                <w14:ligatures w14:val="none"/>
              </w:rPr>
            </w:pPr>
            <w:r>
              <w:rPr>
                <w:rFonts w:ascii="Times New Roman" w:eastAsia="Times New Roman" w:hAnsi="Times New Roman" w:cs="Times New Roman"/>
                <w:color w:val="000000"/>
                <w:kern w:val="0"/>
                <w:lang w:val="en-GB"/>
                <w14:ligatures w14:val="none"/>
              </w:rPr>
              <w:t>Low</w:t>
            </w:r>
          </w:p>
        </w:tc>
        <w:tc>
          <w:tcPr>
            <w:tcW w:w="1134" w:type="dxa"/>
            <w:shd w:val="clear" w:color="auto" w:fill="auto"/>
            <w:noWrap/>
            <w:vAlign w:val="bottom"/>
          </w:tcPr>
          <w:p w14:paraId="20FD3E4D" w14:textId="4E9AA7A5" w:rsidR="00C27DBE" w:rsidRPr="007D0AE7" w:rsidRDefault="00AC7487" w:rsidP="00CF1234">
            <w:pPr>
              <w:spacing w:after="0" w:line="240" w:lineRule="auto"/>
              <w:rPr>
                <w:rFonts w:ascii="Times New Roman" w:eastAsia="Times New Roman" w:hAnsi="Times New Roman" w:cs="Times New Roman"/>
                <w:color w:val="000000"/>
                <w:kern w:val="0"/>
                <w:lang w:val="en-GB"/>
                <w14:ligatures w14:val="none"/>
              </w:rPr>
            </w:pPr>
            <w:r>
              <w:rPr>
                <w:rFonts w:ascii="Times New Roman" w:eastAsia="Times New Roman" w:hAnsi="Times New Roman" w:cs="Times New Roman"/>
                <w:color w:val="000000"/>
                <w:kern w:val="0"/>
                <w:lang w:val="en-GB"/>
                <w14:ligatures w14:val="none"/>
              </w:rPr>
              <w:t xml:space="preserve">&lt; </w:t>
            </w:r>
            <w:r w:rsidR="00C27DBE" w:rsidRPr="007D0AE7">
              <w:rPr>
                <w:rFonts w:ascii="Times New Roman" w:eastAsia="Times New Roman" w:hAnsi="Times New Roman" w:cs="Times New Roman"/>
                <w:color w:val="000000"/>
                <w:kern w:val="0"/>
                <w:lang w:val="en-GB"/>
                <w14:ligatures w14:val="none"/>
              </w:rPr>
              <w:t>8</w:t>
            </w:r>
          </w:p>
        </w:tc>
        <w:tc>
          <w:tcPr>
            <w:tcW w:w="3118" w:type="dxa"/>
          </w:tcPr>
          <w:p w14:paraId="2E4BC4A6" w14:textId="77777777" w:rsidR="00C27DBE" w:rsidRPr="007D0AE7" w:rsidRDefault="00C27DBE" w:rsidP="00CF1234">
            <w:pPr>
              <w:spacing w:after="0" w:line="240" w:lineRule="auto"/>
              <w:rPr>
                <w:rFonts w:ascii="Times New Roman" w:eastAsia="Times New Roman" w:hAnsi="Times New Roman" w:cs="Times New Roman"/>
                <w:color w:val="000000"/>
                <w:kern w:val="0"/>
                <w:lang w:val="en-GB"/>
                <w14:ligatures w14:val="none"/>
              </w:rPr>
            </w:pPr>
          </w:p>
        </w:tc>
      </w:tr>
      <w:tr w:rsidR="00AC7487" w:rsidRPr="00BB73DD" w14:paraId="470496A2" w14:textId="77777777" w:rsidTr="00CF1234">
        <w:trPr>
          <w:trHeight w:val="288"/>
        </w:trPr>
        <w:tc>
          <w:tcPr>
            <w:tcW w:w="2865" w:type="dxa"/>
            <w:shd w:val="clear" w:color="auto" w:fill="auto"/>
            <w:noWrap/>
            <w:vAlign w:val="bottom"/>
          </w:tcPr>
          <w:p w14:paraId="72C5858E"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c>
          <w:tcPr>
            <w:tcW w:w="3089" w:type="dxa"/>
            <w:shd w:val="clear" w:color="auto" w:fill="auto"/>
            <w:noWrap/>
            <w:vAlign w:val="bottom"/>
          </w:tcPr>
          <w:p w14:paraId="1EA18310" w14:textId="6C4FE81A"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Normal</w:t>
            </w:r>
          </w:p>
        </w:tc>
        <w:tc>
          <w:tcPr>
            <w:tcW w:w="1134" w:type="dxa"/>
            <w:shd w:val="clear" w:color="auto" w:fill="auto"/>
            <w:noWrap/>
            <w:vAlign w:val="bottom"/>
          </w:tcPr>
          <w:p w14:paraId="352DB4A3" w14:textId="50882A5A"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8 - 48</w:t>
            </w:r>
          </w:p>
        </w:tc>
        <w:tc>
          <w:tcPr>
            <w:tcW w:w="3118" w:type="dxa"/>
          </w:tcPr>
          <w:p w14:paraId="3577910E"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r>
      <w:tr w:rsidR="00AC7487" w:rsidRPr="00BB73DD" w14:paraId="201190F3" w14:textId="77777777" w:rsidTr="00CF1234">
        <w:trPr>
          <w:trHeight w:val="288"/>
        </w:trPr>
        <w:tc>
          <w:tcPr>
            <w:tcW w:w="2865" w:type="dxa"/>
            <w:shd w:val="clear" w:color="auto" w:fill="auto"/>
            <w:noWrap/>
            <w:vAlign w:val="bottom"/>
            <w:hideMark/>
          </w:tcPr>
          <w:p w14:paraId="14D0876C" w14:textId="77777777" w:rsidR="00AC7487" w:rsidRPr="007D0AE7" w:rsidRDefault="00AC7487" w:rsidP="00AC7487">
            <w:pPr>
              <w:spacing w:after="0" w:line="240" w:lineRule="auto"/>
              <w:rPr>
                <w:rFonts w:ascii="Times New Roman" w:eastAsia="Times New Roman" w:hAnsi="Times New Roman" w:cs="Times New Roman"/>
                <w:kern w:val="0"/>
                <w:lang w:val="en-GB"/>
                <w14:ligatures w14:val="none"/>
              </w:rPr>
            </w:pPr>
          </w:p>
        </w:tc>
        <w:tc>
          <w:tcPr>
            <w:tcW w:w="3089" w:type="dxa"/>
            <w:shd w:val="clear" w:color="auto" w:fill="auto"/>
            <w:noWrap/>
            <w:vAlign w:val="bottom"/>
            <w:hideMark/>
          </w:tcPr>
          <w:p w14:paraId="1EE7E818"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Elevated</w:t>
            </w:r>
          </w:p>
        </w:tc>
        <w:tc>
          <w:tcPr>
            <w:tcW w:w="1134" w:type="dxa"/>
            <w:shd w:val="clear" w:color="auto" w:fill="auto"/>
            <w:noWrap/>
            <w:vAlign w:val="bottom"/>
            <w:hideMark/>
          </w:tcPr>
          <w:p w14:paraId="41BF9A7D"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&gt; 48</w:t>
            </w:r>
          </w:p>
        </w:tc>
        <w:tc>
          <w:tcPr>
            <w:tcW w:w="3118" w:type="dxa"/>
          </w:tcPr>
          <w:p w14:paraId="6E9688F8" w14:textId="5E200C4A"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fldChar w:fldCharType="begin"/>
            </w:r>
            <w:r>
              <w:rPr>
                <w:rFonts w:ascii="Times New Roman" w:eastAsia="Times New Roman" w:hAnsi="Times New Roman" w:cs="Times New Roman"/>
                <w:color w:val="000000"/>
                <w:kern w:val="0"/>
                <w:lang w:val="en-GB"/>
                <w14:ligatures w14:val="none"/>
              </w:rPr>
              <w:instrText xml:space="preserve"> ADDIN EN.CITE &lt;EndNote&gt;&lt;Cite&gt;&lt;Author&gt;Nelsen&lt;/Author&gt;&lt;Year&gt;2012&lt;/Year&gt;&lt;RecNum&gt;411&lt;/RecNum&gt;&lt;DisplayText&gt;(59)&lt;/DisplayText&gt;&lt;record&gt;&lt;rec-number&gt;411&lt;/rec-number&gt;&lt;foreign-keys&gt;&lt;key app="EN" db-id="pwftt529rzxevye5t0a5fwv9rr9wftvx5zet" timestamp="1734877845" guid="8eda806d-4ba6-482b-8cc8-405513e4cf7c"&gt;411&lt;/key&gt;&lt;/foreign-keys&gt;&lt;ref-type name="Journal Article"&gt;17&lt;/ref-type&gt;&lt;contributors&gt;&lt;authors&gt;&lt;author&gt;Nelsen, Eric M.&lt;/author&gt;&lt;author&gt;Newman, Darrell B.&lt;/author&gt;&lt;author&gt;Sweetser, Seth&lt;/author&gt;&lt;/authors&gt;&lt;/contributors&gt;&lt;titles&gt;&lt;title&gt;52-Year-Old Man With Liver Enzyme Abnormalities and Elevated Ferritin Level&lt;/title&gt;&lt;secondary-title&gt;Mayo Clinic Proceedings&lt;/secondary-title&gt;&lt;/titles&gt;&lt;periodical&gt;&lt;full-title&gt;Mayo Clinic Proceedings&lt;/full-title&gt;&lt;/periodical&gt;&lt;pages&gt;94-97&lt;/pages&gt;&lt;volume&gt;87&lt;/volume&gt;&lt;number&gt;1&lt;/number&gt;&lt;dates&gt;&lt;year&gt;2012&lt;/year&gt;&lt;pub-dates&gt;&lt;date&gt;2012-01-01&lt;/date&gt;&lt;/pub-dates&gt;&lt;/dates&gt;&lt;publisher&gt;Elsevier BV&lt;/publisher&gt;&lt;isbn&gt;0025-6196&lt;/isbn&gt;&lt;urls&gt;&lt;related-urls&gt;&lt;url&gt;https://www.ncbi.nlm.nih.gov/pmc/articles/PMC3498216&lt;/url&gt;&lt;/related-urls&gt;&lt;/urls&gt;&lt;electronic-resource-num&gt;10.1016/j.mayocp.2011.08.004&lt;/electronic-resource-num&gt;&lt;access-date&gt;2024-12-22T14:29:20&lt;/access-date&gt;&lt;/record&gt;&lt;/Cite&gt;&lt;/EndNote&gt;</w:instrText>
            </w:r>
            <w:r w:rsidRPr="007D0AE7">
              <w:rPr>
                <w:rFonts w:ascii="Times New Roman" w:eastAsia="Times New Roman" w:hAnsi="Times New Roman" w:cs="Times New Roman"/>
                <w:color w:val="000000"/>
                <w:kern w:val="0"/>
                <w:lang w:val="en-GB"/>
                <w14:ligatures w14:val="none"/>
              </w:rPr>
              <w:fldChar w:fldCharType="separate"/>
            </w:r>
            <w:r>
              <w:rPr>
                <w:rFonts w:ascii="Times New Roman" w:eastAsia="Times New Roman" w:hAnsi="Times New Roman" w:cs="Times New Roman"/>
                <w:noProof/>
                <w:color w:val="000000"/>
                <w:kern w:val="0"/>
                <w:lang w:val="en-GB"/>
                <w14:ligatures w14:val="none"/>
              </w:rPr>
              <w:t>(59)</w:t>
            </w:r>
            <w:r w:rsidRPr="007D0AE7">
              <w:rPr>
                <w:rFonts w:ascii="Times New Roman" w:eastAsia="Times New Roman" w:hAnsi="Times New Roman" w:cs="Times New Roman"/>
                <w:color w:val="000000"/>
                <w:kern w:val="0"/>
                <w:lang w:val="en-GB"/>
                <w14:ligatures w14:val="none"/>
              </w:rPr>
              <w:fldChar w:fldCharType="end"/>
            </w:r>
          </w:p>
        </w:tc>
      </w:tr>
      <w:tr w:rsidR="00AC7487" w:rsidRPr="00BB73DD" w14:paraId="040E3138" w14:textId="77777777" w:rsidTr="00CF1234">
        <w:trPr>
          <w:trHeight w:val="288"/>
        </w:trPr>
        <w:tc>
          <w:tcPr>
            <w:tcW w:w="2865" w:type="dxa"/>
            <w:shd w:val="clear" w:color="auto" w:fill="auto"/>
            <w:noWrap/>
            <w:vAlign w:val="bottom"/>
          </w:tcPr>
          <w:p w14:paraId="64BB0A7E" w14:textId="77777777" w:rsidR="00AC7487" w:rsidRPr="007D0AE7" w:rsidRDefault="00AC7487" w:rsidP="00AC7487">
            <w:pPr>
              <w:spacing w:after="0" w:line="240" w:lineRule="auto"/>
              <w:rPr>
                <w:rFonts w:ascii="Times New Roman" w:eastAsia="Times New Roman" w:hAnsi="Times New Roman" w:cs="Times New Roman"/>
                <w:kern w:val="0"/>
                <w:lang w:val="en-GB"/>
                <w14:ligatures w14:val="none"/>
              </w:rPr>
            </w:pPr>
          </w:p>
        </w:tc>
        <w:tc>
          <w:tcPr>
            <w:tcW w:w="3089" w:type="dxa"/>
            <w:shd w:val="clear" w:color="auto" w:fill="auto"/>
            <w:noWrap/>
            <w:vAlign w:val="bottom"/>
          </w:tcPr>
          <w:p w14:paraId="768E670D"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c>
          <w:tcPr>
            <w:tcW w:w="1134" w:type="dxa"/>
            <w:shd w:val="clear" w:color="auto" w:fill="auto"/>
            <w:noWrap/>
            <w:vAlign w:val="bottom"/>
          </w:tcPr>
          <w:p w14:paraId="50145169"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c>
          <w:tcPr>
            <w:tcW w:w="3118" w:type="dxa"/>
          </w:tcPr>
          <w:p w14:paraId="3684145E"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r>
      <w:tr w:rsidR="00AC7487" w:rsidRPr="00BB73DD" w14:paraId="2028586B" w14:textId="77777777" w:rsidTr="00CF1234">
        <w:trPr>
          <w:trHeight w:val="288"/>
        </w:trPr>
        <w:tc>
          <w:tcPr>
            <w:tcW w:w="2865" w:type="dxa"/>
            <w:shd w:val="clear" w:color="auto" w:fill="auto"/>
            <w:noWrap/>
            <w:vAlign w:val="bottom"/>
            <w:hideMark/>
          </w:tcPr>
          <w:p w14:paraId="5CF281AF"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ALT(U/L)</w:t>
            </w:r>
          </w:p>
        </w:tc>
        <w:tc>
          <w:tcPr>
            <w:tcW w:w="3089" w:type="dxa"/>
            <w:shd w:val="clear" w:color="auto" w:fill="auto"/>
            <w:noWrap/>
            <w:vAlign w:val="bottom"/>
            <w:hideMark/>
          </w:tcPr>
          <w:p w14:paraId="5E65F462" w14:textId="3307DBFF"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Pr>
                <w:rFonts w:ascii="Times New Roman" w:eastAsia="Times New Roman" w:hAnsi="Times New Roman" w:cs="Times New Roman"/>
                <w:color w:val="000000"/>
                <w:kern w:val="0"/>
                <w:lang w:val="en-GB"/>
                <w14:ligatures w14:val="none"/>
              </w:rPr>
              <w:t>Low</w:t>
            </w:r>
          </w:p>
        </w:tc>
        <w:tc>
          <w:tcPr>
            <w:tcW w:w="1134" w:type="dxa"/>
            <w:shd w:val="clear" w:color="auto" w:fill="auto"/>
            <w:noWrap/>
            <w:vAlign w:val="bottom"/>
            <w:hideMark/>
          </w:tcPr>
          <w:p w14:paraId="085D3D54" w14:textId="668DDC98"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Pr>
                <w:rFonts w:ascii="Times New Roman" w:eastAsia="Times New Roman" w:hAnsi="Times New Roman" w:cs="Times New Roman"/>
                <w:color w:val="000000"/>
                <w:kern w:val="0"/>
                <w:lang w:val="en-GB"/>
                <w14:ligatures w14:val="none"/>
              </w:rPr>
              <w:t xml:space="preserve">&lt; </w:t>
            </w:r>
            <w:r w:rsidRPr="007D0AE7">
              <w:rPr>
                <w:rFonts w:ascii="Times New Roman" w:eastAsia="Times New Roman" w:hAnsi="Times New Roman" w:cs="Times New Roman"/>
                <w:color w:val="000000"/>
                <w:kern w:val="0"/>
                <w:lang w:val="en-GB"/>
                <w14:ligatures w14:val="none"/>
              </w:rPr>
              <w:t>7</w:t>
            </w:r>
          </w:p>
        </w:tc>
        <w:tc>
          <w:tcPr>
            <w:tcW w:w="3118" w:type="dxa"/>
          </w:tcPr>
          <w:p w14:paraId="7C067E4D"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r>
      <w:tr w:rsidR="00AC7487" w:rsidRPr="00BB73DD" w14:paraId="5865B8DA" w14:textId="77777777" w:rsidTr="00CF1234">
        <w:trPr>
          <w:trHeight w:val="288"/>
        </w:trPr>
        <w:tc>
          <w:tcPr>
            <w:tcW w:w="2865" w:type="dxa"/>
            <w:shd w:val="clear" w:color="auto" w:fill="auto"/>
            <w:noWrap/>
            <w:vAlign w:val="bottom"/>
          </w:tcPr>
          <w:p w14:paraId="50A3A704"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c>
          <w:tcPr>
            <w:tcW w:w="3089" w:type="dxa"/>
            <w:shd w:val="clear" w:color="auto" w:fill="auto"/>
            <w:noWrap/>
            <w:vAlign w:val="bottom"/>
          </w:tcPr>
          <w:p w14:paraId="314B2363" w14:textId="4B549D75"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Normal</w:t>
            </w:r>
          </w:p>
        </w:tc>
        <w:tc>
          <w:tcPr>
            <w:tcW w:w="1134" w:type="dxa"/>
            <w:shd w:val="clear" w:color="auto" w:fill="auto"/>
            <w:noWrap/>
            <w:vAlign w:val="bottom"/>
          </w:tcPr>
          <w:p w14:paraId="2A996C20" w14:textId="08295FCF"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7–55</w:t>
            </w:r>
          </w:p>
        </w:tc>
        <w:tc>
          <w:tcPr>
            <w:tcW w:w="3118" w:type="dxa"/>
          </w:tcPr>
          <w:p w14:paraId="5AD5D553"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r>
      <w:tr w:rsidR="00AC7487" w:rsidRPr="00BB73DD" w14:paraId="4BB9B1B0" w14:textId="77777777" w:rsidTr="00CF1234">
        <w:trPr>
          <w:trHeight w:val="288"/>
        </w:trPr>
        <w:tc>
          <w:tcPr>
            <w:tcW w:w="2865" w:type="dxa"/>
            <w:tcBorders>
              <w:bottom w:val="single" w:sz="12" w:space="0" w:color="auto"/>
            </w:tcBorders>
            <w:shd w:val="clear" w:color="auto" w:fill="auto"/>
            <w:noWrap/>
            <w:vAlign w:val="bottom"/>
            <w:hideMark/>
          </w:tcPr>
          <w:p w14:paraId="46D4D1DE" w14:textId="77777777" w:rsidR="00AC7487" w:rsidRPr="007D0AE7" w:rsidRDefault="00AC7487" w:rsidP="00AC7487">
            <w:pPr>
              <w:spacing w:after="0" w:line="240" w:lineRule="auto"/>
              <w:rPr>
                <w:rFonts w:ascii="Times New Roman" w:eastAsia="Times New Roman" w:hAnsi="Times New Roman" w:cs="Times New Roman"/>
                <w:kern w:val="0"/>
                <w:lang w:val="en-GB"/>
                <w14:ligatures w14:val="none"/>
              </w:rPr>
            </w:pPr>
          </w:p>
        </w:tc>
        <w:tc>
          <w:tcPr>
            <w:tcW w:w="3089" w:type="dxa"/>
            <w:tcBorders>
              <w:bottom w:val="single" w:sz="12" w:space="0" w:color="auto"/>
            </w:tcBorders>
            <w:shd w:val="clear" w:color="auto" w:fill="auto"/>
            <w:noWrap/>
            <w:vAlign w:val="bottom"/>
            <w:hideMark/>
          </w:tcPr>
          <w:p w14:paraId="6D84190C"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Elevated</w:t>
            </w:r>
          </w:p>
        </w:tc>
        <w:tc>
          <w:tcPr>
            <w:tcW w:w="1134" w:type="dxa"/>
            <w:tcBorders>
              <w:bottom w:val="single" w:sz="12" w:space="0" w:color="auto"/>
            </w:tcBorders>
            <w:shd w:val="clear" w:color="auto" w:fill="auto"/>
            <w:noWrap/>
            <w:vAlign w:val="bottom"/>
            <w:hideMark/>
          </w:tcPr>
          <w:p w14:paraId="7FC1D4AC"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r w:rsidRPr="007D0AE7">
              <w:rPr>
                <w:rFonts w:ascii="Times New Roman" w:eastAsia="Times New Roman" w:hAnsi="Times New Roman" w:cs="Times New Roman"/>
                <w:color w:val="000000"/>
                <w:kern w:val="0"/>
                <w:lang w:val="en-GB"/>
                <w14:ligatures w14:val="none"/>
              </w:rPr>
              <w:t>&gt; 55</w:t>
            </w:r>
          </w:p>
        </w:tc>
        <w:tc>
          <w:tcPr>
            <w:tcW w:w="3118" w:type="dxa"/>
            <w:tcBorders>
              <w:bottom w:val="single" w:sz="12" w:space="0" w:color="auto"/>
            </w:tcBorders>
          </w:tcPr>
          <w:p w14:paraId="4A08B94E" w14:textId="77777777" w:rsidR="00AC7487" w:rsidRPr="007D0AE7" w:rsidRDefault="00AC7487" w:rsidP="00AC7487">
            <w:pPr>
              <w:spacing w:after="0" w:line="240" w:lineRule="auto"/>
              <w:rPr>
                <w:rFonts w:ascii="Times New Roman" w:eastAsia="Times New Roman" w:hAnsi="Times New Roman" w:cs="Times New Roman"/>
                <w:color w:val="000000"/>
                <w:kern w:val="0"/>
                <w:lang w:val="en-GB"/>
                <w14:ligatures w14:val="none"/>
              </w:rPr>
            </w:pPr>
          </w:p>
        </w:tc>
      </w:tr>
    </w:tbl>
    <w:bookmarkEnd w:id="0"/>
    <w:p w14:paraId="250C40D7" w14:textId="55307AB5" w:rsidR="00611BAB" w:rsidRDefault="009F4463" w:rsidP="00B43CCF">
      <w:pPr>
        <w:spacing w:line="360" w:lineRule="auto"/>
        <w:jc w:val="both"/>
      </w:pPr>
      <w:r>
        <w:rPr>
          <w:rFonts w:ascii="Times New Roman" w:eastAsia="Times New Roman" w:hAnsi="Times New Roman" w:cs="Times New Roman"/>
          <w:color w:val="000000"/>
          <w:kern w:val="0"/>
          <w:lang w:val="en-GB"/>
          <w14:ligatures w14:val="none"/>
        </w:rPr>
        <w:t>eGFR: e</w:t>
      </w:r>
      <w:r w:rsidR="00A80408" w:rsidRPr="007D0AE7">
        <w:rPr>
          <w:rFonts w:ascii="Times New Roman" w:eastAsia="Times New Roman" w:hAnsi="Times New Roman" w:cs="Times New Roman"/>
          <w:color w:val="000000"/>
          <w:kern w:val="0"/>
          <w:lang w:val="en-GB"/>
          <w14:ligatures w14:val="none"/>
        </w:rPr>
        <w:t xml:space="preserve">stimated </w:t>
      </w:r>
      <w:r>
        <w:rPr>
          <w:rFonts w:ascii="Times New Roman" w:eastAsia="Times New Roman" w:hAnsi="Times New Roman" w:cs="Times New Roman"/>
          <w:color w:val="000000"/>
          <w:kern w:val="0"/>
          <w:lang w:val="en-GB"/>
          <w14:ligatures w14:val="none"/>
        </w:rPr>
        <w:t>g</w:t>
      </w:r>
      <w:r w:rsidR="00A80408" w:rsidRPr="007D0AE7">
        <w:rPr>
          <w:rFonts w:ascii="Times New Roman" w:eastAsia="Times New Roman" w:hAnsi="Times New Roman" w:cs="Times New Roman"/>
          <w:color w:val="000000"/>
          <w:kern w:val="0"/>
          <w:lang w:val="en-GB"/>
          <w14:ligatures w14:val="none"/>
        </w:rPr>
        <w:t xml:space="preserve">lomerular </w:t>
      </w:r>
      <w:r>
        <w:rPr>
          <w:rFonts w:ascii="Times New Roman" w:eastAsia="Times New Roman" w:hAnsi="Times New Roman" w:cs="Times New Roman"/>
          <w:color w:val="000000"/>
          <w:kern w:val="0"/>
          <w:lang w:val="en-GB"/>
          <w14:ligatures w14:val="none"/>
        </w:rPr>
        <w:t>f</w:t>
      </w:r>
      <w:r w:rsidR="00A80408" w:rsidRPr="007D0AE7">
        <w:rPr>
          <w:rFonts w:ascii="Times New Roman" w:eastAsia="Times New Roman" w:hAnsi="Times New Roman" w:cs="Times New Roman"/>
          <w:color w:val="000000"/>
          <w:kern w:val="0"/>
          <w:lang w:val="en-GB"/>
          <w14:ligatures w14:val="none"/>
        </w:rPr>
        <w:t xml:space="preserve">iltration </w:t>
      </w:r>
      <w:r>
        <w:rPr>
          <w:rFonts w:ascii="Times New Roman" w:eastAsia="Times New Roman" w:hAnsi="Times New Roman" w:cs="Times New Roman"/>
          <w:color w:val="000000"/>
          <w:kern w:val="0"/>
          <w:lang w:val="en-GB"/>
          <w14:ligatures w14:val="none"/>
        </w:rPr>
        <w:t>r</w:t>
      </w:r>
      <w:r w:rsidR="00A80408" w:rsidRPr="007D0AE7">
        <w:rPr>
          <w:rFonts w:ascii="Times New Roman" w:eastAsia="Times New Roman" w:hAnsi="Times New Roman" w:cs="Times New Roman"/>
          <w:color w:val="000000"/>
          <w:kern w:val="0"/>
          <w:lang w:val="en-GB"/>
          <w14:ligatures w14:val="none"/>
        </w:rPr>
        <w:t>ate,</w:t>
      </w:r>
      <w:r w:rsidR="00A80408">
        <w:rPr>
          <w:rFonts w:ascii="Times New Roman" w:eastAsia="Times New Roman" w:hAnsi="Times New Roman" w:cs="Times New Roman"/>
          <w:color w:val="000000"/>
          <w:kern w:val="0"/>
          <w:lang w:val="en-GB"/>
          <w14:ligatures w14:val="none"/>
        </w:rPr>
        <w:t xml:space="preserve"> </w:t>
      </w:r>
      <w:r w:rsidR="00A80408" w:rsidRPr="007D0AE7">
        <w:rPr>
          <w:rFonts w:ascii="Times New Roman" w:eastAsia="Times New Roman" w:hAnsi="Times New Roman" w:cs="Times New Roman"/>
          <w:color w:val="000000"/>
          <w:kern w:val="0"/>
          <w:lang w:val="en-GB"/>
          <w14:ligatures w14:val="none"/>
        </w:rPr>
        <w:t xml:space="preserve">AST: </w:t>
      </w:r>
      <w:r>
        <w:rPr>
          <w:rFonts w:ascii="Times New Roman" w:eastAsia="Times New Roman" w:hAnsi="Times New Roman" w:cs="Times New Roman"/>
          <w:color w:val="000000"/>
          <w:kern w:val="0"/>
          <w:lang w:val="en-GB"/>
          <w14:ligatures w14:val="none"/>
        </w:rPr>
        <w:t>a</w:t>
      </w:r>
      <w:r w:rsidR="00A80408" w:rsidRPr="007D0AE7">
        <w:rPr>
          <w:rFonts w:ascii="Times New Roman" w:eastAsia="Times New Roman" w:hAnsi="Times New Roman" w:cs="Times New Roman"/>
          <w:color w:val="000000"/>
          <w:kern w:val="0"/>
          <w:lang w:val="en-GB"/>
          <w14:ligatures w14:val="none"/>
        </w:rPr>
        <w:t xml:space="preserve">spartate aminotransferase, ALT: </w:t>
      </w:r>
      <w:r>
        <w:rPr>
          <w:rFonts w:ascii="Times New Roman" w:eastAsia="Times New Roman" w:hAnsi="Times New Roman" w:cs="Times New Roman"/>
          <w:color w:val="000000"/>
          <w:kern w:val="0"/>
          <w:lang w:val="en-GB"/>
          <w14:ligatures w14:val="none"/>
        </w:rPr>
        <w:t>a</w:t>
      </w:r>
      <w:r w:rsidR="00A80408" w:rsidRPr="007D0AE7">
        <w:rPr>
          <w:rFonts w:ascii="Times New Roman" w:eastAsia="Times New Roman" w:hAnsi="Times New Roman" w:cs="Times New Roman"/>
          <w:color w:val="000000"/>
          <w:kern w:val="0"/>
          <w:lang w:val="en-GB"/>
          <w14:ligatures w14:val="none"/>
        </w:rPr>
        <w:t>lanine aminotransferase</w:t>
      </w:r>
    </w:p>
    <w:sectPr w:rsidR="00611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wftt529rzxevye5t0a5fwv9rr9wftvx5zet&quot;&gt;My EndNote Library-Converted&lt;record-ids&gt;&lt;item&gt;134&lt;/item&gt;&lt;item&gt;146&lt;/item&gt;&lt;item&gt;148&lt;/item&gt;&lt;item&gt;379&lt;/item&gt;&lt;item&gt;380&lt;/item&gt;&lt;item&gt;411&lt;/item&gt;&lt;/record-ids&gt;&lt;/item&gt;&lt;/Libraries&gt;"/>
  </w:docVars>
  <w:rsids>
    <w:rsidRoot w:val="00C27DBE"/>
    <w:rsid w:val="000D5FD6"/>
    <w:rsid w:val="000F30AF"/>
    <w:rsid w:val="00155C75"/>
    <w:rsid w:val="00184130"/>
    <w:rsid w:val="004422AD"/>
    <w:rsid w:val="00611BAB"/>
    <w:rsid w:val="00613DE6"/>
    <w:rsid w:val="00762869"/>
    <w:rsid w:val="009442A7"/>
    <w:rsid w:val="009F4463"/>
    <w:rsid w:val="00A80408"/>
    <w:rsid w:val="00AC7487"/>
    <w:rsid w:val="00AF3FF2"/>
    <w:rsid w:val="00B43CCF"/>
    <w:rsid w:val="00C27DBE"/>
    <w:rsid w:val="00D27987"/>
    <w:rsid w:val="00D62EFA"/>
    <w:rsid w:val="00E66CF1"/>
    <w:rsid w:val="00EA3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C36A"/>
  <w15:chartTrackingRefBased/>
  <w15:docId w15:val="{40CE3AB3-473F-4BCE-9CB6-74FF1402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DBE"/>
  </w:style>
  <w:style w:type="paragraph" w:styleId="Heading1">
    <w:name w:val="heading 1"/>
    <w:basedOn w:val="Normal"/>
    <w:next w:val="Normal"/>
    <w:link w:val="Heading1Char"/>
    <w:uiPriority w:val="9"/>
    <w:qFormat/>
    <w:rsid w:val="00C27DB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27DB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27DB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27DB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27DB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27D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7D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7D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7D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DB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27DB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27DB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27DB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27DB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27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7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7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7DBE"/>
    <w:rPr>
      <w:rFonts w:eastAsiaTheme="majorEastAsia" w:cstheme="majorBidi"/>
      <w:color w:val="272727" w:themeColor="text1" w:themeTint="D8"/>
    </w:rPr>
  </w:style>
  <w:style w:type="paragraph" w:styleId="Title">
    <w:name w:val="Title"/>
    <w:basedOn w:val="Normal"/>
    <w:next w:val="Normal"/>
    <w:link w:val="TitleChar"/>
    <w:uiPriority w:val="10"/>
    <w:qFormat/>
    <w:rsid w:val="00C27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7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7D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7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7DBE"/>
    <w:pPr>
      <w:spacing w:before="160"/>
      <w:jc w:val="center"/>
    </w:pPr>
    <w:rPr>
      <w:i/>
      <w:iCs/>
      <w:color w:val="404040" w:themeColor="text1" w:themeTint="BF"/>
    </w:rPr>
  </w:style>
  <w:style w:type="character" w:customStyle="1" w:styleId="QuoteChar">
    <w:name w:val="Quote Char"/>
    <w:basedOn w:val="DefaultParagraphFont"/>
    <w:link w:val="Quote"/>
    <w:uiPriority w:val="29"/>
    <w:rsid w:val="00C27DBE"/>
    <w:rPr>
      <w:i/>
      <w:iCs/>
      <w:color w:val="404040" w:themeColor="text1" w:themeTint="BF"/>
    </w:rPr>
  </w:style>
  <w:style w:type="paragraph" w:styleId="ListParagraph">
    <w:name w:val="List Paragraph"/>
    <w:basedOn w:val="Normal"/>
    <w:uiPriority w:val="34"/>
    <w:qFormat/>
    <w:rsid w:val="00C27DBE"/>
    <w:pPr>
      <w:ind w:left="720"/>
      <w:contextualSpacing/>
    </w:pPr>
  </w:style>
  <w:style w:type="character" w:styleId="IntenseEmphasis">
    <w:name w:val="Intense Emphasis"/>
    <w:basedOn w:val="DefaultParagraphFont"/>
    <w:uiPriority w:val="21"/>
    <w:qFormat/>
    <w:rsid w:val="00C27DBE"/>
    <w:rPr>
      <w:i/>
      <w:iCs/>
      <w:color w:val="2E74B5" w:themeColor="accent1" w:themeShade="BF"/>
    </w:rPr>
  </w:style>
  <w:style w:type="paragraph" w:styleId="IntenseQuote">
    <w:name w:val="Intense Quote"/>
    <w:basedOn w:val="Normal"/>
    <w:next w:val="Normal"/>
    <w:link w:val="IntenseQuoteChar"/>
    <w:uiPriority w:val="30"/>
    <w:qFormat/>
    <w:rsid w:val="00C27DB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27DBE"/>
    <w:rPr>
      <w:i/>
      <w:iCs/>
      <w:color w:val="2E74B5" w:themeColor="accent1" w:themeShade="BF"/>
    </w:rPr>
  </w:style>
  <w:style w:type="character" w:styleId="IntenseReference">
    <w:name w:val="Intense Reference"/>
    <w:basedOn w:val="DefaultParagraphFont"/>
    <w:uiPriority w:val="32"/>
    <w:qFormat/>
    <w:rsid w:val="00C27DBE"/>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609B9-3A49-4EBB-9D83-66BC77824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1596</Words>
  <Characters>9101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Appeaning</dc:creator>
  <cp:keywords/>
  <dc:description/>
  <cp:lastModifiedBy>Appeaning Mark</cp:lastModifiedBy>
  <cp:revision>2</cp:revision>
  <dcterms:created xsi:type="dcterms:W3CDTF">2025-05-09T13:11:00Z</dcterms:created>
  <dcterms:modified xsi:type="dcterms:W3CDTF">2025-05-09T13:11:00Z</dcterms:modified>
</cp:coreProperties>
</file>