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A75C8" w14:textId="47BF0611" w:rsidR="00110698" w:rsidRDefault="00110698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noProof/>
          <w:sz w:val="24"/>
          <w:szCs w:val="24"/>
          <w14:ligatures w14:val="none"/>
        </w:rPr>
        <w:drawing>
          <wp:inline distT="0" distB="0" distL="0" distR="0" wp14:anchorId="065898D0" wp14:editId="3A426B12">
            <wp:extent cx="5220335" cy="8863330"/>
            <wp:effectExtent l="0" t="0" r="0" b="0"/>
            <wp:docPr id="919297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297005" name="Picture 9192970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0DC0" w14:textId="386B9832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 w:hint="eastAsia"/>
          <w:sz w:val="24"/>
          <w:szCs w:val="24"/>
          <w:highlight w:val="green"/>
        </w:rPr>
        <w:lastRenderedPageBreak/>
        <w:t xml:space="preserve">Figure S1 </w:t>
      </w:r>
      <w:r>
        <w:rPr>
          <w:rFonts w:ascii="Times New Roman" w:hAnsi="Times New Roman" w:cs="Times New Roman"/>
          <w:sz w:val="24"/>
          <w:szCs w:val="24"/>
          <w:highlight w:val="green"/>
        </w:rPr>
        <w:t>Temporal evolution of reference co-citation clusters by publication type. Peaks indicate</w:t>
      </w:r>
      <w:r>
        <w:rPr>
          <w:rFonts w:ascii="Times New Roman" w:hAnsi="Times New Roman" w:cs="Times New Roman" w:hint="eastAsia"/>
          <w:sz w:val="24"/>
          <w:szCs w:val="24"/>
          <w:highlight w:val="green"/>
        </w:rPr>
        <w:t>d</w:t>
      </w:r>
      <w:r>
        <w:rPr>
          <w:rFonts w:ascii="Times New Roman" w:hAnsi="Times New Roman" w:cs="Times New Roman"/>
          <w:sz w:val="24"/>
          <w:szCs w:val="24"/>
          <w:highlight w:val="green"/>
        </w:rPr>
        <w:t xml:space="preserve"> key thematic clusters.</w:t>
      </w:r>
    </w:p>
    <w:p w14:paraId="2131A449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proofErr w:type="gramStart"/>
      <w:r>
        <w:rPr>
          <w:rFonts w:ascii="Times New Roman" w:hAnsi="Times New Roman" w:cs="Times New Roman"/>
          <w:sz w:val="24"/>
          <w:szCs w:val="24"/>
          <w:highlight w:val="green"/>
        </w:rPr>
        <w:t>a Research</w:t>
      </w:r>
      <w:proofErr w:type="gramEnd"/>
      <w:r>
        <w:rPr>
          <w:rFonts w:ascii="Times New Roman" w:hAnsi="Times New Roman" w:cs="Times New Roman"/>
          <w:sz w:val="24"/>
          <w:szCs w:val="24"/>
          <w:highlight w:val="green"/>
        </w:rPr>
        <w:t xml:space="preserve"> articles</w:t>
      </w:r>
    </w:p>
    <w:p w14:paraId="34E03AB7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b Review articles</w:t>
      </w:r>
    </w:p>
    <w:p w14:paraId="781A94EC" w14:textId="0258A6B9" w:rsidR="00110698" w:rsidRDefault="00110698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noProof/>
          <w:sz w:val="24"/>
          <w:szCs w:val="24"/>
          <w14:ligatures w14:val="none"/>
        </w:rPr>
        <w:drawing>
          <wp:inline distT="0" distB="0" distL="0" distR="0" wp14:anchorId="1E00C6AC" wp14:editId="3B43FCB4">
            <wp:extent cx="5274310" cy="6117590"/>
            <wp:effectExtent l="0" t="0" r="2540" b="0"/>
            <wp:docPr id="958577541" name="Picture 2" descr="A group of colorful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77541" name="Picture 2" descr="A group of colorful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1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38B5" w14:textId="1645354D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 w:hint="eastAsia"/>
          <w:sz w:val="24"/>
          <w:szCs w:val="24"/>
          <w:highlight w:val="green"/>
        </w:rPr>
        <w:t xml:space="preserve">Figure S2 Thematic keyword clusters across three time periods, categorized by publication type. Cluster visualization format matched Figure 5a. </w:t>
      </w:r>
    </w:p>
    <w:p w14:paraId="34853D31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For research articles:</w:t>
      </w:r>
    </w:p>
    <w:p w14:paraId="437B7F81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lastRenderedPageBreak/>
        <w:t>1985–2004 (a): Focus centered on individual pathogens and early immunization strategies, including clusters such as "#9 cytomegalovirus colitis", "#11 rotavirus", and "#1 oral vaccine"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6BDFF1A3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 xml:space="preserve">2005–2014 (b): Emphasis shifted to translational delivery, with "#1 rotavirus" and "#2 IBD" as dominant </w:t>
      </w:r>
      <w:proofErr w:type="gramStart"/>
      <w:r>
        <w:rPr>
          <w:rFonts w:ascii="Times New Roman" w:hAnsi="Times New Roman" w:cs="Times New Roman"/>
          <w:sz w:val="24"/>
          <w:szCs w:val="24"/>
          <w:highlight w:val="green"/>
        </w:rPr>
        <w:t>themes, and</w:t>
      </w:r>
      <w:proofErr w:type="gramEnd"/>
      <w:r>
        <w:rPr>
          <w:rFonts w:ascii="Times New Roman" w:hAnsi="Times New Roman" w:cs="Times New Roman"/>
          <w:sz w:val="24"/>
          <w:szCs w:val="24"/>
          <w:highlight w:val="green"/>
        </w:rPr>
        <w:t xml:space="preserve"> bridging clusters like "#3 oral administration" connecting immunization to disease.</w:t>
      </w:r>
    </w:p>
    <w:p w14:paraId="29518204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2015–2024 (c): Increasing integration of mucosal ecosystem concepts, linking "#0 H9N2 avian influenza virus" to "#7 epidemic diarrhea virus," and converging topics such as "#3 oral mucosa", "#2 viral infection", "#4 oral microbiome", and "#5 ulcerative colitis".</w:t>
      </w:r>
    </w:p>
    <w:p w14:paraId="52B7A4A6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For review articles:</w:t>
      </w:r>
    </w:p>
    <w:p w14:paraId="278BD48A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1985–2004 (d): Early clusters focused on foundational immunological concepts, including "#0 microparticle vaccine" and "#1 basic principle", alongside disease-specific topics.</w:t>
      </w:r>
    </w:p>
    <w:p w14:paraId="3D93B22F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2005–2014 (e): Emergence of translational themes, such as "#2 mucosal barrier" that bridged mechanistic insights with clinical relevance.</w:t>
      </w:r>
    </w:p>
    <w:p w14:paraId="3EC98CA5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2015–2024 (f): Cross-disciplinary integration became prominent, exemplified by the co-evolution of "#4 oral microbiome" and "#5 ulcerative colitis”, and the rise of ecological topics like "#0 gut mycobiome".</w:t>
      </w:r>
    </w:p>
    <w:p w14:paraId="034DD385" w14:textId="3042A696" w:rsidR="00110698" w:rsidRDefault="00110698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noProof/>
          <w:sz w:val="24"/>
          <w:szCs w:val="24"/>
          <w14:ligatures w14:val="none"/>
        </w:rPr>
        <w:lastRenderedPageBreak/>
        <w:drawing>
          <wp:inline distT="0" distB="0" distL="0" distR="0" wp14:anchorId="07FDA6D5" wp14:editId="65D86FC0">
            <wp:extent cx="4985385" cy="8863330"/>
            <wp:effectExtent l="0" t="0" r="5715" b="0"/>
            <wp:docPr id="908612832" name="Picture 3" descr="A close-up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12832" name="Picture 3" descr="A close-up of a char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DCE8C" w14:textId="2ED02CA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 w:hint="eastAsia"/>
          <w:sz w:val="24"/>
          <w:szCs w:val="24"/>
          <w:highlight w:val="green"/>
        </w:rPr>
        <w:lastRenderedPageBreak/>
        <w:t xml:space="preserve">Figure S3 </w:t>
      </w:r>
      <w:r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highlight w:val="green"/>
        </w:rPr>
        <w:t>Citation burst analysis of the top 25 keywords by publication type. Format consistent with Figure 6.</w:t>
      </w:r>
    </w:p>
    <w:p w14:paraId="65EBC5BA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 w:hint="eastAsia"/>
          <w:sz w:val="24"/>
          <w:szCs w:val="24"/>
          <w:highlight w:val="green"/>
        </w:rPr>
        <w:t>In research articles (a), "AIDS" (1990-2004, strength 42.18) and "monoclonal antibody" (1990-2004, lasting for 14 years) were the most prominent early bursts, reflecting the initial emphasis on HIV and immunological responses. Recent bursts include "inflammation" (2020-2024, strength 19.3) and "gut microbiota" (2014-2024, strength 24.9), highlighting a thematic shift toward mucosal immunology and microbial ecology. Notably, "microbial translocation" (2009-2019) served as a transitional keyword bridging historical and modern focuses, while sustained terms like "gastrointestinal tract" indicate persistent anatomical relevance.</w:t>
      </w:r>
    </w:p>
    <w:p w14:paraId="3ED649A0" w14:textId="77777777" w:rsidR="00342393" w:rsidRDefault="00000000">
      <w:pPr>
        <w:spacing w:line="480" w:lineRule="auto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 w:hint="eastAsia"/>
          <w:sz w:val="24"/>
          <w:szCs w:val="24"/>
          <w:highlight w:val="green"/>
        </w:rPr>
        <w:t xml:space="preserve">In contrast, review articles (b) exhibited longer and more conceptually anchored bursts. "Cholera toxin" (1991-2003) persisted for 12 years, reflecting foundational immunological theories, while "microbial translocation" (2009-2019) bridged mechanistic developments. Keywords such as "gut microbiota" (2014-2024) and "microbiota" (2019-2024) displayed longer burst durations than their research counterparts, suggesting growing conceptual consolidation. </w:t>
      </w:r>
    </w:p>
    <w:p w14:paraId="2499EF05" w14:textId="77777777" w:rsidR="00342393" w:rsidRDefault="00342393"/>
    <w:sectPr w:rsidR="00342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BE0265"/>
    <w:rsid w:val="00110698"/>
    <w:rsid w:val="00342393"/>
    <w:rsid w:val="0053578A"/>
    <w:rsid w:val="5ABE0265"/>
    <w:rsid w:val="5B183287"/>
    <w:rsid w:val="7118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88DE7"/>
  <w15:docId w15:val="{B568EF1C-EDB9-44AC-9D2E-767C8BFC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407</Words>
  <Characters>2321</Characters>
  <Application>Microsoft Office Word</Application>
  <DocSecurity>0</DocSecurity>
  <Lines>19</Lines>
  <Paragraphs>5</Paragraphs>
  <ScaleCrop>false</ScaleCrop>
  <Company>Springer Nature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</dc:creator>
  <cp:lastModifiedBy>Savio Anthony Barretto</cp:lastModifiedBy>
  <cp:revision>2</cp:revision>
  <dcterms:created xsi:type="dcterms:W3CDTF">2025-07-30T04:04:00Z</dcterms:created>
  <dcterms:modified xsi:type="dcterms:W3CDTF">2025-08-28T10:15:00Z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06D4534BD695479989BA93318FC2428D_13</vt:lpwstr>
  </property>
  <property fmtid="{D5CDD505-2E9C-101B-9397-08002B2CF9AE}" pid="4" name="KSOTemplateDocerSaveRecord">
    <vt:lpwstr>eyJoZGlkIjoiNWJjYzE3NDgwNmNmNTFhZTViZDEwNmQ3NTk3NDI2ZWEiLCJ1c2VySWQiOiI1NTU3ODExNzQifQ==</vt:lpwstr>
  </property>
</Properties>
</file>