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CABA" w14:textId="3AEC6B1A" w:rsidR="00687847" w:rsidRPr="00F66DD0" w:rsidRDefault="00F27A29" w:rsidP="00A54B6F">
      <w:pPr>
        <w:pStyle w:val="Heading1"/>
        <w:numPr>
          <w:ilvl w:val="0"/>
          <w:numId w:val="0"/>
        </w:numPr>
      </w:pPr>
      <w:bookmarkStart w:id="0" w:name="_Hlk158719741"/>
      <w:r w:rsidRPr="00F66DD0">
        <w:t xml:space="preserve">Bacteriophage T4 propagation in </w:t>
      </w:r>
      <w:proofErr w:type="gramStart"/>
      <w:r w:rsidRPr="00F66DD0">
        <w:rPr>
          <w:i/>
          <w:iCs/>
        </w:rPr>
        <w:t>E.coli</w:t>
      </w:r>
      <w:proofErr w:type="gramEnd"/>
      <w:r w:rsidRPr="00F66DD0">
        <w:t xml:space="preserve"> exposed to severe substrate limitation</w:t>
      </w:r>
      <w:bookmarkEnd w:id="0"/>
    </w:p>
    <w:p w14:paraId="5951C3FC" w14:textId="17820337" w:rsidR="00963CC9" w:rsidRPr="00F66DD0" w:rsidRDefault="00963CC9" w:rsidP="00F27A29">
      <w:pPr>
        <w:pStyle w:val="Heading1"/>
        <w:numPr>
          <w:ilvl w:val="0"/>
          <w:numId w:val="0"/>
        </w:numPr>
        <w:rPr>
          <w:b w:val="0"/>
          <w:bCs/>
          <w:sz w:val="20"/>
          <w:szCs w:val="20"/>
          <w:u w:val="single"/>
        </w:rPr>
      </w:pPr>
      <w:r w:rsidRPr="00F66DD0">
        <w:rPr>
          <w:b w:val="0"/>
          <w:bCs/>
          <w:sz w:val="20"/>
          <w:szCs w:val="20"/>
          <w:u w:val="single"/>
        </w:rPr>
        <w:t>Sup</w:t>
      </w:r>
      <w:r w:rsidR="00F27A29" w:rsidRPr="00F66DD0">
        <w:rPr>
          <w:b w:val="0"/>
          <w:bCs/>
          <w:sz w:val="20"/>
          <w:szCs w:val="20"/>
          <w:u w:val="single"/>
        </w:rPr>
        <w:t>p</w:t>
      </w:r>
      <w:r w:rsidR="00A54B6F" w:rsidRPr="00F66DD0">
        <w:rPr>
          <w:b w:val="0"/>
          <w:bCs/>
          <w:sz w:val="20"/>
          <w:szCs w:val="20"/>
          <w:u w:val="single"/>
        </w:rPr>
        <w:t>lementary</w:t>
      </w:r>
      <w:r w:rsidRPr="00F66DD0">
        <w:rPr>
          <w:b w:val="0"/>
          <w:bCs/>
          <w:sz w:val="20"/>
          <w:szCs w:val="20"/>
          <w:u w:val="single"/>
        </w:rPr>
        <w:t xml:space="preserve"> </w:t>
      </w:r>
      <w:r w:rsidR="00AE1A58" w:rsidRPr="00F66DD0">
        <w:rPr>
          <w:b w:val="0"/>
          <w:bCs/>
          <w:sz w:val="20"/>
          <w:szCs w:val="20"/>
          <w:u w:val="single"/>
        </w:rPr>
        <w:t>information</w:t>
      </w:r>
    </w:p>
    <w:p w14:paraId="6BF5BBA6" w14:textId="7EC6AB8C" w:rsidR="00F27A29" w:rsidRPr="00F66DD0" w:rsidRDefault="00F27A29" w:rsidP="00F27A29">
      <w:pPr>
        <w:spacing w:before="0" w:after="0" w:line="360" w:lineRule="auto"/>
      </w:pPr>
    </w:p>
    <w:p w14:paraId="66A623DC" w14:textId="2BE70798" w:rsidR="00A54B6F" w:rsidRPr="00F66DD0" w:rsidRDefault="00A54B6F" w:rsidP="00A54B6F">
      <w:pPr>
        <w:spacing w:after="0" w:line="360" w:lineRule="auto"/>
        <w:rPr>
          <w:sz w:val="20"/>
          <w:szCs w:val="16"/>
          <w:vertAlign w:val="superscript"/>
        </w:rPr>
      </w:pPr>
      <w:r w:rsidRPr="00F66DD0">
        <w:rPr>
          <w:sz w:val="20"/>
          <w:szCs w:val="16"/>
        </w:rPr>
        <w:t>Ana Lisac</w:t>
      </w:r>
      <w:r w:rsidRPr="00F66DD0">
        <w:rPr>
          <w:b/>
          <w:sz w:val="20"/>
          <w:szCs w:val="16"/>
          <w:vertAlign w:val="superscript"/>
        </w:rPr>
        <w:t>1</w:t>
      </w:r>
      <w:r w:rsidRPr="00F66DD0">
        <w:rPr>
          <w:sz w:val="20"/>
          <w:szCs w:val="16"/>
        </w:rPr>
        <w:t xml:space="preserve">, </w:t>
      </w:r>
      <w:proofErr w:type="spellStart"/>
      <w:r w:rsidRPr="00F66DD0">
        <w:rPr>
          <w:sz w:val="20"/>
          <w:szCs w:val="16"/>
        </w:rPr>
        <w:t>Aleš</w:t>
      </w:r>
      <w:proofErr w:type="spellEnd"/>
      <w:r w:rsidRPr="00F66DD0">
        <w:rPr>
          <w:sz w:val="20"/>
          <w:szCs w:val="16"/>
        </w:rPr>
        <w:t xml:space="preserve"> Podgornik</w:t>
      </w:r>
      <w:r w:rsidRPr="00F66DD0">
        <w:rPr>
          <w:b/>
          <w:sz w:val="20"/>
          <w:szCs w:val="16"/>
          <w:vertAlign w:val="superscript"/>
        </w:rPr>
        <w:t>1</w:t>
      </w:r>
    </w:p>
    <w:p w14:paraId="2A4A96E5" w14:textId="1AD3B23E" w:rsidR="00A54B6F" w:rsidRPr="00F66DD0" w:rsidRDefault="00A54B6F" w:rsidP="00A54B6F">
      <w:pPr>
        <w:spacing w:after="0" w:line="360" w:lineRule="auto"/>
        <w:rPr>
          <w:sz w:val="20"/>
          <w:szCs w:val="16"/>
        </w:rPr>
      </w:pPr>
      <w:r w:rsidRPr="00F66DD0">
        <w:rPr>
          <w:rFonts w:eastAsia="Times New Roman"/>
          <w:b/>
          <w:sz w:val="20"/>
          <w:szCs w:val="16"/>
          <w:vertAlign w:val="superscript"/>
        </w:rPr>
        <w:t>1</w:t>
      </w:r>
      <w:r w:rsidRPr="00F66DD0">
        <w:rPr>
          <w:sz w:val="20"/>
          <w:szCs w:val="16"/>
        </w:rPr>
        <w:t xml:space="preserve">University of Ljubljana, Faculty of Chemistry and Chemical Technology, </w:t>
      </w:r>
      <w:proofErr w:type="spellStart"/>
      <w:r w:rsidRPr="00F66DD0">
        <w:rPr>
          <w:sz w:val="20"/>
          <w:szCs w:val="16"/>
        </w:rPr>
        <w:t>Večna</w:t>
      </w:r>
      <w:proofErr w:type="spellEnd"/>
      <w:r w:rsidRPr="00F66DD0">
        <w:rPr>
          <w:sz w:val="20"/>
          <w:szCs w:val="16"/>
        </w:rPr>
        <w:t xml:space="preserve"> pot 113, Ljubljana, Slovenia</w:t>
      </w:r>
    </w:p>
    <w:p w14:paraId="4669A334" w14:textId="77777777" w:rsidR="00A54B6F" w:rsidRPr="00F66DD0" w:rsidRDefault="00A54B6F" w:rsidP="00A54B6F">
      <w:pPr>
        <w:spacing w:after="0" w:line="360" w:lineRule="auto"/>
        <w:rPr>
          <w:rFonts w:eastAsia="Times New Roman"/>
          <w:sz w:val="20"/>
          <w:szCs w:val="16"/>
        </w:rPr>
      </w:pPr>
    </w:p>
    <w:p w14:paraId="0A8B9494" w14:textId="77777777" w:rsidR="00A54B6F" w:rsidRPr="00F66DD0" w:rsidRDefault="00A54B6F" w:rsidP="00A54B6F">
      <w:pPr>
        <w:spacing w:after="0" w:line="360" w:lineRule="auto"/>
        <w:rPr>
          <w:rFonts w:eastAsia="Times New Roman"/>
          <w:sz w:val="20"/>
          <w:szCs w:val="16"/>
        </w:rPr>
      </w:pPr>
      <w:r w:rsidRPr="00F66DD0">
        <w:rPr>
          <w:rFonts w:eastAsia="Times New Roman"/>
          <w:sz w:val="20"/>
          <w:szCs w:val="16"/>
        </w:rPr>
        <w:t>Correspondence:</w:t>
      </w:r>
    </w:p>
    <w:p w14:paraId="27CFACE3" w14:textId="77777777" w:rsidR="00A54B6F" w:rsidRPr="00F66DD0" w:rsidRDefault="00A54B6F" w:rsidP="00A54B6F">
      <w:pPr>
        <w:spacing w:after="0" w:line="360" w:lineRule="auto"/>
        <w:rPr>
          <w:sz w:val="20"/>
          <w:szCs w:val="16"/>
        </w:rPr>
      </w:pPr>
      <w:r w:rsidRPr="00F66DD0">
        <w:rPr>
          <w:sz w:val="20"/>
          <w:szCs w:val="16"/>
        </w:rPr>
        <w:t xml:space="preserve">Ana Lisac, Faculty of Chemistry and Chemical Technology, </w:t>
      </w:r>
      <w:proofErr w:type="spellStart"/>
      <w:r w:rsidRPr="00F66DD0">
        <w:rPr>
          <w:sz w:val="20"/>
          <w:szCs w:val="16"/>
        </w:rPr>
        <w:t>Večna</w:t>
      </w:r>
      <w:proofErr w:type="spellEnd"/>
      <w:r w:rsidRPr="00F66DD0">
        <w:rPr>
          <w:sz w:val="20"/>
          <w:szCs w:val="16"/>
        </w:rPr>
        <w:t xml:space="preserve"> pot 113, 1000 Ljubljana, Slovenia, phone number: +386-40203394, E-mail: </w:t>
      </w:r>
      <w:hyperlink r:id="rId8" w:history="1">
        <w:r w:rsidRPr="00F66DD0">
          <w:rPr>
            <w:rStyle w:val="Hyperlink"/>
            <w:rFonts w:cstheme="minorHAnsi"/>
            <w:sz w:val="20"/>
            <w:szCs w:val="16"/>
          </w:rPr>
          <w:t>ana.lisac@fkkt.uni-lj.si</w:t>
        </w:r>
      </w:hyperlink>
    </w:p>
    <w:p w14:paraId="65284001" w14:textId="77777777" w:rsidR="00A54B6F" w:rsidRPr="00F66DD0" w:rsidRDefault="00A54B6F" w:rsidP="00A54B6F">
      <w:pPr>
        <w:spacing w:after="0" w:line="360" w:lineRule="auto"/>
        <w:rPr>
          <w:rFonts w:eastAsia="Times New Roman"/>
          <w:sz w:val="20"/>
          <w:szCs w:val="16"/>
        </w:rPr>
      </w:pPr>
      <w:r w:rsidRPr="00F66DD0">
        <w:rPr>
          <w:rFonts w:eastAsia="Times New Roman"/>
          <w:sz w:val="20"/>
          <w:szCs w:val="16"/>
        </w:rPr>
        <w:t xml:space="preserve">ORCID nr.: Ana Lisac (0000-0002-9517-3216), </w:t>
      </w:r>
      <w:proofErr w:type="spellStart"/>
      <w:r w:rsidRPr="00F66DD0">
        <w:rPr>
          <w:rFonts w:eastAsia="Times New Roman"/>
          <w:sz w:val="20"/>
          <w:szCs w:val="16"/>
        </w:rPr>
        <w:t>Aleš</w:t>
      </w:r>
      <w:proofErr w:type="spellEnd"/>
      <w:r w:rsidRPr="00F66DD0">
        <w:rPr>
          <w:rFonts w:eastAsia="Times New Roman"/>
          <w:sz w:val="20"/>
          <w:szCs w:val="16"/>
        </w:rPr>
        <w:t xml:space="preserve"> </w:t>
      </w:r>
      <w:proofErr w:type="spellStart"/>
      <w:r w:rsidRPr="00F66DD0">
        <w:rPr>
          <w:rFonts w:eastAsia="Times New Roman"/>
          <w:sz w:val="20"/>
          <w:szCs w:val="16"/>
        </w:rPr>
        <w:t>Podgornik</w:t>
      </w:r>
      <w:proofErr w:type="spellEnd"/>
      <w:r w:rsidRPr="00F66DD0">
        <w:rPr>
          <w:rFonts w:eastAsia="Times New Roman"/>
          <w:sz w:val="20"/>
          <w:szCs w:val="16"/>
        </w:rPr>
        <w:t xml:space="preserve"> (0000-0001-7308-0222)</w:t>
      </w:r>
    </w:p>
    <w:p w14:paraId="26B01591" w14:textId="77777777" w:rsidR="00A54B6F" w:rsidRPr="00F66DD0" w:rsidRDefault="00A54B6F" w:rsidP="00F27A29">
      <w:pPr>
        <w:spacing w:before="0" w:after="0" w:line="360" w:lineRule="auto"/>
      </w:pPr>
    </w:p>
    <w:p w14:paraId="24F1F5D7" w14:textId="04C7BA39" w:rsidR="00AE1A58" w:rsidRPr="00F66DD0" w:rsidRDefault="00AE1A58" w:rsidP="00F27A29">
      <w:pPr>
        <w:pStyle w:val="Heading2"/>
        <w:numPr>
          <w:ilvl w:val="0"/>
          <w:numId w:val="0"/>
        </w:numPr>
        <w:rPr>
          <w:sz w:val="20"/>
          <w:szCs w:val="20"/>
        </w:rPr>
      </w:pPr>
      <w:r w:rsidRPr="00F66DD0">
        <w:rPr>
          <w:sz w:val="20"/>
          <w:szCs w:val="20"/>
        </w:rPr>
        <w:t>Content:</w:t>
      </w:r>
    </w:p>
    <w:p w14:paraId="3524D0C2" w14:textId="7507C0DF" w:rsidR="00AE1A58" w:rsidRPr="00F66DD0" w:rsidRDefault="00AE1A58" w:rsidP="00AE1A58">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Derivation of Equation 2 (phage fitness)</w:t>
      </w:r>
    </w:p>
    <w:p w14:paraId="457F199B" w14:textId="4403287B" w:rsidR="0001558B" w:rsidRPr="00F66DD0" w:rsidRDefault="0001558B" w:rsidP="0001558B">
      <w:pPr>
        <w:pStyle w:val="ListParagraph"/>
        <w:keepNext/>
        <w:numPr>
          <w:ilvl w:val="0"/>
          <w:numId w:val="5"/>
        </w:numPr>
        <w:spacing w:before="0" w:after="160" w:line="480" w:lineRule="auto"/>
        <w:rPr>
          <w:sz w:val="20"/>
          <w:szCs w:val="20"/>
        </w:rPr>
      </w:pPr>
      <w:r w:rsidRPr="00F66DD0">
        <w:rPr>
          <w:b/>
          <w:bCs/>
          <w:sz w:val="20"/>
          <w:szCs w:val="20"/>
        </w:rPr>
        <w:t>Determination of a limiting source and effect of gelatin</w:t>
      </w:r>
    </w:p>
    <w:p w14:paraId="7484EBD1" w14:textId="26FEFE88" w:rsidR="00773474" w:rsidRPr="00F66DD0" w:rsidRDefault="00773474" w:rsidP="009A4279">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 xml:space="preserve">Figure S1: </w:t>
      </w:r>
      <w:r w:rsidRPr="00F66DD0">
        <w:rPr>
          <w:sz w:val="20"/>
          <w:szCs w:val="20"/>
        </w:rPr>
        <w:t xml:space="preserve">One-step growth experiment of bacteria cultivated in a chemostat at a dilution rate of 0.312 h⁻¹, following infection with bacteriophages and exposure to SM buffers of different composition to evaluate the effects of different nutrients on phage propagation. </w:t>
      </w:r>
    </w:p>
    <w:p w14:paraId="1F7770EA" w14:textId="146CAE51" w:rsidR="00712CAE" w:rsidRPr="00F66DD0" w:rsidRDefault="00712CAE" w:rsidP="009A4279">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 xml:space="preserve">Table S1: </w:t>
      </w:r>
      <w:r w:rsidRPr="00F66DD0">
        <w:rPr>
          <w:rFonts w:cs="Times New Roman"/>
          <w:sz w:val="20"/>
          <w:szCs w:val="20"/>
        </w:rPr>
        <w:t>Initial bacterial concentration (X), initial free phage concentration (P</w:t>
      </w:r>
      <w:r w:rsidRPr="00F66DD0">
        <w:rPr>
          <w:rFonts w:cs="Times New Roman"/>
          <w:sz w:val="20"/>
          <w:szCs w:val="20"/>
          <w:vertAlign w:val="subscript"/>
        </w:rPr>
        <w:t>0</w:t>
      </w:r>
      <w:r w:rsidRPr="00F66DD0">
        <w:rPr>
          <w:rFonts w:cs="Times New Roman"/>
          <w:sz w:val="20"/>
          <w:szCs w:val="20"/>
        </w:rPr>
        <w:t>), MOI, maximal infected cell concentration (I</w:t>
      </w:r>
      <w:r w:rsidRPr="00F66DD0">
        <w:rPr>
          <w:rFonts w:cs="Times New Roman"/>
          <w:sz w:val="20"/>
          <w:szCs w:val="20"/>
          <w:vertAlign w:val="subscript"/>
        </w:rPr>
        <w:t>X</w:t>
      </w:r>
      <w:r w:rsidRPr="00F66DD0">
        <w:rPr>
          <w:rFonts w:cs="Times New Roman"/>
          <w:sz w:val="20"/>
          <w:szCs w:val="20"/>
        </w:rPr>
        <w:t>), and phage growth parameters determined from data in Figure S1</w:t>
      </w:r>
    </w:p>
    <w:p w14:paraId="0AA5B602" w14:textId="5548D532" w:rsidR="00AE1A58" w:rsidRPr="00F66DD0" w:rsidRDefault="00AE1A58" w:rsidP="00AE1A58">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Figure S</w:t>
      </w:r>
      <w:r w:rsidR="00773474" w:rsidRPr="00F66DD0">
        <w:rPr>
          <w:rFonts w:cs="Times New Roman"/>
          <w:b/>
          <w:bCs/>
          <w:sz w:val="20"/>
          <w:szCs w:val="20"/>
        </w:rPr>
        <w:t>2</w:t>
      </w:r>
      <w:r w:rsidRPr="00F66DD0">
        <w:rPr>
          <w:rFonts w:cs="Times New Roman"/>
          <w:b/>
          <w:bCs/>
          <w:sz w:val="20"/>
          <w:szCs w:val="20"/>
        </w:rPr>
        <w:t>:</w:t>
      </w:r>
      <w:r w:rsidRPr="00F66DD0">
        <w:rPr>
          <w:rFonts w:cs="Times New Roman"/>
          <w:i/>
          <w:iCs/>
          <w:sz w:val="20"/>
          <w:szCs w:val="20"/>
          <w:lang w:val="en-GB"/>
        </w:rPr>
        <w:t xml:space="preserve"> E. coli</w:t>
      </w:r>
      <w:r w:rsidRPr="00F66DD0">
        <w:rPr>
          <w:rFonts w:cs="Times New Roman"/>
          <w:sz w:val="20"/>
          <w:szCs w:val="20"/>
          <w:lang w:val="en-GB"/>
        </w:rPr>
        <w:t xml:space="preserve"> concentration during batch growth in LB medium and exposure to SM buffer following an initial 2.5 h growth period in LB medium.</w:t>
      </w:r>
    </w:p>
    <w:p w14:paraId="5F5F694C" w14:textId="616F6B06" w:rsidR="00E278C2" w:rsidRPr="00F66DD0" w:rsidRDefault="00AE1A58" w:rsidP="00E278C2">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Figure S</w:t>
      </w:r>
      <w:r w:rsidR="00773474" w:rsidRPr="00F66DD0">
        <w:rPr>
          <w:rFonts w:cs="Times New Roman"/>
          <w:b/>
          <w:bCs/>
          <w:sz w:val="20"/>
          <w:szCs w:val="20"/>
        </w:rPr>
        <w:t>3</w:t>
      </w:r>
      <w:r w:rsidRPr="00F66DD0">
        <w:rPr>
          <w:rFonts w:cs="Times New Roman"/>
          <w:b/>
          <w:bCs/>
          <w:sz w:val="20"/>
          <w:szCs w:val="20"/>
        </w:rPr>
        <w:t>:</w:t>
      </w:r>
      <w:r w:rsidRPr="00F66DD0">
        <w:rPr>
          <w:rFonts w:cs="Times New Roman"/>
          <w:sz w:val="20"/>
          <w:szCs w:val="20"/>
          <w:lang w:val="en-GB"/>
        </w:rPr>
        <w:t xml:space="preserve"> One step growth experiment on bacteria growing for 0 hours in SM buffer following an initial 2.5 hour growth period in LB medium to distinguish whether bacterial lysis occurred or one phage per infected bacterial cell is formed.</w:t>
      </w:r>
    </w:p>
    <w:p w14:paraId="5AEB91DF" w14:textId="73EC69D4" w:rsidR="00AE1A58" w:rsidRPr="00F66DD0" w:rsidRDefault="00AE1A58" w:rsidP="00AE1A58">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Table S</w:t>
      </w:r>
      <w:r w:rsidR="00773474" w:rsidRPr="00F66DD0">
        <w:rPr>
          <w:rFonts w:cs="Times New Roman"/>
          <w:b/>
          <w:bCs/>
          <w:sz w:val="20"/>
          <w:szCs w:val="20"/>
        </w:rPr>
        <w:t>2</w:t>
      </w:r>
      <w:r w:rsidRPr="00F66DD0">
        <w:rPr>
          <w:rFonts w:cs="Times New Roman"/>
          <w:b/>
          <w:bCs/>
          <w:sz w:val="20"/>
          <w:szCs w:val="20"/>
        </w:rPr>
        <w:t>:</w:t>
      </w:r>
      <w:r w:rsidRPr="00F66DD0">
        <w:rPr>
          <w:rFonts w:cs="Times New Roman"/>
          <w:sz w:val="20"/>
          <w:szCs w:val="20"/>
        </w:rPr>
        <w:t xml:space="preserve"> Initial bacterial concentration (X), initial free phage concentration (P</w:t>
      </w:r>
      <w:r w:rsidRPr="00F66DD0">
        <w:rPr>
          <w:rFonts w:cs="Times New Roman"/>
          <w:sz w:val="20"/>
          <w:szCs w:val="20"/>
          <w:vertAlign w:val="subscript"/>
        </w:rPr>
        <w:t>0</w:t>
      </w:r>
      <w:r w:rsidRPr="00F66DD0">
        <w:rPr>
          <w:rFonts w:cs="Times New Roman"/>
          <w:sz w:val="20"/>
          <w:szCs w:val="20"/>
        </w:rPr>
        <w:t>), MOI, maximal infected cell concentration (I</w:t>
      </w:r>
      <w:r w:rsidRPr="00F66DD0">
        <w:rPr>
          <w:rFonts w:cs="Times New Roman"/>
          <w:sz w:val="20"/>
          <w:szCs w:val="20"/>
          <w:vertAlign w:val="subscript"/>
        </w:rPr>
        <w:t>X</w:t>
      </w:r>
      <w:r w:rsidRPr="00F66DD0">
        <w:rPr>
          <w:rFonts w:cs="Times New Roman"/>
          <w:sz w:val="20"/>
          <w:szCs w:val="20"/>
        </w:rPr>
        <w:t>), and phage growth parameters determined from data in Fig</w:t>
      </w:r>
      <w:r w:rsidR="003A1130" w:rsidRPr="00F66DD0">
        <w:rPr>
          <w:rFonts w:cs="Times New Roman"/>
          <w:sz w:val="20"/>
          <w:szCs w:val="20"/>
        </w:rPr>
        <w:t>ure 3</w:t>
      </w:r>
      <w:r w:rsidRPr="00F66DD0">
        <w:rPr>
          <w:rFonts w:cs="Times New Roman"/>
          <w:sz w:val="20"/>
          <w:szCs w:val="20"/>
        </w:rPr>
        <w:t>.</w:t>
      </w:r>
    </w:p>
    <w:p w14:paraId="706907E9" w14:textId="31D7BFE1" w:rsidR="00AE1A58" w:rsidRPr="00F66DD0" w:rsidRDefault="00AE1A58" w:rsidP="00AE1A58">
      <w:pPr>
        <w:pStyle w:val="ListParagraph"/>
        <w:numPr>
          <w:ilvl w:val="0"/>
          <w:numId w:val="5"/>
        </w:numPr>
        <w:spacing w:line="480" w:lineRule="auto"/>
        <w:jc w:val="both"/>
        <w:rPr>
          <w:rFonts w:cs="Times New Roman"/>
          <w:b/>
          <w:bCs/>
          <w:sz w:val="20"/>
          <w:szCs w:val="20"/>
        </w:rPr>
      </w:pPr>
      <w:r w:rsidRPr="00F66DD0">
        <w:rPr>
          <w:rFonts w:cs="Times New Roman"/>
          <w:b/>
          <w:bCs/>
          <w:sz w:val="20"/>
          <w:szCs w:val="20"/>
        </w:rPr>
        <w:t>Table S</w:t>
      </w:r>
      <w:r w:rsidR="00773474" w:rsidRPr="00F66DD0">
        <w:rPr>
          <w:rFonts w:cs="Times New Roman"/>
          <w:b/>
          <w:bCs/>
          <w:sz w:val="20"/>
          <w:szCs w:val="20"/>
        </w:rPr>
        <w:t>3</w:t>
      </w:r>
      <w:r w:rsidRPr="00F66DD0">
        <w:rPr>
          <w:rFonts w:cs="Times New Roman"/>
          <w:b/>
          <w:bCs/>
          <w:sz w:val="20"/>
          <w:szCs w:val="20"/>
        </w:rPr>
        <w:t>:</w:t>
      </w:r>
      <w:r w:rsidRPr="00F66DD0">
        <w:rPr>
          <w:rFonts w:cs="Times New Roman"/>
          <w:sz w:val="20"/>
          <w:szCs w:val="20"/>
        </w:rPr>
        <w:t xml:space="preserve"> Initial bacterial concentration (X), initial free phage concentration (P</w:t>
      </w:r>
      <w:r w:rsidRPr="00F66DD0">
        <w:rPr>
          <w:rFonts w:cs="Times New Roman"/>
          <w:sz w:val="20"/>
          <w:szCs w:val="20"/>
          <w:vertAlign w:val="subscript"/>
        </w:rPr>
        <w:t>0</w:t>
      </w:r>
      <w:r w:rsidRPr="00F66DD0">
        <w:rPr>
          <w:rFonts w:cs="Times New Roman"/>
          <w:sz w:val="20"/>
          <w:szCs w:val="20"/>
        </w:rPr>
        <w:t>), MOI, maximal infected cell concentration (I</w:t>
      </w:r>
      <w:r w:rsidRPr="00F66DD0">
        <w:rPr>
          <w:rFonts w:cs="Times New Roman"/>
          <w:sz w:val="20"/>
          <w:szCs w:val="20"/>
          <w:vertAlign w:val="subscript"/>
        </w:rPr>
        <w:t>X</w:t>
      </w:r>
      <w:r w:rsidRPr="00F66DD0">
        <w:rPr>
          <w:rFonts w:cs="Times New Roman"/>
          <w:sz w:val="20"/>
          <w:szCs w:val="20"/>
        </w:rPr>
        <w:t>), and phage growth parameters determined from data in Fig</w:t>
      </w:r>
      <w:r w:rsidR="003A1130" w:rsidRPr="00F66DD0">
        <w:rPr>
          <w:rFonts w:cs="Times New Roman"/>
          <w:sz w:val="20"/>
          <w:szCs w:val="20"/>
        </w:rPr>
        <w:t>ure 4</w:t>
      </w:r>
      <w:r w:rsidRPr="00F66DD0">
        <w:rPr>
          <w:rFonts w:cs="Times New Roman"/>
          <w:sz w:val="20"/>
          <w:szCs w:val="20"/>
        </w:rPr>
        <w:t>.</w:t>
      </w:r>
    </w:p>
    <w:p w14:paraId="203196D4" w14:textId="1736E5B9" w:rsidR="00687847" w:rsidRPr="00F66DD0" w:rsidRDefault="00687847" w:rsidP="00687847">
      <w:pPr>
        <w:spacing w:before="0" w:after="160" w:line="259" w:lineRule="auto"/>
        <w:rPr>
          <w:rFonts w:cs="Times New Roman"/>
          <w:b/>
          <w:bCs/>
          <w:sz w:val="20"/>
          <w:szCs w:val="20"/>
        </w:rPr>
      </w:pPr>
      <w:r w:rsidRPr="00F66DD0">
        <w:rPr>
          <w:rFonts w:cs="Times New Roman"/>
          <w:b/>
          <w:bCs/>
          <w:sz w:val="20"/>
          <w:szCs w:val="20"/>
        </w:rPr>
        <w:br w:type="page"/>
      </w:r>
    </w:p>
    <w:p w14:paraId="4525488D" w14:textId="77777777" w:rsidR="00963CC9" w:rsidRPr="00F66DD0" w:rsidRDefault="00963CC9" w:rsidP="00963CC9">
      <w:pPr>
        <w:pStyle w:val="Heading1"/>
        <w:numPr>
          <w:ilvl w:val="0"/>
          <w:numId w:val="0"/>
        </w:numPr>
        <w:ind w:left="567" w:hanging="567"/>
      </w:pPr>
      <w:r w:rsidRPr="00F66DD0">
        <w:lastRenderedPageBreak/>
        <w:t>Derivation of Equation 2 (phage fitness)</w:t>
      </w:r>
    </w:p>
    <w:p w14:paraId="425D18A6" w14:textId="2FCAF3F0" w:rsidR="00963CC9" w:rsidRPr="00F66DD0" w:rsidRDefault="00963CC9" w:rsidP="00F27A29">
      <w:pPr>
        <w:spacing w:before="0" w:after="0" w:line="360" w:lineRule="auto"/>
        <w:jc w:val="both"/>
        <w:rPr>
          <w:rFonts w:cs="Times New Roman"/>
          <w:sz w:val="20"/>
          <w:szCs w:val="20"/>
        </w:rPr>
      </w:pPr>
      <w:r w:rsidRPr="00F66DD0">
        <w:rPr>
          <w:rFonts w:cs="Times New Roman"/>
          <w:sz w:val="20"/>
          <w:szCs w:val="20"/>
        </w:rPr>
        <w:t xml:space="preserve">While expression for phage fitness in </w:t>
      </w:r>
      <w:proofErr w:type="spellStart"/>
      <w:r w:rsidRPr="00F66DD0">
        <w:rPr>
          <w:rFonts w:cs="Times New Roman"/>
          <w:sz w:val="20"/>
          <w:szCs w:val="20"/>
        </w:rPr>
        <w:t>cellstat</w:t>
      </w:r>
      <w:proofErr w:type="spellEnd"/>
      <w:r w:rsidRPr="00F66DD0">
        <w:rPr>
          <w:rFonts w:cs="Times New Roman"/>
          <w:sz w:val="20"/>
          <w:szCs w:val="20"/>
        </w:rPr>
        <w:t xml:space="preserve"> was provided by </w:t>
      </w:r>
      <w:sdt>
        <w:sdtPr>
          <w:rPr>
            <w:rFonts w:cs="Times New Roman"/>
            <w:color w:val="000000"/>
            <w:sz w:val="20"/>
            <w:szCs w:val="20"/>
          </w:rPr>
          <w:tag w:val="MENDELEY_CITATION_v3_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"/>
          <w:id w:val="41035515"/>
          <w:placeholder>
            <w:docPart w:val="B42342ECAD074ACEB1B2E17E48C1D0ED"/>
          </w:placeholder>
        </w:sdtPr>
        <w:sdtEndPr/>
        <w:sdtContent>
          <w:r w:rsidR="0035794A" w:rsidRPr="00F66DD0">
            <w:rPr>
              <w:rFonts w:cs="Times New Roman"/>
              <w:color w:val="000000"/>
              <w:sz w:val="20"/>
              <w:szCs w:val="20"/>
            </w:rPr>
            <w:t>[1]</w:t>
          </w:r>
        </w:sdtContent>
      </w:sdt>
      <w:r w:rsidRPr="00F66DD0">
        <w:rPr>
          <w:rFonts w:cs="Times New Roman"/>
          <w:sz w:val="20"/>
          <w:szCs w:val="20"/>
        </w:rPr>
        <w:t xml:space="preserve">, expression for batch growth was indirectly mentioned by </w:t>
      </w:r>
      <w:sdt>
        <w:sdtPr>
          <w:rPr>
            <w:rFonts w:cs="Times New Roman"/>
            <w:color w:val="000000"/>
            <w:sz w:val="20"/>
            <w:szCs w:val="20"/>
          </w:rPr>
          <w:tag w:val="MENDELEY_CITATION_v3_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"/>
          <w:id w:val="-3519060"/>
          <w:placeholder>
            <w:docPart w:val="B42342ECAD074ACEB1B2E17E48C1D0ED"/>
          </w:placeholder>
        </w:sdtPr>
        <w:sdtEndPr/>
        <w:sdtContent>
          <w:r w:rsidR="0035794A" w:rsidRPr="00F66DD0">
            <w:rPr>
              <w:rFonts w:cs="Times New Roman"/>
              <w:color w:val="000000"/>
              <w:sz w:val="20"/>
              <w:szCs w:val="20"/>
            </w:rPr>
            <w:t>[2]</w:t>
          </w:r>
        </w:sdtContent>
      </w:sdt>
      <w:r w:rsidRPr="00F66DD0">
        <w:rPr>
          <w:rFonts w:cs="Times New Roman"/>
          <w:sz w:val="20"/>
          <w:szCs w:val="20"/>
        </w:rPr>
        <w:t>, but no details of its derivation was provided.</w:t>
      </w:r>
    </w:p>
    <w:p w14:paraId="08876077" w14:textId="3D1F9075" w:rsidR="00963CC9" w:rsidRPr="00F66DD0" w:rsidRDefault="00963CC9" w:rsidP="00F27A29">
      <w:pPr>
        <w:spacing w:before="0" w:after="0" w:line="360" w:lineRule="auto"/>
        <w:jc w:val="both"/>
        <w:rPr>
          <w:rFonts w:cs="Times New Roman"/>
          <w:sz w:val="20"/>
          <w:szCs w:val="20"/>
        </w:rPr>
      </w:pPr>
      <w:r w:rsidRPr="00F66DD0">
        <w:rPr>
          <w:rFonts w:cs="Times New Roman"/>
          <w:sz w:val="20"/>
          <w:szCs w:val="20"/>
        </w:rPr>
        <w:t xml:space="preserve">For very low MOI it can be assumed that each phage infects single bacterial cell. If average burst size is </w:t>
      </w:r>
      <w:r w:rsidR="00C3254D" w:rsidRPr="00F66DD0">
        <w:rPr>
          <w:rFonts w:cs="Times New Roman"/>
          <w:sz w:val="20"/>
          <w:szCs w:val="20"/>
        </w:rPr>
        <w:t>BS</w:t>
      </w:r>
      <w:r w:rsidRPr="00F66DD0">
        <w:rPr>
          <w:rFonts w:cs="Times New Roman"/>
          <w:sz w:val="20"/>
          <w:szCs w:val="20"/>
        </w:rPr>
        <w:t xml:space="preserve">, concentration of phages after n lytic cycles can be calculated as </w:t>
      </w:r>
    </w:p>
    <w:p w14:paraId="4C8C65A2" w14:textId="3282BF4D" w:rsidR="00963CC9" w:rsidRPr="00F66DD0" w:rsidRDefault="00963CC9" w:rsidP="00F27A29">
      <w:pPr>
        <w:spacing w:before="0" w:after="0" w:line="360" w:lineRule="auto"/>
        <w:jc w:val="right"/>
        <w:rPr>
          <w:rFonts w:eastAsiaTheme="minorEastAsia" w:cs="Times New Roman"/>
          <w:sz w:val="20"/>
          <w:szCs w:val="20"/>
        </w:rPr>
      </w:pPr>
      <m:oMath>
        <m:r>
          <w:rPr>
            <w:rFonts w:ascii="Cambria Math" w:hAnsi="Cambria Math" w:cs="Times New Roman"/>
            <w:sz w:val="20"/>
            <w:szCs w:val="20"/>
          </w:rPr>
          <m:t>P=</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0</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BS</m:t>
            </m:r>
          </m:e>
          <m:sup>
            <m:r>
              <w:rPr>
                <w:rFonts w:ascii="Cambria Math" w:hAnsi="Cambria Math" w:cs="Times New Roman"/>
                <w:sz w:val="20"/>
                <w:szCs w:val="20"/>
              </w:rPr>
              <m:t>n</m:t>
            </m:r>
          </m:sup>
        </m:sSup>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(S1)</w:t>
      </w:r>
    </w:p>
    <w:p w14:paraId="4123DEBA"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Or if number of lytic cycles is transformed in propagation time</w:t>
      </w:r>
    </w:p>
    <w:p w14:paraId="18246E79" w14:textId="56A0400B"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n=</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oMath>
      <w:r w:rsidRPr="00F66DD0">
        <w:rPr>
          <w:rFonts w:eastAsiaTheme="minorEastAsia" w:cs="Times New Roman"/>
          <w:sz w:val="20"/>
          <w:szCs w:val="20"/>
        </w:rPr>
        <w:t xml:space="preserve"> </w:t>
      </w:r>
      <w:r w:rsidRPr="00F66DD0">
        <w:rPr>
          <w:rFonts w:eastAsiaTheme="minorEastAsia" w:cs="Times New Roman"/>
          <w:sz w:val="20"/>
          <w:szCs w:val="20"/>
        </w:rPr>
        <w:tab/>
      </w:r>
      <w:r w:rsidRPr="00F66DD0">
        <w:rPr>
          <w:rFonts w:eastAsiaTheme="minorEastAsia" w:cs="Times New Roman"/>
          <w:sz w:val="20"/>
          <w:szCs w:val="20"/>
        </w:rPr>
        <w:tab/>
      </w:r>
      <w:r w:rsidR="00E278C2"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(S2)</w:t>
      </w:r>
    </w:p>
    <w:p w14:paraId="48AED6D2"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 xml:space="preserve">where </w:t>
      </w:r>
      <w:proofErr w:type="spellStart"/>
      <w:r w:rsidRPr="00F66DD0">
        <w:rPr>
          <w:rFonts w:eastAsiaTheme="minorEastAsia" w:cs="Times New Roman"/>
          <w:sz w:val="20"/>
          <w:szCs w:val="20"/>
        </w:rPr>
        <w:t>t</w:t>
      </w:r>
      <w:r w:rsidRPr="00F66DD0">
        <w:rPr>
          <w:rFonts w:eastAsiaTheme="minorEastAsia" w:cs="Times New Roman"/>
          <w:sz w:val="20"/>
          <w:szCs w:val="20"/>
          <w:vertAlign w:val="subscript"/>
        </w:rPr>
        <w:t>LC</w:t>
      </w:r>
      <w:proofErr w:type="spellEnd"/>
      <w:r w:rsidRPr="00F66DD0">
        <w:rPr>
          <w:rFonts w:eastAsiaTheme="minorEastAsia" w:cs="Times New Roman"/>
          <w:sz w:val="20"/>
          <w:szCs w:val="20"/>
          <w:vertAlign w:val="subscript"/>
        </w:rPr>
        <w:t xml:space="preserve"> </w:t>
      </w:r>
      <w:r w:rsidRPr="00F66DD0">
        <w:rPr>
          <w:rFonts w:eastAsiaTheme="minorEastAsia" w:cs="Times New Roman"/>
          <w:sz w:val="20"/>
          <w:szCs w:val="20"/>
        </w:rPr>
        <w:t>is time of lytic cycle and Eq. S1 can be rewritten as:</w:t>
      </w:r>
    </w:p>
    <w:p w14:paraId="76741F56" w14:textId="6DCC9EC7" w:rsidR="00963CC9" w:rsidRPr="00F66DD0" w:rsidRDefault="00963CC9" w:rsidP="00F27A29">
      <w:pPr>
        <w:spacing w:before="0" w:after="0" w:line="360" w:lineRule="auto"/>
        <w:jc w:val="right"/>
        <w:rPr>
          <w:rFonts w:eastAsiaTheme="minorEastAsia" w:cs="Times New Roman"/>
          <w:sz w:val="20"/>
          <w:szCs w:val="20"/>
        </w:rPr>
      </w:pPr>
      <m:oMath>
        <m:r>
          <w:rPr>
            <w:rFonts w:ascii="Cambria Math" w:hAnsi="Cambria Math" w:cs="Times New Roman"/>
            <w:sz w:val="20"/>
            <w:szCs w:val="20"/>
          </w:rPr>
          <m:t>P=</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0</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BS</m:t>
            </m:r>
          </m:e>
          <m:sup>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sup>
        </m:sSup>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(S3)</w:t>
      </w:r>
    </w:p>
    <w:p w14:paraId="5FE31968"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To compare phage fitness with bacteria specific growth rate, same definition can be used. Bacteria specific growth rate is defined as:</w:t>
      </w:r>
    </w:p>
    <w:p w14:paraId="26528BAA" w14:textId="77777777"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μ=</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dX</m:t>
            </m:r>
          </m:num>
          <m:den>
            <m:r>
              <w:rPr>
                <w:rFonts w:ascii="Cambria Math" w:eastAsiaTheme="minorEastAsia" w:hAnsi="Cambria Math" w:cs="Times New Roman"/>
                <w:sz w:val="20"/>
                <w:szCs w:val="20"/>
              </w:rPr>
              <m:t>dt</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X</m:t>
            </m:r>
          </m:den>
        </m:f>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(S4)</w:t>
      </w:r>
    </w:p>
    <w:p w14:paraId="47C4CD47"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By analogy phage fitness F can be expressed as:</w:t>
      </w:r>
    </w:p>
    <w:p w14:paraId="6403F26F" w14:textId="77777777"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F=</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dP</m:t>
            </m:r>
          </m:num>
          <m:den>
            <m:r>
              <w:rPr>
                <w:rFonts w:ascii="Cambria Math" w:eastAsiaTheme="minorEastAsia" w:hAnsi="Cambria Math" w:cs="Times New Roman"/>
                <w:sz w:val="20"/>
                <w:szCs w:val="20"/>
              </w:rPr>
              <m:t>dt</m:t>
            </m:r>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r>
              <w:rPr>
                <w:rFonts w:ascii="Cambria Math" w:eastAsiaTheme="minorEastAsia" w:hAnsi="Cambria Math" w:cs="Times New Roman"/>
                <w:sz w:val="20"/>
                <w:szCs w:val="20"/>
              </w:rPr>
              <m:t>P</m:t>
            </m:r>
          </m:den>
        </m:f>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(S5)</w:t>
      </w:r>
    </w:p>
    <w:p w14:paraId="06787DC5"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Deriving Eq. S3 gives:</w:t>
      </w:r>
    </w:p>
    <w:p w14:paraId="57D824AD" w14:textId="5DD93DD8" w:rsidR="00AE1A58" w:rsidRPr="00F66DD0" w:rsidRDefault="00E42E13" w:rsidP="00E278C2">
      <w:pPr>
        <w:spacing w:before="0" w:after="0" w:line="360" w:lineRule="auto"/>
        <w:ind w:left="720" w:firstLine="720"/>
        <w:jc w:val="right"/>
        <w:rPr>
          <w:rFonts w:eastAsiaTheme="minorEastAsia" w:cs="Times New Roman"/>
          <w:sz w:val="20"/>
          <w:szCs w:val="20"/>
        </w:rPr>
      </w:pP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dP</m:t>
            </m:r>
          </m:num>
          <m:den>
            <m:r>
              <w:rPr>
                <w:rFonts w:ascii="Cambria Math" w:eastAsiaTheme="minorEastAsia" w:hAnsi="Cambria Math" w:cs="Times New Roman"/>
                <w:sz w:val="20"/>
                <w:szCs w:val="20"/>
              </w:rPr>
              <m:t>dt</m:t>
            </m:r>
          </m:den>
        </m:f>
        <m:r>
          <w:rPr>
            <w:rFonts w:ascii="Cambria Math" w:eastAsiaTheme="minorEastAsia"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0</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BS</m:t>
            </m:r>
          </m:e>
          <m:sup>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sup>
        </m:sSup>
        <m:r>
          <w:rPr>
            <w:rFonts w:ascii="Cambria Math" w:hAnsi="Cambria Math" w:cs="Times New Roman"/>
            <w:sz w:val="20"/>
            <w:szCs w:val="20"/>
          </w:rPr>
          <m:t>∙</m:t>
        </m:r>
        <m:r>
          <m:rPr>
            <m:sty m:val="p"/>
          </m:rPr>
          <w:rPr>
            <w:rFonts w:ascii="Cambria Math" w:hAnsi="Cambria Math" w:cs="Times New Roman"/>
            <w:sz w:val="20"/>
            <w:szCs w:val="20"/>
          </w:rPr>
          <m:t>ln</m:t>
        </m:r>
        <m:d>
          <m:dPr>
            <m:ctrlPr>
              <w:rPr>
                <w:rFonts w:ascii="Cambria Math" w:hAnsi="Cambria Math" w:cs="Times New Roman"/>
                <w:sz w:val="20"/>
                <w:szCs w:val="20"/>
              </w:rPr>
            </m:ctrlPr>
          </m:dPr>
          <m:e>
            <m:r>
              <m:rPr>
                <m:sty m:val="p"/>
              </m:rPr>
              <w:rPr>
                <w:rFonts w:ascii="Cambria Math" w:hAnsi="Cambria Math" w:cs="Times New Roman"/>
                <w:sz w:val="20"/>
                <w:szCs w:val="20"/>
              </w:rPr>
              <m:t>BS</m:t>
            </m:r>
          </m:e>
        </m:d>
        <m:r>
          <w:rPr>
            <w:rFonts w:ascii="Cambria Math"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oMath>
      <w:r w:rsidR="00963CC9"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t>(S6)</w:t>
      </w:r>
    </w:p>
    <w:p w14:paraId="09C4116A"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And inserting Eq S3 and S6 into Eq. S5:</w:t>
      </w:r>
    </w:p>
    <w:p w14:paraId="41DCBA4B" w14:textId="6927C6EB"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F=</m:t>
        </m:r>
        <m:f>
          <m:fPr>
            <m:ctrlPr>
              <w:rPr>
                <w:rFonts w:ascii="Cambria Math" w:eastAsiaTheme="minorEastAsia"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0</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BS</m:t>
                </m:r>
              </m:e>
              <m:sup>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sup>
            </m:sSup>
            <m:r>
              <w:rPr>
                <w:rFonts w:ascii="Cambria Math" w:hAnsi="Cambria Math" w:cs="Times New Roman"/>
                <w:sz w:val="20"/>
                <w:szCs w:val="20"/>
              </w:rPr>
              <m:t>∙</m:t>
            </m:r>
            <m:r>
              <m:rPr>
                <m:sty m:val="p"/>
              </m:rPr>
              <w:rPr>
                <w:rFonts w:ascii="Cambria Math" w:hAnsi="Cambria Math" w:cs="Times New Roman"/>
                <w:sz w:val="20"/>
                <w:szCs w:val="20"/>
              </w:rPr>
              <m:t>ln</m:t>
            </m:r>
            <m:d>
              <m:dPr>
                <m:ctrlPr>
                  <w:rPr>
                    <w:rFonts w:ascii="Cambria Math" w:hAnsi="Cambria Math" w:cs="Times New Roman"/>
                    <w:sz w:val="20"/>
                    <w:szCs w:val="20"/>
                  </w:rPr>
                </m:ctrlPr>
              </m:dPr>
              <m:e>
                <m:r>
                  <m:rPr>
                    <m:sty m:val="p"/>
                  </m:rPr>
                  <w:rPr>
                    <w:rFonts w:ascii="Cambria Math" w:hAnsi="Cambria Math" w:cs="Times New Roman"/>
                    <w:sz w:val="20"/>
                    <w:szCs w:val="20"/>
                  </w:rPr>
                  <m:t>BS</m:t>
                </m:r>
              </m:e>
            </m:d>
            <m:r>
              <w:rPr>
                <w:rFonts w:ascii="Cambria Math"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num>
          <m:den>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0</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BS</m:t>
                </m:r>
              </m:e>
              <m:sup>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t</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sup>
            </m:sSup>
          </m:den>
        </m:f>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m:rPr>
                <m:sty m:val="p"/>
              </m:rPr>
              <w:rPr>
                <w:rFonts w:ascii="Cambria Math" w:hAnsi="Cambria Math" w:cs="Times New Roman"/>
                <w:sz w:val="20"/>
                <w:szCs w:val="20"/>
              </w:rPr>
              <m:t>ln</m:t>
            </m:r>
            <m:d>
              <m:dPr>
                <m:ctrlPr>
                  <w:rPr>
                    <w:rFonts w:ascii="Cambria Math" w:hAnsi="Cambria Math" w:cs="Times New Roman"/>
                    <w:sz w:val="20"/>
                    <w:szCs w:val="20"/>
                  </w:rPr>
                </m:ctrlPr>
              </m:dPr>
              <m:e>
                <m:r>
                  <m:rPr>
                    <m:sty m:val="p"/>
                  </m:rPr>
                  <w:rPr>
                    <w:rFonts w:ascii="Cambria Math" w:hAnsi="Cambria Math" w:cs="Times New Roman"/>
                    <w:sz w:val="20"/>
                    <w:szCs w:val="20"/>
                  </w:rPr>
                  <m:t>BS</m:t>
                </m:r>
              </m:e>
            </m:d>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LC</m:t>
                </m:r>
              </m:sub>
            </m:sSub>
          </m:den>
        </m:f>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(S7)</w:t>
      </w:r>
    </w:p>
    <w:p w14:paraId="4BE39E38"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Time of lytic cycle (</w:t>
      </w:r>
      <w:proofErr w:type="spellStart"/>
      <w:r w:rsidRPr="00F66DD0">
        <w:rPr>
          <w:rFonts w:eastAsiaTheme="minorEastAsia" w:cs="Times New Roman"/>
          <w:i/>
          <w:iCs/>
          <w:sz w:val="20"/>
          <w:szCs w:val="20"/>
        </w:rPr>
        <w:t>t</w:t>
      </w:r>
      <w:r w:rsidRPr="00F66DD0">
        <w:rPr>
          <w:rFonts w:eastAsiaTheme="minorEastAsia" w:cs="Times New Roman"/>
          <w:i/>
          <w:iCs/>
          <w:sz w:val="20"/>
          <w:szCs w:val="20"/>
          <w:vertAlign w:val="subscript"/>
        </w:rPr>
        <w:t>LC</w:t>
      </w:r>
      <w:proofErr w:type="spellEnd"/>
      <w:r w:rsidRPr="00F66DD0">
        <w:rPr>
          <w:rFonts w:eastAsiaTheme="minorEastAsia" w:cs="Times New Roman"/>
          <w:sz w:val="20"/>
          <w:szCs w:val="20"/>
        </w:rPr>
        <w:t>) consists of time from phage release to its adsorption to bacterial cell, free time (</w:t>
      </w:r>
      <w:proofErr w:type="spellStart"/>
      <w:r w:rsidRPr="00F66DD0">
        <w:rPr>
          <w:rFonts w:eastAsiaTheme="minorEastAsia" w:cs="Times New Roman"/>
          <w:i/>
          <w:iCs/>
          <w:sz w:val="20"/>
          <w:szCs w:val="20"/>
        </w:rPr>
        <w:t>t</w:t>
      </w:r>
      <w:r w:rsidRPr="00F66DD0">
        <w:rPr>
          <w:rFonts w:eastAsiaTheme="minorEastAsia" w:cs="Times New Roman"/>
          <w:i/>
          <w:iCs/>
          <w:sz w:val="20"/>
          <w:szCs w:val="20"/>
          <w:vertAlign w:val="subscript"/>
        </w:rPr>
        <w:t>free</w:t>
      </w:r>
      <w:proofErr w:type="spellEnd"/>
      <w:r w:rsidRPr="00F66DD0">
        <w:rPr>
          <w:rFonts w:eastAsiaTheme="minorEastAsia" w:cs="Times New Roman"/>
          <w:sz w:val="20"/>
          <w:szCs w:val="20"/>
        </w:rPr>
        <w:t>) and latent period (</w:t>
      </w:r>
      <w:r w:rsidRPr="00F66DD0">
        <w:rPr>
          <w:rFonts w:eastAsiaTheme="minorEastAsia" w:cs="Times New Roman"/>
          <w:i/>
          <w:iCs/>
          <w:sz w:val="20"/>
          <w:szCs w:val="20"/>
        </w:rPr>
        <w:t>L</w:t>
      </w:r>
      <w:r w:rsidRPr="00F66DD0">
        <w:rPr>
          <w:rFonts w:eastAsiaTheme="minorEastAsia" w:cs="Times New Roman"/>
          <w:sz w:val="20"/>
          <w:szCs w:val="20"/>
        </w:rPr>
        <w:t xml:space="preserve">) during which new phages are generated and released, therefore: </w:t>
      </w:r>
    </w:p>
    <w:p w14:paraId="7639B56A" w14:textId="77777777" w:rsidR="00963CC9" w:rsidRPr="00F66DD0" w:rsidRDefault="00963CC9" w:rsidP="00F27A29">
      <w:pPr>
        <w:spacing w:before="0" w:after="0" w:line="360" w:lineRule="auto"/>
        <w:jc w:val="right"/>
        <w:rPr>
          <w:rFonts w:eastAsiaTheme="minorEastAsia" w:cs="Times New Roman"/>
          <w:sz w:val="20"/>
          <w:szCs w:val="20"/>
        </w:rPr>
      </w:pPr>
      <w:proofErr w:type="spellStart"/>
      <w:r w:rsidRPr="00F66DD0">
        <w:rPr>
          <w:rFonts w:eastAsiaTheme="minorEastAsia" w:cs="Times New Roman"/>
          <w:i/>
          <w:iCs/>
          <w:sz w:val="20"/>
          <w:szCs w:val="20"/>
        </w:rPr>
        <w:t>t</w:t>
      </w:r>
      <w:r w:rsidRPr="00F66DD0">
        <w:rPr>
          <w:rFonts w:eastAsiaTheme="minorEastAsia" w:cs="Times New Roman"/>
          <w:i/>
          <w:iCs/>
          <w:sz w:val="20"/>
          <w:szCs w:val="20"/>
          <w:vertAlign w:val="subscript"/>
        </w:rPr>
        <w:t>LC</w:t>
      </w:r>
      <w:proofErr w:type="spellEnd"/>
      <w:r w:rsidRPr="00F66DD0">
        <w:rPr>
          <w:rFonts w:eastAsiaTheme="minorEastAsia" w:cs="Times New Roman"/>
          <w:i/>
          <w:iCs/>
          <w:sz w:val="20"/>
          <w:szCs w:val="20"/>
          <w:vertAlign w:val="subscript"/>
        </w:rPr>
        <w:t xml:space="preserve"> </w:t>
      </w:r>
      <w:r w:rsidRPr="00F66DD0">
        <w:rPr>
          <w:rFonts w:eastAsiaTheme="minorEastAsia" w:cs="Times New Roman"/>
          <w:i/>
          <w:iCs/>
          <w:sz w:val="20"/>
          <w:szCs w:val="20"/>
        </w:rPr>
        <w:t>=</w:t>
      </w:r>
      <w:r w:rsidRPr="00F66DD0">
        <w:rPr>
          <w:rFonts w:eastAsiaTheme="minorEastAsia" w:cs="Times New Roman"/>
          <w:sz w:val="20"/>
          <w:szCs w:val="20"/>
        </w:rPr>
        <w:t xml:space="preserve"> </w:t>
      </w:r>
      <w:proofErr w:type="spellStart"/>
      <w:r w:rsidRPr="00F66DD0">
        <w:rPr>
          <w:rFonts w:eastAsiaTheme="minorEastAsia" w:cs="Times New Roman"/>
          <w:i/>
          <w:iCs/>
          <w:sz w:val="20"/>
          <w:szCs w:val="20"/>
        </w:rPr>
        <w:t>t</w:t>
      </w:r>
      <w:r w:rsidRPr="00F66DD0">
        <w:rPr>
          <w:rFonts w:eastAsiaTheme="minorEastAsia" w:cs="Times New Roman"/>
          <w:i/>
          <w:iCs/>
          <w:sz w:val="20"/>
          <w:szCs w:val="20"/>
          <w:vertAlign w:val="subscript"/>
        </w:rPr>
        <w:t>free</w:t>
      </w:r>
      <w:proofErr w:type="spellEnd"/>
      <w:r w:rsidRPr="00F66DD0">
        <w:rPr>
          <w:rFonts w:eastAsiaTheme="minorEastAsia" w:cs="Times New Roman"/>
          <w:i/>
          <w:iCs/>
          <w:sz w:val="20"/>
          <w:szCs w:val="20"/>
        </w:rPr>
        <w:t xml:space="preserve"> + L</w:t>
      </w:r>
      <w:r w:rsidRPr="00F66DD0">
        <w:rPr>
          <w:rFonts w:eastAsiaTheme="minorEastAsia" w:cs="Times New Roman"/>
          <w:i/>
          <w:iCs/>
          <w:sz w:val="20"/>
          <w:szCs w:val="20"/>
        </w:rPr>
        <w:tab/>
      </w:r>
      <w:r w:rsidRPr="00F66DD0">
        <w:rPr>
          <w:rFonts w:eastAsiaTheme="minorEastAsia" w:cs="Times New Roman"/>
          <w:i/>
          <w:iCs/>
          <w:sz w:val="20"/>
          <w:szCs w:val="20"/>
        </w:rPr>
        <w:tab/>
      </w:r>
      <w:r w:rsidRPr="00F66DD0">
        <w:rPr>
          <w:rFonts w:eastAsiaTheme="minorEastAsia" w:cs="Times New Roman"/>
          <w:i/>
          <w:iCs/>
          <w:sz w:val="20"/>
          <w:szCs w:val="20"/>
        </w:rPr>
        <w:tab/>
      </w:r>
      <w:r w:rsidRPr="00F66DD0">
        <w:rPr>
          <w:rFonts w:eastAsiaTheme="minorEastAsia" w:cs="Times New Roman"/>
          <w:i/>
          <w:iCs/>
          <w:sz w:val="20"/>
          <w:szCs w:val="20"/>
        </w:rPr>
        <w:tab/>
      </w:r>
      <w:r w:rsidRPr="00F66DD0">
        <w:rPr>
          <w:rFonts w:eastAsiaTheme="minorEastAsia" w:cs="Times New Roman"/>
          <w:i/>
          <w:iCs/>
          <w:sz w:val="20"/>
          <w:szCs w:val="20"/>
        </w:rPr>
        <w:tab/>
      </w:r>
      <w:r w:rsidRPr="00F66DD0">
        <w:rPr>
          <w:rFonts w:eastAsiaTheme="minorEastAsia" w:cs="Times New Roman"/>
          <w:i/>
          <w:iCs/>
          <w:sz w:val="20"/>
          <w:szCs w:val="20"/>
        </w:rPr>
        <w:tab/>
      </w:r>
      <w:r w:rsidRPr="00F66DD0">
        <w:rPr>
          <w:rFonts w:eastAsiaTheme="minorEastAsia" w:cs="Times New Roman"/>
          <w:sz w:val="20"/>
          <w:szCs w:val="20"/>
        </w:rPr>
        <w:t>(S8)</w:t>
      </w:r>
    </w:p>
    <w:p w14:paraId="1EF19301" w14:textId="77777777" w:rsidR="00963CC9" w:rsidRPr="00F66DD0" w:rsidRDefault="00963CC9" w:rsidP="00F27A29">
      <w:pPr>
        <w:spacing w:before="0" w:after="0" w:line="360" w:lineRule="auto"/>
        <w:rPr>
          <w:rFonts w:eastAsiaTheme="minorEastAsia" w:cs="Times New Roman"/>
          <w:sz w:val="20"/>
          <w:szCs w:val="20"/>
        </w:rPr>
      </w:pPr>
      <w:r w:rsidRPr="00F66DD0">
        <w:rPr>
          <w:rFonts w:eastAsiaTheme="minorEastAsia" w:cs="Times New Roman"/>
          <w:sz w:val="20"/>
          <w:szCs w:val="20"/>
        </w:rPr>
        <w:t>and Eq. S7 becomes:</w:t>
      </w:r>
    </w:p>
    <w:p w14:paraId="34A14BA1" w14:textId="75522113"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F=</m:t>
        </m:r>
        <m:f>
          <m:fPr>
            <m:ctrlPr>
              <w:rPr>
                <w:rFonts w:ascii="Cambria Math" w:eastAsiaTheme="minorEastAsia" w:hAnsi="Cambria Math" w:cs="Times New Roman"/>
                <w:i/>
                <w:sz w:val="20"/>
                <w:szCs w:val="20"/>
              </w:rPr>
            </m:ctrlPr>
          </m:fPr>
          <m:num>
            <m:r>
              <m:rPr>
                <m:sty m:val="p"/>
              </m:rPr>
              <w:rPr>
                <w:rFonts w:ascii="Cambria Math" w:hAnsi="Cambria Math" w:cs="Times New Roman"/>
                <w:sz w:val="20"/>
                <w:szCs w:val="20"/>
              </w:rPr>
              <m:t>ln</m:t>
            </m:r>
            <m:d>
              <m:dPr>
                <m:ctrlPr>
                  <w:rPr>
                    <w:rFonts w:ascii="Cambria Math" w:hAnsi="Cambria Math" w:cs="Times New Roman"/>
                    <w:sz w:val="20"/>
                    <w:szCs w:val="20"/>
                  </w:rPr>
                </m:ctrlPr>
              </m:dPr>
              <m:e>
                <m:r>
                  <m:rPr>
                    <m:sty m:val="p"/>
                  </m:rPr>
                  <w:rPr>
                    <w:rFonts w:ascii="Cambria Math" w:hAnsi="Cambria Math" w:cs="Times New Roman"/>
                    <w:sz w:val="20"/>
                    <w:szCs w:val="20"/>
                  </w:rPr>
                  <m:t>BS</m:t>
                </m:r>
              </m:e>
            </m:d>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free</m:t>
                </m:r>
              </m:sub>
            </m:sSub>
            <m:r>
              <w:rPr>
                <w:rFonts w:ascii="Cambria Math" w:eastAsiaTheme="minorEastAsia" w:hAnsi="Cambria Math" w:cs="Times New Roman"/>
                <w:sz w:val="20"/>
                <w:szCs w:val="20"/>
              </w:rPr>
              <m:t>+L</m:t>
            </m:r>
          </m:den>
        </m:f>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(S9)</w:t>
      </w:r>
    </w:p>
    <w:p w14:paraId="2ADF3728"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Free time depends on phage adsorption rate, that is expressed as:</w:t>
      </w:r>
    </w:p>
    <w:p w14:paraId="5053C0F0" w14:textId="252C885E" w:rsidR="00963CC9" w:rsidRPr="00F66DD0" w:rsidRDefault="00E42E13" w:rsidP="00F27A29">
      <w:pPr>
        <w:spacing w:before="0" w:after="0" w:line="360" w:lineRule="auto"/>
        <w:jc w:val="right"/>
        <w:rPr>
          <w:rFonts w:eastAsiaTheme="minorEastAsia" w:cs="Times New Roman"/>
          <w:sz w:val="20"/>
          <w:szCs w:val="20"/>
        </w:rPr>
      </w:pP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dP</m:t>
            </m:r>
          </m:num>
          <m:den>
            <m:r>
              <w:rPr>
                <w:rFonts w:ascii="Cambria Math" w:eastAsiaTheme="minorEastAsia" w:hAnsi="Cambria Math" w:cs="Times New Roman"/>
                <w:sz w:val="20"/>
                <w:szCs w:val="20"/>
              </w:rPr>
              <m:t>dt</m:t>
            </m:r>
          </m:den>
        </m:f>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∙X∙P</m:t>
        </m:r>
      </m:oMath>
      <w:r w:rsidR="00963CC9" w:rsidRPr="00F66DD0">
        <w:rPr>
          <w:rFonts w:eastAsiaTheme="minorEastAsia" w:cs="Times New Roman"/>
          <w:sz w:val="20"/>
          <w:szCs w:val="20"/>
        </w:rPr>
        <w:t xml:space="preserve"> </w:t>
      </w:r>
      <w:r w:rsidR="00963CC9" w:rsidRPr="00F66DD0">
        <w:rPr>
          <w:rFonts w:eastAsiaTheme="minorEastAsia" w:cs="Times New Roman"/>
          <w:sz w:val="20"/>
          <w:szCs w:val="20"/>
        </w:rPr>
        <w:tab/>
      </w:r>
      <w:r w:rsidR="00963CC9" w:rsidRPr="00F66DD0">
        <w:rPr>
          <w:rFonts w:eastAsiaTheme="minorEastAsia" w:cs="Times New Roman"/>
          <w:sz w:val="20"/>
          <w:szCs w:val="20"/>
        </w:rPr>
        <w:tab/>
      </w:r>
      <w:r w:rsidR="00E278C2"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t>(S10)</w:t>
      </w:r>
    </w:p>
    <w:p w14:paraId="381D9500"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 xml:space="preserve">Since it was assumed that MOI is very low, bacterial concentration </w:t>
      </w:r>
      <w:r w:rsidRPr="00F66DD0">
        <w:rPr>
          <w:rFonts w:eastAsiaTheme="minorEastAsia" w:cs="Times New Roman"/>
          <w:i/>
          <w:iCs/>
          <w:sz w:val="20"/>
          <w:szCs w:val="20"/>
        </w:rPr>
        <w:t>X</w:t>
      </w:r>
      <w:r w:rsidRPr="00F66DD0">
        <w:rPr>
          <w:rFonts w:eastAsiaTheme="minorEastAsia" w:cs="Times New Roman"/>
          <w:sz w:val="20"/>
          <w:szCs w:val="20"/>
        </w:rPr>
        <w:t xml:space="preserve"> can be considered constant and Eq. S8 can be integrated:  </w:t>
      </w:r>
    </w:p>
    <w:p w14:paraId="61E9E45C" w14:textId="39084CD3" w:rsidR="00963CC9" w:rsidRPr="00F66DD0" w:rsidRDefault="00963CC9" w:rsidP="00F27A29">
      <w:pPr>
        <w:spacing w:before="0" w:after="0" w:line="360" w:lineRule="auto"/>
        <w:jc w:val="right"/>
        <w:rPr>
          <w:rFonts w:eastAsiaTheme="minorEastAsia" w:cs="Times New Roman"/>
          <w:sz w:val="20"/>
          <w:szCs w:val="20"/>
        </w:rPr>
      </w:pPr>
      <w:r w:rsidRPr="00F66DD0">
        <w:rPr>
          <w:rFonts w:eastAsiaTheme="minorEastAsia" w:cs="Times New Roman"/>
          <w:sz w:val="20"/>
          <w:szCs w:val="20"/>
        </w:rPr>
        <w:t xml:space="preserve"> </w:t>
      </w:r>
      <m:oMath>
        <m:r>
          <w:rPr>
            <w:rFonts w:ascii="Cambria Math" w:eastAsiaTheme="minorEastAsia" w:hAnsi="Cambria Math" w:cs="Times New Roman"/>
            <w:sz w:val="20"/>
            <w:szCs w:val="20"/>
          </w:rPr>
          <m:t>P=</m:t>
        </m:r>
        <m:sSup>
          <m:sSupPr>
            <m:ctrlPr>
              <w:rPr>
                <w:rFonts w:ascii="Cambria Math" w:eastAsiaTheme="minorEastAsia" w:hAnsi="Cambria Math" w:cs="Times New Roman"/>
                <w:i/>
                <w:sz w:val="20"/>
                <w:szCs w:val="20"/>
              </w:rPr>
            </m:ctrlPr>
          </m:sSup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∙e</m:t>
            </m:r>
          </m:e>
          <m: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∙X∙t</m:t>
            </m:r>
          </m:sup>
        </m:sSup>
      </m:oMath>
      <w:r w:rsidRPr="00F66DD0">
        <w:rPr>
          <w:rFonts w:eastAsiaTheme="minorEastAsia" w:cs="Times New Roman"/>
          <w:sz w:val="20"/>
          <w:szCs w:val="20"/>
        </w:rPr>
        <w:tab/>
      </w:r>
      <w:r w:rsidRPr="00F66DD0">
        <w:rPr>
          <w:rFonts w:eastAsiaTheme="minorEastAsia" w:cs="Times New Roman"/>
          <w:sz w:val="20"/>
          <w:szCs w:val="20"/>
        </w:rPr>
        <w:tab/>
      </w:r>
      <w:r w:rsidR="00E278C2"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t>(S11)</w:t>
      </w:r>
    </w:p>
    <w:p w14:paraId="64EA8293" w14:textId="4AE24385"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 xml:space="preserve">allowing to calculate average free time as </w:t>
      </w:r>
      <w:sdt>
        <w:sdtPr>
          <w:rPr>
            <w:rFonts w:eastAsiaTheme="minorEastAsia" w:cs="Times New Roman"/>
            <w:color w:val="000000"/>
            <w:sz w:val="20"/>
            <w:szCs w:val="20"/>
          </w:rPr>
          <w:tag w:val="MENDELEY_CITATION_v3_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"/>
          <w:id w:val="1334878420"/>
          <w:placeholder>
            <w:docPart w:val="B42342ECAD074ACEB1B2E17E48C1D0ED"/>
          </w:placeholder>
        </w:sdtPr>
        <w:sdtEndPr/>
        <w:sdtContent>
          <w:r w:rsidR="0035794A" w:rsidRPr="00F66DD0">
            <w:rPr>
              <w:rFonts w:eastAsia="Times New Roman"/>
              <w:color w:val="000000"/>
              <w:sz w:val="20"/>
            </w:rPr>
            <w:t>[3]</w:t>
          </w:r>
        </w:sdtContent>
      </w:sdt>
      <w:r w:rsidRPr="00F66DD0">
        <w:rPr>
          <w:rFonts w:eastAsiaTheme="minorEastAsia" w:cs="Times New Roman"/>
          <w:sz w:val="20"/>
          <w:szCs w:val="20"/>
        </w:rPr>
        <w:t>:</w:t>
      </w:r>
    </w:p>
    <w:p w14:paraId="13A0237D" w14:textId="5F20EC62" w:rsidR="00963CC9" w:rsidRPr="00F66DD0" w:rsidRDefault="00E42E13" w:rsidP="00F27A29">
      <w:pPr>
        <w:spacing w:before="0" w:after="0" w:line="360" w:lineRule="auto"/>
        <w:jc w:val="right"/>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free</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nary>
              <m:naryPr>
                <m:limLoc m:val="subSup"/>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m:t>
                </m:r>
              </m:sup>
              <m:e>
                <m:sSup>
                  <m:sSupPr>
                    <m:ctrlPr>
                      <w:rPr>
                        <w:rFonts w:ascii="Cambria Math" w:eastAsiaTheme="minorEastAsia" w:hAnsi="Cambria Math" w:cs="Times New Roman"/>
                        <w:i/>
                        <w:sz w:val="20"/>
                        <w:szCs w:val="20"/>
                      </w:rPr>
                    </m:ctrlPr>
                  </m:sSup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t∙P</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∙e</m:t>
                    </m:r>
                  </m:e>
                  <m: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∙X∙t</m:t>
                    </m:r>
                  </m:sup>
                </m:sSup>
                <m:r>
                  <w:rPr>
                    <w:rFonts w:ascii="Cambria Math" w:eastAsiaTheme="minorEastAsia" w:hAnsi="Cambria Math" w:cs="Times New Roman"/>
                    <w:sz w:val="20"/>
                    <w:szCs w:val="20"/>
                  </w:rPr>
                  <m:t>∙dt</m:t>
                </m:r>
              </m:e>
            </m:nary>
          </m:num>
          <m:den>
            <m:nary>
              <m:naryPr>
                <m:limLoc m:val="subSup"/>
                <m:ctrlPr>
                  <w:rPr>
                    <w:rFonts w:ascii="Cambria Math" w:eastAsiaTheme="minorEastAsia" w:hAnsi="Cambria Math" w:cs="Times New Roman"/>
                    <w:i/>
                    <w:sz w:val="20"/>
                    <w:szCs w:val="20"/>
                  </w:rPr>
                </m:ctrlPr>
              </m:naryPr>
              <m:sub>
                <m:r>
                  <w:rPr>
                    <w:rFonts w:ascii="Cambria Math" w:eastAsiaTheme="minorEastAsia" w:hAnsi="Cambria Math" w:cs="Times New Roman"/>
                    <w:sz w:val="20"/>
                    <w:szCs w:val="20"/>
                  </w:rPr>
                  <m:t>0</m:t>
                </m:r>
              </m:sub>
              <m:sup>
                <m:r>
                  <w:rPr>
                    <w:rFonts w:ascii="Cambria Math" w:eastAsiaTheme="minorEastAsia" w:hAnsi="Cambria Math" w:cs="Times New Roman"/>
                    <w:sz w:val="20"/>
                    <w:szCs w:val="20"/>
                  </w:rPr>
                  <m:t>∞</m:t>
                </m:r>
              </m:sup>
              <m:e>
                <m:sSup>
                  <m:sSupPr>
                    <m:ctrlPr>
                      <w:rPr>
                        <w:rFonts w:ascii="Cambria Math" w:eastAsiaTheme="minorEastAsia" w:hAnsi="Cambria Math" w:cs="Times New Roman"/>
                        <w:i/>
                        <w:sz w:val="20"/>
                        <w:szCs w:val="20"/>
                      </w:rPr>
                    </m:ctrlPr>
                  </m:sSup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P</m:t>
                        </m:r>
                      </m:e>
                      <m:sub>
                        <m:r>
                          <w:rPr>
                            <w:rFonts w:ascii="Cambria Math" w:eastAsiaTheme="minorEastAsia" w:hAnsi="Cambria Math" w:cs="Times New Roman"/>
                            <w:sz w:val="20"/>
                            <w:szCs w:val="20"/>
                          </w:rPr>
                          <m:t>0</m:t>
                        </m:r>
                      </m:sub>
                    </m:sSub>
                    <m:r>
                      <w:rPr>
                        <w:rFonts w:ascii="Cambria Math" w:eastAsiaTheme="minorEastAsia" w:hAnsi="Cambria Math" w:cs="Times New Roman"/>
                        <w:sz w:val="20"/>
                        <w:szCs w:val="20"/>
                      </w:rPr>
                      <m:t>∙e</m:t>
                    </m:r>
                  </m:e>
                  <m:sup>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∙X∙t</m:t>
                    </m:r>
                  </m:sup>
                </m:sSup>
                <m:r>
                  <w:rPr>
                    <w:rFonts w:ascii="Cambria Math" w:eastAsiaTheme="minorEastAsia" w:hAnsi="Cambria Math" w:cs="Times New Roman"/>
                    <w:sz w:val="20"/>
                    <w:szCs w:val="20"/>
                  </w:rPr>
                  <m:t>∙dt</m:t>
                </m:r>
              </m:e>
            </m:nary>
          </m:den>
        </m:f>
        <m:r>
          <w:rPr>
            <w:rFonts w:ascii="Cambria Math" w:eastAsiaTheme="minorEastAsia" w:hAnsi="Cambria Math" w:cs="Times New Roman"/>
            <w:sz w:val="20"/>
            <w:szCs w:val="20"/>
          </w:rPr>
          <m:t>=</m:t>
        </m:r>
        <m:r>
          <m:rPr>
            <m:sty m:val="p"/>
          </m:rPr>
          <w:rPr>
            <w:rFonts w:ascii="Cambria Math" w:eastAsiaTheme="minorEastAsia" w:hAnsi="Cambria Math" w:cs="Times New Roman"/>
            <w:sz w:val="20"/>
            <w:szCs w:val="20"/>
          </w:rPr>
          <m:t xml:space="preserve"> </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m:t>
            </m:r>
          </m:den>
        </m:f>
        <m:r>
          <w:rPr>
            <w:rFonts w:ascii="Cambria Math" w:eastAsiaTheme="minorEastAsia" w:hAnsi="Cambria Math" w:cs="Times New Roman"/>
            <w:sz w:val="20"/>
            <w:szCs w:val="20"/>
          </w:rPr>
          <m:t xml:space="preserve"> </m:t>
        </m:r>
      </m:oMath>
      <w:r w:rsidR="00963CC9"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r>
      <w:r w:rsidR="00963CC9" w:rsidRPr="00F66DD0">
        <w:rPr>
          <w:rFonts w:eastAsiaTheme="minorEastAsia" w:cs="Times New Roman"/>
          <w:sz w:val="20"/>
          <w:szCs w:val="20"/>
        </w:rPr>
        <w:tab/>
        <w:t>(S12)</w:t>
      </w:r>
    </w:p>
    <w:p w14:paraId="017E1CF9" w14:textId="77777777" w:rsidR="00963CC9" w:rsidRPr="00F66DD0" w:rsidRDefault="00963CC9" w:rsidP="00F27A29">
      <w:pPr>
        <w:spacing w:before="0" w:after="0" w:line="360" w:lineRule="auto"/>
        <w:jc w:val="both"/>
        <w:rPr>
          <w:rFonts w:eastAsiaTheme="minorEastAsia" w:cs="Times New Roman"/>
          <w:sz w:val="20"/>
          <w:szCs w:val="20"/>
        </w:rPr>
      </w:pPr>
      <w:r w:rsidRPr="00F66DD0">
        <w:rPr>
          <w:rFonts w:eastAsiaTheme="minorEastAsia" w:cs="Times New Roman"/>
          <w:sz w:val="20"/>
          <w:szCs w:val="20"/>
        </w:rPr>
        <w:t>Obtaining final expression for phage fitness:</w:t>
      </w:r>
    </w:p>
    <w:p w14:paraId="489CA08A" w14:textId="4AB7682F" w:rsidR="00963CC9" w:rsidRPr="00F66DD0" w:rsidRDefault="00963CC9" w:rsidP="00F27A29">
      <w:pPr>
        <w:spacing w:before="0" w:after="0" w:line="360" w:lineRule="auto"/>
        <w:jc w:val="right"/>
        <w:rPr>
          <w:rFonts w:eastAsiaTheme="minorEastAsia" w:cs="Times New Roman"/>
          <w:sz w:val="20"/>
          <w:szCs w:val="20"/>
        </w:rPr>
      </w:pPr>
      <m:oMath>
        <m:r>
          <w:rPr>
            <w:rFonts w:ascii="Cambria Math" w:eastAsiaTheme="minorEastAsia" w:hAnsi="Cambria Math" w:cs="Times New Roman"/>
            <w:sz w:val="20"/>
            <w:szCs w:val="20"/>
          </w:rPr>
          <m:t>F=</m:t>
        </m:r>
        <m:f>
          <m:fPr>
            <m:ctrlPr>
              <w:rPr>
                <w:rFonts w:ascii="Cambria Math" w:eastAsiaTheme="minorEastAsia" w:hAnsi="Cambria Math" w:cs="Times New Roman"/>
                <w:i/>
                <w:sz w:val="20"/>
                <w:szCs w:val="20"/>
              </w:rPr>
            </m:ctrlPr>
          </m:fPr>
          <m:num>
            <m:r>
              <m:rPr>
                <m:sty m:val="p"/>
              </m:rPr>
              <w:rPr>
                <w:rFonts w:ascii="Cambria Math" w:hAnsi="Cambria Math" w:cs="Times New Roman"/>
                <w:sz w:val="20"/>
                <w:szCs w:val="20"/>
              </w:rPr>
              <m:t>ln</m:t>
            </m:r>
            <m:d>
              <m:dPr>
                <m:ctrlPr>
                  <w:rPr>
                    <w:rFonts w:ascii="Cambria Math" w:hAnsi="Cambria Math" w:cs="Times New Roman"/>
                    <w:sz w:val="20"/>
                    <w:szCs w:val="20"/>
                  </w:rPr>
                </m:ctrlPr>
              </m:dPr>
              <m:e>
                <m:r>
                  <m:rPr>
                    <m:sty m:val="p"/>
                  </m:rPr>
                  <w:rPr>
                    <w:rFonts w:ascii="Cambria Math" w:hAnsi="Cambria Math" w:cs="Times New Roman"/>
                    <w:sz w:val="20"/>
                    <w:szCs w:val="20"/>
                  </w:rPr>
                  <m:t>BS</m:t>
                </m:r>
              </m:e>
            </m:d>
          </m:num>
          <m:den>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m:t>
                </m:r>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a</m:t>
                    </m:r>
                  </m:sub>
                </m:sSub>
                <m:r>
                  <w:rPr>
                    <w:rFonts w:ascii="Cambria Math" w:eastAsiaTheme="minorEastAsia" w:hAnsi="Cambria Math" w:cs="Times New Roman"/>
                    <w:sz w:val="20"/>
                    <w:szCs w:val="20"/>
                  </w:rPr>
                  <m:t>∙X</m:t>
                </m:r>
              </m:den>
            </m:f>
            <m:r>
              <w:rPr>
                <w:rFonts w:ascii="Cambria Math" w:eastAsiaTheme="minorEastAsia" w:hAnsi="Cambria Math" w:cs="Times New Roman"/>
                <w:sz w:val="20"/>
                <w:szCs w:val="20"/>
              </w:rPr>
              <m:t>+L</m:t>
            </m:r>
          </m:den>
        </m:f>
      </m:oMath>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 w:val="20"/>
          <w:szCs w:val="20"/>
        </w:rPr>
        <w:tab/>
      </w:r>
      <w:r w:rsidRPr="00F66DD0">
        <w:rPr>
          <w:rFonts w:eastAsiaTheme="minorEastAsia" w:cs="Times New Roman"/>
          <w:szCs w:val="24"/>
        </w:rPr>
        <w:tab/>
      </w:r>
      <w:r w:rsidRPr="00F66DD0">
        <w:rPr>
          <w:rFonts w:eastAsiaTheme="minorEastAsia" w:cs="Times New Roman"/>
          <w:szCs w:val="24"/>
        </w:rPr>
        <w:tab/>
      </w:r>
      <w:r w:rsidRPr="00F66DD0">
        <w:rPr>
          <w:rFonts w:eastAsiaTheme="minorEastAsia" w:cs="Times New Roman"/>
          <w:szCs w:val="24"/>
        </w:rPr>
        <w:tab/>
      </w:r>
      <w:r w:rsidR="002B59B7" w:rsidRPr="00F66DD0">
        <w:rPr>
          <w:rFonts w:eastAsiaTheme="minorEastAsia" w:cs="Times New Roman"/>
          <w:sz w:val="20"/>
          <w:szCs w:val="20"/>
        </w:rPr>
        <w:t>(S13)</w:t>
      </w:r>
    </w:p>
    <w:p w14:paraId="7924BE85" w14:textId="77777777" w:rsidR="002B59B7" w:rsidRPr="00F66DD0" w:rsidRDefault="002B59B7" w:rsidP="00F27A29">
      <w:pPr>
        <w:spacing w:before="0" w:after="0" w:line="360" w:lineRule="auto"/>
        <w:jc w:val="right"/>
        <w:rPr>
          <w:rFonts w:eastAsiaTheme="minorEastAsia" w:cs="Times New Roman"/>
          <w:szCs w:val="24"/>
        </w:rPr>
      </w:pPr>
    </w:p>
    <w:sdt>
      <w:sdtPr>
        <w:rPr>
          <w:rFonts w:cs="Times New Roman"/>
          <w:i/>
          <w:iCs/>
          <w:color w:val="44546A" w:themeColor="text2"/>
          <w:sz w:val="18"/>
          <w:szCs w:val="18"/>
        </w:rPr>
        <w:tag w:val="MENDELEY_BIBLIOGRAPHY"/>
        <w:id w:val="-1574971992"/>
        <w:placeholder>
          <w:docPart w:val="DefaultPlaceholder_-1854013440"/>
        </w:placeholder>
      </w:sdtPr>
      <w:sdtEndPr>
        <w:rPr>
          <w:i w:val="0"/>
          <w:iCs w:val="0"/>
          <w:color w:val="auto"/>
          <w:sz w:val="16"/>
          <w:szCs w:val="16"/>
        </w:rPr>
      </w:sdtEndPr>
      <w:sdtContent>
        <w:p w14:paraId="61FE7E2E" w14:textId="79478E10" w:rsidR="0035794A" w:rsidRPr="00F66DD0" w:rsidRDefault="0035794A" w:rsidP="009A4279">
          <w:pPr>
            <w:jc w:val="both"/>
            <w:divId w:val="294721863"/>
            <w:rPr>
              <w:rFonts w:eastAsia="Times New Roman"/>
              <w:sz w:val="20"/>
              <w:szCs w:val="20"/>
            </w:rPr>
          </w:pPr>
          <w:r w:rsidRPr="00F66DD0">
            <w:rPr>
              <w:rFonts w:eastAsia="Times New Roman"/>
              <w:sz w:val="20"/>
              <w:szCs w:val="18"/>
            </w:rPr>
            <w:t xml:space="preserve">1. Bull JJ, Millstein J, Orcutt J, </w:t>
          </w:r>
          <w:proofErr w:type="spellStart"/>
          <w:r w:rsidRPr="00F66DD0">
            <w:rPr>
              <w:rFonts w:eastAsia="Times New Roman"/>
              <w:sz w:val="20"/>
              <w:szCs w:val="18"/>
            </w:rPr>
            <w:t>Wichman</w:t>
          </w:r>
          <w:proofErr w:type="spellEnd"/>
          <w:r w:rsidRPr="00F66DD0">
            <w:rPr>
              <w:rFonts w:eastAsia="Times New Roman"/>
              <w:sz w:val="20"/>
              <w:szCs w:val="18"/>
            </w:rPr>
            <w:t xml:space="preserve"> HA. Evolutionary feedback mediated through population density, illustrated with viruses in chemostats. Am Nat. 2006;</w:t>
          </w:r>
          <w:r w:rsidR="00A87583" w:rsidRPr="00F66DD0">
            <w:rPr>
              <w:rFonts w:eastAsia="Times New Roman"/>
              <w:sz w:val="20"/>
              <w:szCs w:val="18"/>
            </w:rPr>
            <w:t xml:space="preserve"> </w:t>
          </w:r>
          <w:r w:rsidRPr="00F66DD0">
            <w:rPr>
              <w:rFonts w:eastAsia="Times New Roman"/>
              <w:sz w:val="20"/>
              <w:szCs w:val="18"/>
            </w:rPr>
            <w:t xml:space="preserve">167:39–51. </w:t>
          </w:r>
        </w:p>
        <w:p w14:paraId="7B3B91E2" w14:textId="2D5C2BDA" w:rsidR="0035794A" w:rsidRPr="00F66DD0" w:rsidRDefault="0035794A" w:rsidP="009A4279">
          <w:pPr>
            <w:jc w:val="both"/>
            <w:divId w:val="1243031850"/>
            <w:rPr>
              <w:rFonts w:eastAsia="Times New Roman"/>
              <w:sz w:val="20"/>
              <w:szCs w:val="18"/>
            </w:rPr>
          </w:pPr>
          <w:r w:rsidRPr="00F66DD0">
            <w:rPr>
              <w:rFonts w:eastAsia="Times New Roman"/>
              <w:sz w:val="20"/>
              <w:szCs w:val="18"/>
            </w:rPr>
            <w:t xml:space="preserve">2. </w:t>
          </w:r>
          <w:proofErr w:type="spellStart"/>
          <w:r w:rsidRPr="00F66DD0">
            <w:rPr>
              <w:rFonts w:eastAsia="Times New Roman"/>
              <w:sz w:val="20"/>
              <w:szCs w:val="18"/>
            </w:rPr>
            <w:t>Abedon</w:t>
          </w:r>
          <w:proofErr w:type="spellEnd"/>
          <w:r w:rsidRPr="00F66DD0">
            <w:rPr>
              <w:rFonts w:eastAsia="Times New Roman"/>
              <w:sz w:val="20"/>
              <w:szCs w:val="18"/>
            </w:rPr>
            <w:t xml:space="preserve"> ST, </w:t>
          </w:r>
          <w:proofErr w:type="spellStart"/>
          <w:r w:rsidRPr="00F66DD0">
            <w:rPr>
              <w:rFonts w:eastAsia="Times New Roman"/>
              <w:sz w:val="20"/>
              <w:szCs w:val="18"/>
            </w:rPr>
            <w:t>Herschler</w:t>
          </w:r>
          <w:proofErr w:type="spellEnd"/>
          <w:r w:rsidRPr="00F66DD0">
            <w:rPr>
              <w:rFonts w:eastAsia="Times New Roman"/>
              <w:sz w:val="20"/>
              <w:szCs w:val="18"/>
            </w:rPr>
            <w:t xml:space="preserve"> TD, </w:t>
          </w:r>
          <w:proofErr w:type="spellStart"/>
          <w:r w:rsidRPr="00F66DD0">
            <w:rPr>
              <w:rFonts w:eastAsia="Times New Roman"/>
              <w:sz w:val="20"/>
              <w:szCs w:val="18"/>
            </w:rPr>
            <w:t>Stopar</w:t>
          </w:r>
          <w:proofErr w:type="spellEnd"/>
          <w:r w:rsidRPr="00F66DD0">
            <w:rPr>
              <w:rFonts w:eastAsia="Times New Roman"/>
              <w:sz w:val="20"/>
              <w:szCs w:val="18"/>
            </w:rPr>
            <w:t xml:space="preserve"> D. Bacteriophage </w:t>
          </w:r>
          <w:r w:rsidR="00A87583" w:rsidRPr="00F66DD0">
            <w:rPr>
              <w:rFonts w:eastAsia="Times New Roman"/>
              <w:sz w:val="20"/>
              <w:szCs w:val="18"/>
            </w:rPr>
            <w:t>l</w:t>
          </w:r>
          <w:r w:rsidRPr="00F66DD0">
            <w:rPr>
              <w:rFonts w:eastAsia="Times New Roman"/>
              <w:sz w:val="20"/>
              <w:szCs w:val="18"/>
            </w:rPr>
            <w:t>atent-</w:t>
          </w:r>
          <w:r w:rsidR="00A87583" w:rsidRPr="00F66DD0">
            <w:rPr>
              <w:rFonts w:eastAsia="Times New Roman"/>
              <w:sz w:val="20"/>
              <w:szCs w:val="18"/>
            </w:rPr>
            <w:t>p</w:t>
          </w:r>
          <w:r w:rsidRPr="00F66DD0">
            <w:rPr>
              <w:rFonts w:eastAsia="Times New Roman"/>
              <w:sz w:val="20"/>
              <w:szCs w:val="18"/>
            </w:rPr>
            <w:t xml:space="preserve">eriod </w:t>
          </w:r>
          <w:r w:rsidR="00A87583" w:rsidRPr="00F66DD0">
            <w:rPr>
              <w:rFonts w:eastAsia="Times New Roman"/>
              <w:sz w:val="20"/>
              <w:szCs w:val="18"/>
            </w:rPr>
            <w:t>e</w:t>
          </w:r>
          <w:r w:rsidRPr="00F66DD0">
            <w:rPr>
              <w:rFonts w:eastAsia="Times New Roman"/>
              <w:sz w:val="20"/>
              <w:szCs w:val="18"/>
            </w:rPr>
            <w:t xml:space="preserve">volution as a </w:t>
          </w:r>
          <w:r w:rsidR="00A87583" w:rsidRPr="00F66DD0">
            <w:rPr>
              <w:rFonts w:eastAsia="Times New Roman"/>
              <w:sz w:val="20"/>
              <w:szCs w:val="18"/>
            </w:rPr>
            <w:t>r</w:t>
          </w:r>
          <w:r w:rsidRPr="00F66DD0">
            <w:rPr>
              <w:rFonts w:eastAsia="Times New Roman"/>
              <w:sz w:val="20"/>
              <w:szCs w:val="18"/>
            </w:rPr>
            <w:t xml:space="preserve">esponse to </w:t>
          </w:r>
          <w:r w:rsidR="00A87583" w:rsidRPr="00F66DD0">
            <w:rPr>
              <w:rFonts w:eastAsia="Times New Roman"/>
              <w:sz w:val="20"/>
              <w:szCs w:val="18"/>
            </w:rPr>
            <w:t>r</w:t>
          </w:r>
          <w:r w:rsidRPr="00F66DD0">
            <w:rPr>
              <w:rFonts w:eastAsia="Times New Roman"/>
              <w:sz w:val="20"/>
              <w:szCs w:val="18"/>
            </w:rPr>
            <w:t xml:space="preserve">esource </w:t>
          </w:r>
          <w:r w:rsidR="00A87583" w:rsidRPr="00F66DD0">
            <w:rPr>
              <w:rFonts w:eastAsia="Times New Roman"/>
              <w:sz w:val="20"/>
              <w:szCs w:val="18"/>
            </w:rPr>
            <w:t>a</w:t>
          </w:r>
          <w:r w:rsidRPr="00F66DD0">
            <w:rPr>
              <w:rFonts w:eastAsia="Times New Roman"/>
              <w:sz w:val="20"/>
              <w:szCs w:val="18"/>
            </w:rPr>
            <w:t>vailability. Appl Environ Microbiol. 2001;</w:t>
          </w:r>
          <w:r w:rsidR="00A87583" w:rsidRPr="00F66DD0">
            <w:rPr>
              <w:rFonts w:eastAsia="Times New Roman"/>
              <w:sz w:val="20"/>
              <w:szCs w:val="18"/>
            </w:rPr>
            <w:t xml:space="preserve"> </w:t>
          </w:r>
          <w:r w:rsidRPr="00F66DD0">
            <w:rPr>
              <w:rFonts w:eastAsia="Times New Roman"/>
              <w:sz w:val="20"/>
              <w:szCs w:val="18"/>
            </w:rPr>
            <w:t xml:space="preserve">67:4233–41. </w:t>
          </w:r>
        </w:p>
        <w:p w14:paraId="37588FE0" w14:textId="4FF5F76C" w:rsidR="0035794A" w:rsidRPr="00F66DD0" w:rsidRDefault="0035794A" w:rsidP="009A4279">
          <w:pPr>
            <w:jc w:val="both"/>
            <w:divId w:val="989676359"/>
            <w:rPr>
              <w:rFonts w:eastAsia="Times New Roman"/>
              <w:sz w:val="20"/>
              <w:szCs w:val="18"/>
            </w:rPr>
          </w:pPr>
          <w:r w:rsidRPr="00F66DD0">
            <w:rPr>
              <w:rFonts w:eastAsia="Times New Roman"/>
              <w:sz w:val="20"/>
              <w:szCs w:val="18"/>
            </w:rPr>
            <w:t xml:space="preserve">3. Green DW, Southard MZ, editors. Perry’s </w:t>
          </w:r>
          <w:r w:rsidR="00A87583" w:rsidRPr="00F66DD0">
            <w:rPr>
              <w:rFonts w:eastAsia="Times New Roman"/>
              <w:sz w:val="20"/>
              <w:szCs w:val="18"/>
            </w:rPr>
            <w:t>c</w:t>
          </w:r>
          <w:r w:rsidRPr="00F66DD0">
            <w:rPr>
              <w:rFonts w:eastAsia="Times New Roman"/>
              <w:sz w:val="20"/>
              <w:szCs w:val="18"/>
            </w:rPr>
            <w:t xml:space="preserve">hemical </w:t>
          </w:r>
          <w:r w:rsidR="00A87583" w:rsidRPr="00F66DD0">
            <w:rPr>
              <w:rFonts w:eastAsia="Times New Roman"/>
              <w:sz w:val="20"/>
              <w:szCs w:val="18"/>
            </w:rPr>
            <w:t>e</w:t>
          </w:r>
          <w:r w:rsidRPr="00F66DD0">
            <w:rPr>
              <w:rFonts w:eastAsia="Times New Roman"/>
              <w:sz w:val="20"/>
              <w:szCs w:val="18"/>
            </w:rPr>
            <w:t xml:space="preserve">ngineers’ </w:t>
          </w:r>
          <w:r w:rsidR="00A87583" w:rsidRPr="00F66DD0">
            <w:rPr>
              <w:rFonts w:eastAsia="Times New Roman"/>
              <w:sz w:val="20"/>
              <w:szCs w:val="18"/>
            </w:rPr>
            <w:t>h</w:t>
          </w:r>
          <w:r w:rsidRPr="00F66DD0">
            <w:rPr>
              <w:rFonts w:eastAsia="Times New Roman"/>
              <w:sz w:val="20"/>
              <w:szCs w:val="18"/>
            </w:rPr>
            <w:t xml:space="preserve">andbook. 9th ed. New York: McGraw-Hill Education; 2019. </w:t>
          </w:r>
        </w:p>
        <w:p w14:paraId="3A2074EB" w14:textId="6AA8E2AF" w:rsidR="00AE1A58" w:rsidRPr="00F66DD0" w:rsidRDefault="0035794A" w:rsidP="00FD08F7">
          <w:pPr>
            <w:autoSpaceDE w:val="0"/>
            <w:autoSpaceDN w:val="0"/>
            <w:ind w:left="640" w:hanging="640"/>
            <w:divId w:val="197546172"/>
            <w:rPr>
              <w:rFonts w:eastAsia="Times New Roman"/>
            </w:rPr>
          </w:pPr>
          <w:r w:rsidRPr="00F66DD0">
            <w:rPr>
              <w:rFonts w:eastAsia="Times New Roman"/>
            </w:rPr>
            <w:t> </w:t>
          </w:r>
        </w:p>
      </w:sdtContent>
    </w:sdt>
    <w:p w14:paraId="3A84FD49" w14:textId="77777777" w:rsidR="00773474" w:rsidRPr="00F66DD0" w:rsidRDefault="00773474">
      <w:pPr>
        <w:spacing w:before="0" w:after="160" w:line="259" w:lineRule="auto"/>
        <w:rPr>
          <w:rFonts w:cs="Times New Roman"/>
        </w:rPr>
      </w:pPr>
      <w:r w:rsidRPr="00F66DD0">
        <w:rPr>
          <w:rFonts w:cs="Times New Roman"/>
        </w:rPr>
        <w:br w:type="page"/>
      </w:r>
    </w:p>
    <w:p w14:paraId="5BEB3E9F" w14:textId="61DCAF7A" w:rsidR="00E2668D" w:rsidRPr="00F66DD0" w:rsidRDefault="00E2668D" w:rsidP="00C26B41">
      <w:pPr>
        <w:keepNext/>
        <w:spacing w:before="0" w:after="160" w:line="480" w:lineRule="auto"/>
        <w:rPr>
          <w:szCs w:val="24"/>
        </w:rPr>
      </w:pPr>
      <w:r w:rsidRPr="00F66DD0">
        <w:rPr>
          <w:b/>
          <w:bCs/>
          <w:szCs w:val="24"/>
        </w:rPr>
        <w:lastRenderedPageBreak/>
        <w:t>Determination of a limiting source and effect of gelatin</w:t>
      </w:r>
    </w:p>
    <w:p w14:paraId="4C212E79" w14:textId="77777777" w:rsidR="004259E1" w:rsidRPr="00F66DD0" w:rsidRDefault="004259E1" w:rsidP="004259E1">
      <w:pPr>
        <w:spacing w:line="480" w:lineRule="auto"/>
        <w:jc w:val="both"/>
        <w:rPr>
          <w:rFonts w:cs="Times New Roman"/>
          <w:sz w:val="20"/>
          <w:szCs w:val="20"/>
          <w:lang w:val="en-GB"/>
        </w:rPr>
      </w:pPr>
      <w:r w:rsidRPr="00F66DD0">
        <w:rPr>
          <w:rFonts w:cs="Times New Roman"/>
          <w:sz w:val="20"/>
          <w:szCs w:val="20"/>
          <w:lang w:val="en-GB"/>
        </w:rPr>
        <w:t xml:space="preserve">As growth limitation occurred in both LB medium and SM buffer, it was important to investigate whether the same limiting nutrient was responsible for a decrease in bacterial growth and phage propagation. Limitation imposed by a different limiting source can differentially affect bacterial physiology </w:t>
      </w:r>
      <w:sdt>
        <w:sdtPr>
          <w:rPr>
            <w:rFonts w:cs="Times New Roman"/>
            <w:color w:val="000000"/>
            <w:sz w:val="20"/>
            <w:szCs w:val="20"/>
            <w:lang w:val="en-GB"/>
          </w:rPr>
          <w:tag w:val="MENDELEY_CITATION_v3_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"/>
          <w:id w:val="-1692147782"/>
          <w:placeholder>
            <w:docPart w:val="DA4F8160E4484AC183CF6525077B3F03"/>
          </w:placeholder>
        </w:sdtPr>
        <w:sdtEndPr/>
        <w:sdtContent>
          <w:r w:rsidRPr="00F66DD0">
            <w:rPr>
              <w:rFonts w:cs="Times New Roman"/>
              <w:color w:val="000000"/>
              <w:sz w:val="20"/>
              <w:szCs w:val="20"/>
              <w:lang w:val="en-GB"/>
            </w:rPr>
            <w:t>[1,2]</w:t>
          </w:r>
        </w:sdtContent>
      </w:sdt>
      <w:r w:rsidRPr="00F66DD0">
        <w:rPr>
          <w:rFonts w:cs="Times New Roman"/>
          <w:sz w:val="20"/>
          <w:szCs w:val="20"/>
          <w:lang w:val="en-GB"/>
        </w:rPr>
        <w:t>, making its effect on phage propagation harder to interpret.</w:t>
      </w:r>
    </w:p>
    <w:p w14:paraId="3000A80F" w14:textId="77777777" w:rsidR="004259E1" w:rsidRPr="00F66DD0" w:rsidRDefault="004259E1" w:rsidP="004259E1">
      <w:pPr>
        <w:spacing w:line="480" w:lineRule="auto"/>
        <w:jc w:val="both"/>
        <w:rPr>
          <w:rFonts w:cs="Times New Roman"/>
          <w:sz w:val="20"/>
          <w:szCs w:val="20"/>
          <w:lang w:val="en-GB"/>
        </w:rPr>
      </w:pPr>
      <w:r w:rsidRPr="00F66DD0">
        <w:rPr>
          <w:rFonts w:cs="Times New Roman"/>
          <w:sz w:val="20"/>
          <w:szCs w:val="20"/>
          <w:lang w:val="en-GB"/>
        </w:rPr>
        <w:t xml:space="preserve">Standard SM buffer contains 0.01%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which is commonly used to stabilise the free bacteriophage particles </w:t>
      </w:r>
      <w:sdt>
        <w:sdtPr>
          <w:rPr>
            <w:rFonts w:cs="Times New Roman"/>
            <w:color w:val="000000"/>
            <w:sz w:val="20"/>
            <w:szCs w:val="20"/>
            <w:lang w:val="en-GB"/>
          </w:rPr>
          <w:tag w:val="MENDELEY_CITATION_v3_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"/>
          <w:id w:val="-198165030"/>
          <w:placeholder>
            <w:docPart w:val="3BF2C0D237484800BE960DDF261B501A"/>
          </w:placeholder>
        </w:sdtPr>
        <w:sdtEndPr/>
        <w:sdtContent>
          <w:r w:rsidRPr="00F66DD0">
            <w:rPr>
              <w:rFonts w:eastAsia="Times New Roman"/>
              <w:color w:val="000000"/>
              <w:sz w:val="20"/>
            </w:rPr>
            <w:t>[3]</w:t>
          </w:r>
        </w:sdtContent>
      </w:sdt>
      <w:r w:rsidRPr="00F66DD0">
        <w:rPr>
          <w:rFonts w:cs="Times New Roman"/>
          <w:sz w:val="20"/>
          <w:szCs w:val="20"/>
          <w:lang w:val="en-GB"/>
        </w:rPr>
        <w:t xml:space="preserve">, but it may also serve as a source of carbon </w:t>
      </w:r>
      <w:sdt>
        <w:sdtPr>
          <w:rPr>
            <w:rFonts w:cs="Times New Roman"/>
            <w:color w:val="000000"/>
            <w:sz w:val="20"/>
            <w:szCs w:val="20"/>
            <w:lang w:val="en-GB"/>
          </w:rPr>
          <w:tag w:val="MENDELEY_CITATION_v3_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"/>
          <w:id w:val="502854164"/>
          <w:placeholder>
            <w:docPart w:val="F795DA3620A6422191CE5185489D2E4E"/>
          </w:placeholder>
        </w:sdtPr>
        <w:sdtEndPr/>
        <w:sdtContent>
          <w:r w:rsidRPr="00F66DD0">
            <w:rPr>
              <w:rFonts w:cs="Times New Roman"/>
              <w:color w:val="000000"/>
              <w:sz w:val="20"/>
              <w:szCs w:val="20"/>
              <w:lang w:val="en-GB"/>
            </w:rPr>
            <w:t>[4]</w:t>
          </w:r>
        </w:sdtContent>
      </w:sdt>
      <w:r w:rsidRPr="00F66DD0">
        <w:rPr>
          <w:rFonts w:cs="Times New Roman"/>
          <w:sz w:val="20"/>
          <w:szCs w:val="20"/>
          <w:lang w:val="en-GB"/>
        </w:rPr>
        <w:t xml:space="preserve">.To assess its effect, one step growth experiments were conducted using </w:t>
      </w:r>
      <w:r w:rsidRPr="00F66DD0">
        <w:rPr>
          <w:rFonts w:cs="Times New Roman"/>
          <w:i/>
          <w:iCs/>
          <w:sz w:val="20"/>
          <w:szCs w:val="20"/>
          <w:lang w:val="en-GB"/>
        </w:rPr>
        <w:t>E.coli</w:t>
      </w:r>
      <w:r w:rsidRPr="00F66DD0">
        <w:rPr>
          <w:rFonts w:cs="Times New Roman"/>
          <w:sz w:val="20"/>
          <w:szCs w:val="20"/>
          <w:lang w:val="en-GB"/>
        </w:rPr>
        <w:t xml:space="preserve"> samples cultured in a chemostat at a dilution rate of 0.312 h</w:t>
      </w:r>
      <w:r w:rsidRPr="00F66DD0">
        <w:rPr>
          <w:rFonts w:cs="Times New Roman"/>
          <w:sz w:val="20"/>
          <w:szCs w:val="20"/>
          <w:vertAlign w:val="superscript"/>
          <w:lang w:val="en-GB"/>
        </w:rPr>
        <w:t>-1</w:t>
      </w:r>
      <w:r w:rsidRPr="00F66DD0">
        <w:rPr>
          <w:rFonts w:cs="Times New Roman"/>
          <w:sz w:val="20"/>
          <w:szCs w:val="20"/>
          <w:lang w:val="en-GB"/>
        </w:rPr>
        <w:t xml:space="preserve">, and, four minutes after infection with bacteriophages, diluted with SM buffer without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(Figure S1B). The results showed that the phages successfully adsorbed, generated inside the bacteria and lysed the bacteria. However, compared to the sample diluted with a standard SM buffer (Figure S1A), a slightly lower burst size of 18.72 is observed, resulting in reduced bacteriophage fitness (Table S1), confirming the assumption that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can act as a nutrient source. Nevertheless, the small observed difference between, could also be due to an enhanced agglomeration of the free phages causing lower number of formed plaques and by that apparent lower burst size.  </w:t>
      </w:r>
    </w:p>
    <w:p w14:paraId="243C0198" w14:textId="77777777" w:rsidR="004259E1" w:rsidRPr="00F66DD0" w:rsidRDefault="004259E1" w:rsidP="004259E1">
      <w:pPr>
        <w:spacing w:line="480" w:lineRule="auto"/>
        <w:jc w:val="both"/>
        <w:rPr>
          <w:rFonts w:cs="Times New Roman"/>
          <w:sz w:val="20"/>
          <w:szCs w:val="20"/>
          <w:lang w:val="en-GB"/>
        </w:rPr>
      </w:pPr>
      <w:r w:rsidRPr="00F66DD0">
        <w:rPr>
          <w:rFonts w:cs="Times New Roman"/>
          <w:sz w:val="20"/>
          <w:szCs w:val="20"/>
          <w:lang w:val="en-GB"/>
        </w:rPr>
        <w:t xml:space="preserve">To identify the limiting source that influences bacteriophage propagation, additional one step growth experiments were performed using the same bacterial samples as previously, diluting it after infection with four different SM buffers: one without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supplemented with sodium acetate, representing carbon source, and three containing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and supplemented with either sodium acetate, sodium phosphate (phosphorus source) or ammonium chloride (nitrogen source). The results (Figure S1C – D, Table S1) showed that the highest phage fitness was observed in both samples diluted with SM buffer containing sodium acetate, regardless of the presence of </w:t>
      </w:r>
      <w:proofErr w:type="spellStart"/>
      <w:r w:rsidRPr="00F66DD0">
        <w:rPr>
          <w:rFonts w:cs="Times New Roman"/>
          <w:sz w:val="20"/>
          <w:szCs w:val="20"/>
          <w:lang w:val="en-GB"/>
        </w:rPr>
        <w:t>gelatin</w:t>
      </w:r>
      <w:proofErr w:type="spellEnd"/>
      <w:r w:rsidRPr="00F66DD0">
        <w:rPr>
          <w:rFonts w:cs="Times New Roman"/>
          <w:sz w:val="20"/>
          <w:szCs w:val="20"/>
          <w:lang w:val="en-GB"/>
        </w:rPr>
        <w:t xml:space="preserve">, suggesting that carbon is indeed the limiting factor for phage propagation. Furthermore, it also demonstrates, that despite the presence of 0.01% of </w:t>
      </w:r>
      <w:proofErr w:type="spellStart"/>
      <w:r w:rsidRPr="00F66DD0">
        <w:rPr>
          <w:rFonts w:cs="Times New Roman"/>
          <w:sz w:val="20"/>
          <w:szCs w:val="20"/>
          <w:lang w:val="en-GB"/>
        </w:rPr>
        <w:t>gelatin</w:t>
      </w:r>
      <w:proofErr w:type="spellEnd"/>
      <w:r w:rsidRPr="00F66DD0">
        <w:rPr>
          <w:rFonts w:cs="Times New Roman"/>
          <w:sz w:val="20"/>
          <w:szCs w:val="20"/>
          <w:lang w:val="en-GB"/>
        </w:rPr>
        <w:t>, SM buffer is still carbon limiting medium.</w:t>
      </w:r>
    </w:p>
    <w:p w14:paraId="64ED32AD" w14:textId="77777777" w:rsidR="004259E1" w:rsidRPr="00F66DD0" w:rsidRDefault="004259E1" w:rsidP="004259E1">
      <w:pPr>
        <w:jc w:val="both"/>
        <w:rPr>
          <w:rFonts w:eastAsia="Times New Roman"/>
          <w:sz w:val="20"/>
          <w:szCs w:val="20"/>
        </w:rPr>
      </w:pPr>
      <w:r w:rsidRPr="00F66DD0">
        <w:rPr>
          <w:rFonts w:eastAsia="Times New Roman"/>
          <w:sz w:val="20"/>
          <w:szCs w:val="18"/>
        </w:rPr>
        <w:t xml:space="preserve">1. Li SHJ, Li Z, Park JO, King CG, Rabinowitz JD, </w:t>
      </w:r>
      <w:proofErr w:type="spellStart"/>
      <w:r w:rsidRPr="00F66DD0">
        <w:rPr>
          <w:rFonts w:eastAsia="Times New Roman"/>
          <w:sz w:val="20"/>
          <w:szCs w:val="18"/>
        </w:rPr>
        <w:t>Wingreen</w:t>
      </w:r>
      <w:proofErr w:type="spellEnd"/>
      <w:r w:rsidRPr="00F66DD0">
        <w:rPr>
          <w:rFonts w:eastAsia="Times New Roman"/>
          <w:sz w:val="20"/>
          <w:szCs w:val="18"/>
        </w:rPr>
        <w:t xml:space="preserve"> NS, et al. Escherichia coli translation strategies differ across carbon, nitrogen and phosphorus limitation conditions. Nat Microbiol. 2018;3:939–47. </w:t>
      </w:r>
    </w:p>
    <w:p w14:paraId="7ABE0A29" w14:textId="77777777" w:rsidR="004259E1" w:rsidRPr="00F66DD0" w:rsidRDefault="004259E1" w:rsidP="004259E1">
      <w:pPr>
        <w:jc w:val="both"/>
        <w:rPr>
          <w:rFonts w:eastAsia="Times New Roman"/>
          <w:sz w:val="20"/>
          <w:szCs w:val="18"/>
        </w:rPr>
      </w:pPr>
      <w:r w:rsidRPr="00F66DD0">
        <w:rPr>
          <w:rFonts w:eastAsia="Times New Roman"/>
          <w:sz w:val="20"/>
          <w:szCs w:val="18"/>
        </w:rPr>
        <w:t xml:space="preserve">2. Peterson CN, Mandel MJ, </w:t>
      </w:r>
      <w:proofErr w:type="spellStart"/>
      <w:r w:rsidRPr="00F66DD0">
        <w:rPr>
          <w:rFonts w:eastAsia="Times New Roman"/>
          <w:sz w:val="20"/>
          <w:szCs w:val="18"/>
        </w:rPr>
        <w:t>Silhavy</w:t>
      </w:r>
      <w:proofErr w:type="spellEnd"/>
      <w:r w:rsidRPr="00F66DD0">
        <w:rPr>
          <w:rFonts w:eastAsia="Times New Roman"/>
          <w:sz w:val="20"/>
          <w:szCs w:val="18"/>
        </w:rPr>
        <w:t xml:space="preserve"> TJ. Escherichia coli starvation diets: essential nutrients weigh in distinctly. J </w:t>
      </w:r>
      <w:proofErr w:type="spellStart"/>
      <w:r w:rsidRPr="00F66DD0">
        <w:rPr>
          <w:rFonts w:eastAsia="Times New Roman"/>
          <w:sz w:val="20"/>
          <w:szCs w:val="18"/>
        </w:rPr>
        <w:t>Bacteriol</w:t>
      </w:r>
      <w:proofErr w:type="spellEnd"/>
      <w:r w:rsidRPr="00F66DD0">
        <w:rPr>
          <w:rFonts w:eastAsia="Times New Roman"/>
          <w:sz w:val="20"/>
          <w:szCs w:val="18"/>
        </w:rPr>
        <w:t xml:space="preserve">. 2005;187:7549–53. </w:t>
      </w:r>
    </w:p>
    <w:p w14:paraId="6798CCA4" w14:textId="77777777" w:rsidR="004259E1" w:rsidRPr="00F66DD0" w:rsidRDefault="004259E1" w:rsidP="004259E1">
      <w:pPr>
        <w:jc w:val="both"/>
        <w:rPr>
          <w:rFonts w:eastAsia="Times New Roman"/>
          <w:sz w:val="20"/>
          <w:szCs w:val="18"/>
        </w:rPr>
      </w:pPr>
      <w:r w:rsidRPr="00F66DD0">
        <w:rPr>
          <w:rFonts w:eastAsia="Times New Roman"/>
          <w:sz w:val="20"/>
          <w:szCs w:val="18"/>
        </w:rPr>
        <w:t xml:space="preserve">3. Sambrook J, Russell DW. Molecular cloning: a laboratory manual, volume 1. 3rd ed. Sambrook J, Russell DW, editors. New York: Cold Spring Harbor Laboratory Press; 2001. </w:t>
      </w:r>
    </w:p>
    <w:p w14:paraId="6BEF9242" w14:textId="77777777" w:rsidR="004259E1" w:rsidRPr="00F66DD0" w:rsidRDefault="004259E1" w:rsidP="004259E1">
      <w:pPr>
        <w:jc w:val="both"/>
        <w:rPr>
          <w:rFonts w:eastAsia="Times New Roman"/>
          <w:sz w:val="20"/>
          <w:szCs w:val="18"/>
        </w:rPr>
      </w:pPr>
      <w:r w:rsidRPr="00F66DD0">
        <w:rPr>
          <w:rFonts w:eastAsia="Times New Roman"/>
          <w:sz w:val="20"/>
          <w:szCs w:val="18"/>
        </w:rPr>
        <w:t xml:space="preserve">4. </w:t>
      </w:r>
      <w:proofErr w:type="spellStart"/>
      <w:r w:rsidRPr="00F66DD0">
        <w:rPr>
          <w:rFonts w:eastAsia="Times New Roman"/>
          <w:sz w:val="20"/>
          <w:szCs w:val="18"/>
        </w:rPr>
        <w:t>Pompa</w:t>
      </w:r>
      <w:proofErr w:type="spellEnd"/>
      <w:r w:rsidRPr="00F66DD0">
        <w:rPr>
          <w:rFonts w:eastAsia="Times New Roman"/>
          <w:sz w:val="20"/>
          <w:szCs w:val="18"/>
        </w:rPr>
        <w:t xml:space="preserve">-Monroy DA, Vera-Graziano R, </w:t>
      </w:r>
      <w:proofErr w:type="spellStart"/>
      <w:r w:rsidRPr="00F66DD0">
        <w:rPr>
          <w:rFonts w:eastAsia="Times New Roman"/>
          <w:sz w:val="20"/>
          <w:szCs w:val="18"/>
        </w:rPr>
        <w:t>Dastager</w:t>
      </w:r>
      <w:proofErr w:type="spellEnd"/>
      <w:r w:rsidRPr="00F66DD0">
        <w:rPr>
          <w:rFonts w:eastAsia="Times New Roman"/>
          <w:sz w:val="20"/>
          <w:szCs w:val="18"/>
        </w:rPr>
        <w:t xml:space="preserve"> SG, Pérez-González GL, </w:t>
      </w:r>
      <w:proofErr w:type="spellStart"/>
      <w:r w:rsidRPr="00F66DD0">
        <w:rPr>
          <w:rFonts w:eastAsia="Times New Roman"/>
          <w:sz w:val="20"/>
          <w:szCs w:val="18"/>
        </w:rPr>
        <w:t>Bogdanchikova</w:t>
      </w:r>
      <w:proofErr w:type="spellEnd"/>
      <w:r w:rsidRPr="00F66DD0">
        <w:rPr>
          <w:rFonts w:eastAsia="Times New Roman"/>
          <w:sz w:val="20"/>
          <w:szCs w:val="18"/>
        </w:rPr>
        <w:t xml:space="preserve"> N, Iglesias AL, et al. Low-cost gelatin/collagen scaffolds for bacterial growth in bioreactors for biotechnology. Appl Microbiol </w:t>
      </w:r>
      <w:proofErr w:type="spellStart"/>
      <w:r w:rsidRPr="00F66DD0">
        <w:rPr>
          <w:rFonts w:eastAsia="Times New Roman"/>
          <w:sz w:val="20"/>
          <w:szCs w:val="18"/>
        </w:rPr>
        <w:t>Biotechnol</w:t>
      </w:r>
      <w:proofErr w:type="spellEnd"/>
      <w:r w:rsidRPr="00F66DD0">
        <w:rPr>
          <w:rFonts w:eastAsia="Times New Roman"/>
          <w:sz w:val="20"/>
          <w:szCs w:val="18"/>
        </w:rPr>
        <w:t xml:space="preserve">. 2025;109. </w:t>
      </w:r>
    </w:p>
    <w:p w14:paraId="399CE444" w14:textId="758D5AE8" w:rsidR="00773474" w:rsidRPr="00F66DD0" w:rsidRDefault="00773474" w:rsidP="00773474">
      <w:pPr>
        <w:keepNext/>
        <w:spacing w:before="0" w:after="160" w:line="259" w:lineRule="auto"/>
      </w:pPr>
      <w:r w:rsidRPr="00F66DD0">
        <w:rPr>
          <w:rFonts w:cs="Times New Roman"/>
          <w:noProof/>
          <w:sz w:val="22"/>
          <w:lang w:val="en-GB"/>
        </w:rPr>
        <w:lastRenderedPageBreak/>
        <w:drawing>
          <wp:inline distT="0" distB="0" distL="0" distR="0" wp14:anchorId="069CB8EB" wp14:editId="456EC8D7">
            <wp:extent cx="5800725" cy="717418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8427" cy="7183713"/>
                    </a:xfrm>
                    <a:prstGeom prst="rect">
                      <a:avLst/>
                    </a:prstGeom>
                  </pic:spPr>
                </pic:pic>
              </a:graphicData>
            </a:graphic>
          </wp:inline>
        </w:drawing>
      </w:r>
    </w:p>
    <w:p w14:paraId="52EDC49E" w14:textId="0DC9BB9C" w:rsidR="00773474" w:rsidRPr="00F66DD0" w:rsidRDefault="00773474" w:rsidP="00773474">
      <w:pPr>
        <w:spacing w:line="480" w:lineRule="auto"/>
        <w:jc w:val="both"/>
        <w:rPr>
          <w:rFonts w:cs="Times New Roman"/>
          <w:sz w:val="20"/>
          <w:szCs w:val="20"/>
          <w:lang w:val="en-GB"/>
        </w:rPr>
      </w:pPr>
      <w:r w:rsidRPr="00F66DD0">
        <w:rPr>
          <w:rFonts w:cs="Times New Roman"/>
          <w:b/>
          <w:sz w:val="20"/>
          <w:szCs w:val="20"/>
        </w:rPr>
        <w:t>Fig. S1</w:t>
      </w:r>
      <w:r w:rsidRPr="00F66DD0">
        <w:rPr>
          <w:rFonts w:cs="Times New Roman"/>
          <w:sz w:val="20"/>
          <w:szCs w:val="20"/>
        </w:rPr>
        <w:t xml:space="preserve"> </w:t>
      </w:r>
      <w:r w:rsidRPr="00F66DD0">
        <w:rPr>
          <w:sz w:val="20"/>
          <w:szCs w:val="20"/>
        </w:rPr>
        <w:t>One-step growth experiment of bacteria cultivated in a chemostat at a dilution rate of 0.312 h⁻¹, following infection with bacteriophages and exposure to SM buffers of different composition to evaluate the effects of different nutrients on phage propagation.</w:t>
      </w:r>
      <w:r w:rsidR="0010410C" w:rsidRPr="00F66DD0">
        <w:rPr>
          <w:sz w:val="20"/>
          <w:szCs w:val="20"/>
        </w:rPr>
        <w:t xml:space="preserve"> Samples were diluted with: (A) a standard SM buffer; (B) SM buffer without gelatin; (C) SM buffer with 10 mM sodium acetate; (D) SM buffer without gelatin, with 10 mM sodium acetate; (E) SM buffer with 10 mM sodium phosphate; (F) SM buffer with 10 mM ammonium chloride.</w:t>
      </w:r>
    </w:p>
    <w:p w14:paraId="0F15CE00" w14:textId="77777777" w:rsidR="00712CAE" w:rsidRPr="00F66DD0" w:rsidRDefault="00712CAE" w:rsidP="00712CAE">
      <w:pPr>
        <w:keepNext/>
        <w:spacing w:line="480" w:lineRule="auto"/>
        <w:jc w:val="both"/>
        <w:rPr>
          <w:rFonts w:cs="Times New Roman"/>
          <w:b/>
          <w:bCs/>
          <w:sz w:val="20"/>
          <w:szCs w:val="20"/>
        </w:rPr>
      </w:pPr>
      <w:r w:rsidRPr="00F66DD0">
        <w:rPr>
          <w:rFonts w:cs="Times New Roman"/>
          <w:b/>
          <w:bCs/>
          <w:sz w:val="20"/>
          <w:szCs w:val="20"/>
        </w:rPr>
        <w:lastRenderedPageBreak/>
        <w:t xml:space="preserve">Table S1 </w:t>
      </w:r>
      <w:r w:rsidRPr="00F66DD0">
        <w:rPr>
          <w:rFonts w:cs="Times New Roman"/>
          <w:sz w:val="20"/>
          <w:szCs w:val="20"/>
        </w:rPr>
        <w:t>Initial bacterial concentration (X), initial free phage concentration (P</w:t>
      </w:r>
      <w:r w:rsidRPr="00F66DD0">
        <w:rPr>
          <w:rFonts w:cs="Times New Roman"/>
          <w:sz w:val="20"/>
          <w:szCs w:val="20"/>
          <w:vertAlign w:val="subscript"/>
        </w:rPr>
        <w:t>0</w:t>
      </w:r>
      <w:r w:rsidRPr="00F66DD0">
        <w:rPr>
          <w:rFonts w:cs="Times New Roman"/>
          <w:sz w:val="20"/>
          <w:szCs w:val="20"/>
        </w:rPr>
        <w:t>), MOI, maximal infected cell concentration (I</w:t>
      </w:r>
      <w:r w:rsidRPr="00F66DD0">
        <w:rPr>
          <w:rFonts w:cs="Times New Roman"/>
          <w:sz w:val="20"/>
          <w:szCs w:val="20"/>
          <w:vertAlign w:val="subscript"/>
        </w:rPr>
        <w:t>X</w:t>
      </w:r>
      <w:r w:rsidRPr="00F66DD0">
        <w:rPr>
          <w:rFonts w:cs="Times New Roman"/>
          <w:sz w:val="20"/>
          <w:szCs w:val="20"/>
        </w:rPr>
        <w:t>), and phage growth parameters determined from data in Figure S1.</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1153"/>
        <w:gridCol w:w="1399"/>
        <w:gridCol w:w="709"/>
        <w:gridCol w:w="1417"/>
        <w:gridCol w:w="851"/>
        <w:gridCol w:w="708"/>
        <w:gridCol w:w="1560"/>
        <w:gridCol w:w="992"/>
      </w:tblGrid>
      <w:tr w:rsidR="00712CAE" w:rsidRPr="00F66DD0" w14:paraId="6BCD7F3C" w14:textId="77777777" w:rsidTr="00777CFF">
        <w:trPr>
          <w:trHeight w:val="357"/>
        </w:trPr>
        <w:tc>
          <w:tcPr>
            <w:tcW w:w="1129" w:type="dxa"/>
            <w:tcBorders>
              <w:top w:val="single" w:sz="4" w:space="0" w:color="auto"/>
              <w:left w:val="single" w:sz="4" w:space="0" w:color="auto"/>
              <w:bottom w:val="single" w:sz="4" w:space="0" w:color="auto"/>
              <w:right w:val="single" w:sz="4" w:space="0" w:color="auto"/>
            </w:tcBorders>
            <w:vAlign w:val="center"/>
          </w:tcPr>
          <w:p w14:paraId="528C9683"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SM buffer </w:t>
            </w:r>
          </w:p>
        </w:tc>
        <w:tc>
          <w:tcPr>
            <w:tcW w:w="1153" w:type="dxa"/>
            <w:tcBorders>
              <w:top w:val="single" w:sz="4" w:space="0" w:color="auto"/>
              <w:left w:val="single" w:sz="4" w:space="0" w:color="auto"/>
              <w:bottom w:val="single" w:sz="4" w:space="0" w:color="auto"/>
              <w:right w:val="single" w:sz="4" w:space="0" w:color="auto"/>
            </w:tcBorders>
            <w:vAlign w:val="center"/>
          </w:tcPr>
          <w:p w14:paraId="7677087D"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X (10</w:t>
            </w:r>
            <w:r w:rsidRPr="00F66DD0">
              <w:rPr>
                <w:rFonts w:eastAsia="Calibri" w:cs="Times New Roman"/>
                <w:b/>
                <w:bCs/>
                <w:sz w:val="20"/>
                <w:szCs w:val="20"/>
                <w:vertAlign w:val="superscript"/>
                <w:lang w:val="en-GB"/>
              </w:rPr>
              <w:t>8</w:t>
            </w:r>
            <w:r w:rsidRPr="00F66DD0">
              <w:rPr>
                <w:rFonts w:eastAsia="Calibri" w:cs="Times New Roman"/>
                <w:b/>
                <w:bCs/>
                <w:sz w:val="20"/>
                <w:szCs w:val="20"/>
                <w:lang w:val="en-GB"/>
              </w:rPr>
              <w:t>CFU/ml)</w:t>
            </w:r>
          </w:p>
        </w:tc>
        <w:tc>
          <w:tcPr>
            <w:tcW w:w="1399" w:type="dxa"/>
            <w:tcBorders>
              <w:top w:val="single" w:sz="4" w:space="0" w:color="auto"/>
              <w:left w:val="single" w:sz="4" w:space="0" w:color="auto"/>
              <w:bottom w:val="single" w:sz="4" w:space="0" w:color="auto"/>
              <w:right w:val="single" w:sz="4" w:space="0" w:color="auto"/>
            </w:tcBorders>
            <w:vAlign w:val="center"/>
          </w:tcPr>
          <w:p w14:paraId="4F8D88A3"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P</w:t>
            </w:r>
            <w:r w:rsidRPr="00F66DD0">
              <w:rPr>
                <w:rFonts w:eastAsia="Calibri" w:cs="Times New Roman"/>
                <w:b/>
                <w:bCs/>
                <w:sz w:val="20"/>
                <w:szCs w:val="20"/>
                <w:vertAlign w:val="subscript"/>
                <w:lang w:val="en-GB"/>
              </w:rPr>
              <w:t>0</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r w:rsidRPr="00F66DD0">
              <w:rPr>
                <w:rFonts w:eastAsia="Calibri" w:cs="Times New Roman"/>
                <w:b/>
                <w:bCs/>
                <w:sz w:val="20"/>
                <w:szCs w:val="20"/>
                <w:lang w:val="en-GB"/>
              </w:rPr>
              <w:t>PFU/ml)</w:t>
            </w:r>
          </w:p>
        </w:tc>
        <w:tc>
          <w:tcPr>
            <w:tcW w:w="709" w:type="dxa"/>
            <w:tcBorders>
              <w:top w:val="single" w:sz="4" w:space="0" w:color="auto"/>
              <w:left w:val="single" w:sz="4" w:space="0" w:color="auto"/>
              <w:bottom w:val="single" w:sz="4" w:space="0" w:color="auto"/>
              <w:right w:val="single" w:sz="4" w:space="0" w:color="auto"/>
            </w:tcBorders>
            <w:vAlign w:val="center"/>
          </w:tcPr>
          <w:p w14:paraId="03BFBE58"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MOI (/)</w:t>
            </w:r>
          </w:p>
        </w:tc>
        <w:tc>
          <w:tcPr>
            <w:tcW w:w="1417" w:type="dxa"/>
            <w:tcBorders>
              <w:top w:val="single" w:sz="4" w:space="0" w:color="auto"/>
              <w:left w:val="single" w:sz="4" w:space="0" w:color="auto"/>
              <w:bottom w:val="single" w:sz="4" w:space="0" w:color="auto"/>
              <w:right w:val="single" w:sz="4" w:space="0" w:color="auto"/>
            </w:tcBorders>
            <w:vAlign w:val="center"/>
          </w:tcPr>
          <w:p w14:paraId="6DF5E35F"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I</w:t>
            </w:r>
            <w:r w:rsidRPr="00F66DD0">
              <w:rPr>
                <w:rFonts w:eastAsia="Calibri" w:cs="Times New Roman"/>
                <w:b/>
                <w:bCs/>
                <w:sz w:val="20"/>
                <w:szCs w:val="20"/>
                <w:vertAlign w:val="subscript"/>
                <w:lang w:val="en-GB"/>
              </w:rPr>
              <w:t>X</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r w:rsidRPr="00F66DD0">
              <w:rPr>
                <w:rFonts w:eastAsia="Calibri" w:cs="Times New Roman"/>
                <w:b/>
                <w:bCs/>
                <w:sz w:val="20"/>
                <w:szCs w:val="20"/>
                <w:lang w:val="en-GB"/>
              </w:rPr>
              <w:t>PFU/ml)</w:t>
            </w:r>
          </w:p>
        </w:tc>
        <w:tc>
          <w:tcPr>
            <w:tcW w:w="851" w:type="dxa"/>
            <w:tcBorders>
              <w:top w:val="single" w:sz="4" w:space="0" w:color="auto"/>
              <w:left w:val="single" w:sz="4" w:space="0" w:color="auto"/>
              <w:bottom w:val="single" w:sz="4" w:space="0" w:color="auto"/>
              <w:right w:val="single" w:sz="4" w:space="0" w:color="auto"/>
            </w:tcBorders>
            <w:vAlign w:val="center"/>
          </w:tcPr>
          <w:p w14:paraId="0D20B691"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LP (min)</w:t>
            </w:r>
          </w:p>
        </w:tc>
        <w:tc>
          <w:tcPr>
            <w:tcW w:w="708" w:type="dxa"/>
            <w:tcBorders>
              <w:top w:val="single" w:sz="4" w:space="0" w:color="auto"/>
              <w:left w:val="single" w:sz="4" w:space="0" w:color="auto"/>
              <w:bottom w:val="single" w:sz="4" w:space="0" w:color="auto"/>
              <w:right w:val="single" w:sz="4" w:space="0" w:color="auto"/>
            </w:tcBorders>
            <w:vAlign w:val="center"/>
          </w:tcPr>
          <w:p w14:paraId="3B088050"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BS (/)</w:t>
            </w:r>
          </w:p>
        </w:tc>
        <w:tc>
          <w:tcPr>
            <w:tcW w:w="1560" w:type="dxa"/>
            <w:tcBorders>
              <w:top w:val="single" w:sz="4" w:space="0" w:color="auto"/>
              <w:left w:val="single" w:sz="4" w:space="0" w:color="auto"/>
              <w:bottom w:val="single" w:sz="4" w:space="0" w:color="auto"/>
              <w:right w:val="single" w:sz="4" w:space="0" w:color="auto"/>
            </w:tcBorders>
            <w:vAlign w:val="center"/>
          </w:tcPr>
          <w:p w14:paraId="502F5A46"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Ka </w:t>
            </w:r>
          </w:p>
          <w:p w14:paraId="43A707C5"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(10</w:t>
            </w:r>
            <w:r w:rsidRPr="00F66DD0">
              <w:rPr>
                <w:rFonts w:eastAsia="Calibri" w:cs="Times New Roman"/>
                <w:b/>
                <w:bCs/>
                <w:sz w:val="20"/>
                <w:szCs w:val="20"/>
                <w:vertAlign w:val="superscript"/>
                <w:lang w:val="en-GB"/>
              </w:rPr>
              <w:t xml:space="preserve">-8 </w:t>
            </w:r>
            <w:r w:rsidRPr="00F66DD0">
              <w:rPr>
                <w:rFonts w:eastAsia="Calibri" w:cs="Times New Roman"/>
                <w:b/>
                <w:bCs/>
                <w:sz w:val="20"/>
                <w:szCs w:val="20"/>
                <w:lang w:val="en-GB"/>
              </w:rPr>
              <w:t>ml/CFU h)</w:t>
            </w:r>
          </w:p>
        </w:tc>
        <w:tc>
          <w:tcPr>
            <w:tcW w:w="992" w:type="dxa"/>
            <w:tcBorders>
              <w:top w:val="single" w:sz="4" w:space="0" w:color="auto"/>
              <w:left w:val="single" w:sz="4" w:space="0" w:color="auto"/>
              <w:bottom w:val="single" w:sz="4" w:space="0" w:color="auto"/>
              <w:right w:val="single" w:sz="4" w:space="0" w:color="auto"/>
            </w:tcBorders>
            <w:vAlign w:val="center"/>
          </w:tcPr>
          <w:p w14:paraId="79E1F052" w14:textId="77777777" w:rsidR="00712CAE" w:rsidRPr="00F66DD0" w:rsidRDefault="00712CAE" w:rsidP="00777CFF">
            <w:pPr>
              <w:spacing w:before="0" w:after="0"/>
              <w:jc w:val="center"/>
              <w:rPr>
                <w:rFonts w:eastAsia="Calibri" w:cs="Times New Roman"/>
                <w:b/>
                <w:bCs/>
                <w:sz w:val="20"/>
                <w:szCs w:val="20"/>
                <w:lang w:val="en-GB"/>
              </w:rPr>
            </w:pPr>
            <w:r w:rsidRPr="00F66DD0">
              <w:rPr>
                <w:rFonts w:eastAsia="Calibri" w:cs="Times New Roman"/>
                <w:b/>
                <w:bCs/>
                <w:sz w:val="20"/>
                <w:szCs w:val="20"/>
                <w:lang w:val="en-GB"/>
              </w:rPr>
              <w:t>F (h</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r>
      <w:tr w:rsidR="00712CAE" w:rsidRPr="00F66DD0" w14:paraId="13C976B9" w14:textId="77777777" w:rsidTr="00777CFF">
        <w:trPr>
          <w:trHeight w:val="709"/>
        </w:trPr>
        <w:tc>
          <w:tcPr>
            <w:tcW w:w="1129" w:type="dxa"/>
            <w:tcBorders>
              <w:top w:val="single" w:sz="4" w:space="0" w:color="auto"/>
              <w:left w:val="single" w:sz="4" w:space="0" w:color="auto"/>
              <w:bottom w:val="single" w:sz="4" w:space="0" w:color="auto"/>
            </w:tcBorders>
            <w:vAlign w:val="center"/>
          </w:tcPr>
          <w:p w14:paraId="45970DF8"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0.01 % </w:t>
            </w:r>
            <w:proofErr w:type="spellStart"/>
            <w:r w:rsidRPr="00F66DD0">
              <w:rPr>
                <w:rFonts w:eastAsia="Calibri" w:cs="Times New Roman"/>
                <w:sz w:val="20"/>
                <w:szCs w:val="20"/>
                <w:lang w:val="en-GB"/>
              </w:rPr>
              <w:t>gelatin</w:t>
            </w:r>
            <w:proofErr w:type="spellEnd"/>
          </w:p>
        </w:tc>
        <w:tc>
          <w:tcPr>
            <w:tcW w:w="1153" w:type="dxa"/>
            <w:tcBorders>
              <w:top w:val="single" w:sz="4" w:space="0" w:color="auto"/>
              <w:bottom w:val="single" w:sz="4" w:space="0" w:color="auto"/>
            </w:tcBorders>
            <w:vAlign w:val="center"/>
          </w:tcPr>
          <w:p w14:paraId="4EFFAF98"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3.50 ± 0.35</w:t>
            </w:r>
          </w:p>
        </w:tc>
        <w:tc>
          <w:tcPr>
            <w:tcW w:w="1399" w:type="dxa"/>
            <w:tcBorders>
              <w:top w:val="single" w:sz="4" w:space="0" w:color="auto"/>
              <w:bottom w:val="single" w:sz="4" w:space="0" w:color="auto"/>
            </w:tcBorders>
            <w:vAlign w:val="center"/>
          </w:tcPr>
          <w:p w14:paraId="42004584"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3.48 ± 0.18</w:t>
            </w:r>
          </w:p>
        </w:tc>
        <w:tc>
          <w:tcPr>
            <w:tcW w:w="709" w:type="dxa"/>
            <w:tcBorders>
              <w:top w:val="single" w:sz="4" w:space="0" w:color="auto"/>
              <w:bottom w:val="single" w:sz="4" w:space="0" w:color="auto"/>
            </w:tcBorders>
            <w:vAlign w:val="center"/>
          </w:tcPr>
          <w:p w14:paraId="1F77B6FE"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4EB3E02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2.30 ± 1.43</w:t>
            </w:r>
          </w:p>
        </w:tc>
        <w:tc>
          <w:tcPr>
            <w:tcW w:w="851" w:type="dxa"/>
            <w:tcBorders>
              <w:top w:val="single" w:sz="4" w:space="0" w:color="auto"/>
              <w:bottom w:val="single" w:sz="4" w:space="0" w:color="auto"/>
            </w:tcBorders>
            <w:vAlign w:val="center"/>
          </w:tcPr>
          <w:p w14:paraId="65ABF72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37.5</w:t>
            </w:r>
          </w:p>
        </w:tc>
        <w:tc>
          <w:tcPr>
            <w:tcW w:w="708" w:type="dxa"/>
            <w:tcBorders>
              <w:top w:val="single" w:sz="4" w:space="0" w:color="auto"/>
              <w:bottom w:val="single" w:sz="4" w:space="0" w:color="auto"/>
            </w:tcBorders>
            <w:vAlign w:val="center"/>
          </w:tcPr>
          <w:p w14:paraId="1134DCEC"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32.24 ± 0.97</w:t>
            </w:r>
          </w:p>
        </w:tc>
        <w:tc>
          <w:tcPr>
            <w:tcW w:w="1560" w:type="dxa"/>
            <w:tcBorders>
              <w:top w:val="single" w:sz="4" w:space="0" w:color="auto"/>
              <w:bottom w:val="single" w:sz="4" w:space="0" w:color="auto"/>
            </w:tcBorders>
            <w:vAlign w:val="center"/>
          </w:tcPr>
          <w:p w14:paraId="340C1018"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6.44 ± 0.26</w:t>
            </w:r>
          </w:p>
        </w:tc>
        <w:tc>
          <w:tcPr>
            <w:tcW w:w="992" w:type="dxa"/>
            <w:tcBorders>
              <w:top w:val="single" w:sz="4" w:space="0" w:color="auto"/>
              <w:bottom w:val="single" w:sz="4" w:space="0" w:color="auto"/>
              <w:right w:val="single" w:sz="4" w:space="0" w:color="auto"/>
            </w:tcBorders>
            <w:vAlign w:val="center"/>
          </w:tcPr>
          <w:p w14:paraId="4DD231B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5.10 ± 0.14</w:t>
            </w:r>
          </w:p>
        </w:tc>
      </w:tr>
      <w:tr w:rsidR="00712CAE" w:rsidRPr="00F66DD0" w14:paraId="20BDA98B" w14:textId="77777777" w:rsidTr="00777CFF">
        <w:trPr>
          <w:trHeight w:val="549"/>
        </w:trPr>
        <w:tc>
          <w:tcPr>
            <w:tcW w:w="1129" w:type="dxa"/>
            <w:tcBorders>
              <w:top w:val="single" w:sz="4" w:space="0" w:color="auto"/>
              <w:left w:val="single" w:sz="4" w:space="0" w:color="auto"/>
              <w:bottom w:val="single" w:sz="4" w:space="0" w:color="auto"/>
            </w:tcBorders>
            <w:vAlign w:val="center"/>
          </w:tcPr>
          <w:p w14:paraId="32DC50C1"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no </w:t>
            </w:r>
            <w:proofErr w:type="spellStart"/>
            <w:r w:rsidRPr="00F66DD0">
              <w:rPr>
                <w:rFonts w:eastAsia="Calibri" w:cs="Times New Roman"/>
                <w:sz w:val="20"/>
                <w:szCs w:val="20"/>
                <w:lang w:val="en-GB"/>
              </w:rPr>
              <w:t>gelatin</w:t>
            </w:r>
            <w:proofErr w:type="spellEnd"/>
          </w:p>
        </w:tc>
        <w:tc>
          <w:tcPr>
            <w:tcW w:w="1153" w:type="dxa"/>
            <w:tcBorders>
              <w:top w:val="single" w:sz="4" w:space="0" w:color="auto"/>
              <w:bottom w:val="single" w:sz="4" w:space="0" w:color="auto"/>
            </w:tcBorders>
            <w:vAlign w:val="center"/>
          </w:tcPr>
          <w:p w14:paraId="4912C2C5"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4.20 ± 0.13</w:t>
            </w:r>
          </w:p>
        </w:tc>
        <w:tc>
          <w:tcPr>
            <w:tcW w:w="1399" w:type="dxa"/>
            <w:tcBorders>
              <w:top w:val="single" w:sz="4" w:space="0" w:color="auto"/>
              <w:bottom w:val="single" w:sz="4" w:space="0" w:color="auto"/>
            </w:tcBorders>
            <w:vAlign w:val="center"/>
          </w:tcPr>
          <w:p w14:paraId="6FC6E46B"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3.34 ± 0.03</w:t>
            </w:r>
          </w:p>
        </w:tc>
        <w:tc>
          <w:tcPr>
            <w:tcW w:w="709" w:type="dxa"/>
            <w:tcBorders>
              <w:top w:val="single" w:sz="4" w:space="0" w:color="auto"/>
              <w:bottom w:val="single" w:sz="4" w:space="0" w:color="auto"/>
            </w:tcBorders>
            <w:vAlign w:val="center"/>
          </w:tcPr>
          <w:p w14:paraId="3C35C971"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767DD588"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2.47 ± 0.12</w:t>
            </w:r>
          </w:p>
        </w:tc>
        <w:tc>
          <w:tcPr>
            <w:tcW w:w="851" w:type="dxa"/>
            <w:tcBorders>
              <w:top w:val="single" w:sz="4" w:space="0" w:color="auto"/>
              <w:bottom w:val="single" w:sz="4" w:space="0" w:color="auto"/>
            </w:tcBorders>
            <w:vAlign w:val="center"/>
          </w:tcPr>
          <w:p w14:paraId="5475A84F"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37.5</w:t>
            </w:r>
          </w:p>
        </w:tc>
        <w:tc>
          <w:tcPr>
            <w:tcW w:w="708" w:type="dxa"/>
            <w:tcBorders>
              <w:top w:val="single" w:sz="4" w:space="0" w:color="auto"/>
              <w:bottom w:val="single" w:sz="4" w:space="0" w:color="auto"/>
            </w:tcBorders>
            <w:vAlign w:val="center"/>
          </w:tcPr>
          <w:p w14:paraId="40C6B9B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18.72 ± 3.0</w:t>
            </w:r>
          </w:p>
        </w:tc>
        <w:tc>
          <w:tcPr>
            <w:tcW w:w="1560" w:type="dxa"/>
            <w:tcBorders>
              <w:top w:val="single" w:sz="4" w:space="0" w:color="auto"/>
              <w:bottom w:val="single" w:sz="4" w:space="0" w:color="auto"/>
            </w:tcBorders>
            <w:vAlign w:val="center"/>
          </w:tcPr>
          <w:p w14:paraId="22D055B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7.30 ± 0.51</w:t>
            </w:r>
          </w:p>
        </w:tc>
        <w:tc>
          <w:tcPr>
            <w:tcW w:w="992" w:type="dxa"/>
            <w:tcBorders>
              <w:top w:val="single" w:sz="4" w:space="0" w:color="auto"/>
              <w:bottom w:val="single" w:sz="4" w:space="0" w:color="auto"/>
              <w:right w:val="single" w:sz="4" w:space="0" w:color="auto"/>
            </w:tcBorders>
            <w:vAlign w:val="center"/>
          </w:tcPr>
          <w:p w14:paraId="2D75F17A"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4.45 ± 0.18</w:t>
            </w:r>
          </w:p>
        </w:tc>
      </w:tr>
      <w:tr w:rsidR="00712CAE" w:rsidRPr="00F66DD0" w14:paraId="2B00FA32" w14:textId="77777777" w:rsidTr="00777CFF">
        <w:trPr>
          <w:trHeight w:val="1123"/>
        </w:trPr>
        <w:tc>
          <w:tcPr>
            <w:tcW w:w="1129" w:type="dxa"/>
            <w:tcBorders>
              <w:top w:val="single" w:sz="4" w:space="0" w:color="auto"/>
              <w:left w:val="single" w:sz="4" w:space="0" w:color="auto"/>
              <w:bottom w:val="single" w:sz="4" w:space="0" w:color="auto"/>
            </w:tcBorders>
            <w:vAlign w:val="center"/>
          </w:tcPr>
          <w:p w14:paraId="271DF345"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0.01 % </w:t>
            </w:r>
            <w:proofErr w:type="spellStart"/>
            <w:r w:rsidRPr="00F66DD0">
              <w:rPr>
                <w:rFonts w:eastAsia="Calibri" w:cs="Times New Roman"/>
                <w:sz w:val="20"/>
                <w:szCs w:val="20"/>
                <w:lang w:val="en-GB"/>
              </w:rPr>
              <w:t>gelatin</w:t>
            </w:r>
            <w:proofErr w:type="spellEnd"/>
            <w:r w:rsidRPr="00F66DD0">
              <w:rPr>
                <w:rFonts w:eastAsia="Calibri" w:cs="Times New Roman"/>
                <w:sz w:val="20"/>
                <w:szCs w:val="20"/>
                <w:lang w:val="en-GB"/>
              </w:rPr>
              <w:t xml:space="preserve">, 10mM </w:t>
            </w:r>
            <w:proofErr w:type="spellStart"/>
            <w:r w:rsidRPr="00F66DD0">
              <w:rPr>
                <w:rFonts w:eastAsia="Calibri" w:cs="Times New Roman"/>
                <w:sz w:val="20"/>
                <w:szCs w:val="20"/>
                <w:lang w:val="en-GB"/>
              </w:rPr>
              <w:t>NaOAc</w:t>
            </w:r>
            <w:proofErr w:type="spellEnd"/>
          </w:p>
        </w:tc>
        <w:tc>
          <w:tcPr>
            <w:tcW w:w="1153" w:type="dxa"/>
            <w:tcBorders>
              <w:top w:val="single" w:sz="4" w:space="0" w:color="auto"/>
              <w:bottom w:val="single" w:sz="4" w:space="0" w:color="auto"/>
            </w:tcBorders>
            <w:vAlign w:val="center"/>
          </w:tcPr>
          <w:p w14:paraId="430A5344"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3.33 ± 0.13</w:t>
            </w:r>
          </w:p>
        </w:tc>
        <w:tc>
          <w:tcPr>
            <w:tcW w:w="1399" w:type="dxa"/>
            <w:tcBorders>
              <w:top w:val="single" w:sz="4" w:space="0" w:color="auto"/>
              <w:bottom w:val="single" w:sz="4" w:space="0" w:color="auto"/>
            </w:tcBorders>
            <w:vAlign w:val="center"/>
          </w:tcPr>
          <w:p w14:paraId="7E293031"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4.05 ± 0.16</w:t>
            </w:r>
          </w:p>
        </w:tc>
        <w:tc>
          <w:tcPr>
            <w:tcW w:w="709" w:type="dxa"/>
            <w:tcBorders>
              <w:top w:val="single" w:sz="4" w:space="0" w:color="auto"/>
              <w:bottom w:val="single" w:sz="4" w:space="0" w:color="auto"/>
            </w:tcBorders>
            <w:vAlign w:val="center"/>
          </w:tcPr>
          <w:p w14:paraId="0D2AB580"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3A819FFB"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3.80 ± 0.27</w:t>
            </w:r>
          </w:p>
        </w:tc>
        <w:tc>
          <w:tcPr>
            <w:tcW w:w="851" w:type="dxa"/>
            <w:tcBorders>
              <w:top w:val="single" w:sz="4" w:space="0" w:color="auto"/>
              <w:bottom w:val="single" w:sz="4" w:space="0" w:color="auto"/>
            </w:tcBorders>
            <w:vAlign w:val="center"/>
          </w:tcPr>
          <w:p w14:paraId="19E327AB"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37.5 ± 0.75</w:t>
            </w:r>
          </w:p>
        </w:tc>
        <w:tc>
          <w:tcPr>
            <w:tcW w:w="708" w:type="dxa"/>
            <w:tcBorders>
              <w:top w:val="single" w:sz="4" w:space="0" w:color="auto"/>
              <w:bottom w:val="single" w:sz="4" w:space="0" w:color="auto"/>
            </w:tcBorders>
            <w:vAlign w:val="center"/>
          </w:tcPr>
          <w:p w14:paraId="3A758989"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42.17 ± 4.64</w:t>
            </w:r>
          </w:p>
        </w:tc>
        <w:tc>
          <w:tcPr>
            <w:tcW w:w="1560" w:type="dxa"/>
            <w:tcBorders>
              <w:top w:val="single" w:sz="4" w:space="0" w:color="auto"/>
              <w:bottom w:val="single" w:sz="4" w:space="0" w:color="auto"/>
            </w:tcBorders>
            <w:vAlign w:val="center"/>
          </w:tcPr>
          <w:p w14:paraId="4A2A325F"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9.60 ± 0.19</w:t>
            </w:r>
          </w:p>
        </w:tc>
        <w:tc>
          <w:tcPr>
            <w:tcW w:w="992" w:type="dxa"/>
            <w:tcBorders>
              <w:top w:val="single" w:sz="4" w:space="0" w:color="auto"/>
              <w:bottom w:val="single" w:sz="4" w:space="0" w:color="auto"/>
              <w:right w:val="single" w:sz="4" w:space="0" w:color="auto"/>
            </w:tcBorders>
            <w:vAlign w:val="center"/>
          </w:tcPr>
          <w:p w14:paraId="4FDB4C0A"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5.70 ± 0.40</w:t>
            </w:r>
          </w:p>
        </w:tc>
      </w:tr>
      <w:tr w:rsidR="00712CAE" w:rsidRPr="00F66DD0" w14:paraId="48997C02" w14:textId="77777777" w:rsidTr="00777CFF">
        <w:trPr>
          <w:trHeight w:val="855"/>
        </w:trPr>
        <w:tc>
          <w:tcPr>
            <w:tcW w:w="1129" w:type="dxa"/>
            <w:tcBorders>
              <w:top w:val="single" w:sz="4" w:space="0" w:color="auto"/>
              <w:left w:val="single" w:sz="4" w:space="0" w:color="auto"/>
              <w:bottom w:val="single" w:sz="4" w:space="0" w:color="auto"/>
            </w:tcBorders>
            <w:vAlign w:val="center"/>
          </w:tcPr>
          <w:p w14:paraId="5F8B0C7B"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no </w:t>
            </w:r>
            <w:proofErr w:type="spellStart"/>
            <w:r w:rsidRPr="00F66DD0">
              <w:rPr>
                <w:rFonts w:eastAsia="Calibri" w:cs="Times New Roman"/>
                <w:sz w:val="20"/>
                <w:szCs w:val="20"/>
                <w:lang w:val="en-GB"/>
              </w:rPr>
              <w:t>gelatin</w:t>
            </w:r>
            <w:proofErr w:type="spellEnd"/>
            <w:r w:rsidRPr="00F66DD0">
              <w:rPr>
                <w:rFonts w:eastAsia="Calibri" w:cs="Times New Roman"/>
                <w:sz w:val="20"/>
                <w:szCs w:val="20"/>
                <w:lang w:val="en-GB"/>
              </w:rPr>
              <w:t xml:space="preserve">, 10mM </w:t>
            </w:r>
            <w:proofErr w:type="spellStart"/>
            <w:r w:rsidRPr="00F66DD0">
              <w:rPr>
                <w:rFonts w:eastAsia="Calibri" w:cs="Times New Roman"/>
                <w:sz w:val="20"/>
                <w:szCs w:val="20"/>
                <w:lang w:val="en-GB"/>
              </w:rPr>
              <w:t>NaOAc</w:t>
            </w:r>
            <w:proofErr w:type="spellEnd"/>
          </w:p>
        </w:tc>
        <w:tc>
          <w:tcPr>
            <w:tcW w:w="1153" w:type="dxa"/>
            <w:tcBorders>
              <w:top w:val="single" w:sz="4" w:space="0" w:color="auto"/>
              <w:bottom w:val="single" w:sz="4" w:space="0" w:color="auto"/>
            </w:tcBorders>
            <w:vAlign w:val="center"/>
          </w:tcPr>
          <w:p w14:paraId="746AACF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4.20 ± 0.29</w:t>
            </w:r>
          </w:p>
        </w:tc>
        <w:tc>
          <w:tcPr>
            <w:tcW w:w="1399" w:type="dxa"/>
            <w:tcBorders>
              <w:top w:val="single" w:sz="4" w:space="0" w:color="auto"/>
              <w:bottom w:val="single" w:sz="4" w:space="0" w:color="auto"/>
            </w:tcBorders>
            <w:vAlign w:val="center"/>
          </w:tcPr>
          <w:p w14:paraId="3B7B4BB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3.69 ± 0.15</w:t>
            </w:r>
          </w:p>
        </w:tc>
        <w:tc>
          <w:tcPr>
            <w:tcW w:w="709" w:type="dxa"/>
            <w:tcBorders>
              <w:top w:val="single" w:sz="4" w:space="0" w:color="auto"/>
              <w:bottom w:val="single" w:sz="4" w:space="0" w:color="auto"/>
            </w:tcBorders>
            <w:vAlign w:val="center"/>
          </w:tcPr>
          <w:p w14:paraId="041565CF"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43EF6900"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2.17 </w:t>
            </w:r>
            <w:proofErr w:type="gramStart"/>
            <w:r w:rsidRPr="00F66DD0">
              <w:rPr>
                <w:rFonts w:eastAsia="Calibri" w:cs="Times New Roman"/>
                <w:sz w:val="20"/>
                <w:szCs w:val="20"/>
                <w:lang w:val="en-GB"/>
              </w:rPr>
              <w:t>±  0</w:t>
            </w:r>
            <w:proofErr w:type="gramEnd"/>
            <w:r w:rsidRPr="00F66DD0">
              <w:rPr>
                <w:rFonts w:eastAsia="Calibri" w:cs="Times New Roman"/>
                <w:sz w:val="20"/>
                <w:szCs w:val="20"/>
                <w:lang w:val="en-GB"/>
              </w:rPr>
              <w:t>.24</w:t>
            </w:r>
          </w:p>
        </w:tc>
        <w:tc>
          <w:tcPr>
            <w:tcW w:w="851" w:type="dxa"/>
            <w:tcBorders>
              <w:top w:val="single" w:sz="4" w:space="0" w:color="auto"/>
              <w:bottom w:val="single" w:sz="4" w:space="0" w:color="auto"/>
            </w:tcBorders>
            <w:vAlign w:val="center"/>
          </w:tcPr>
          <w:p w14:paraId="529C04AF"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37.5 ± 0.75</w:t>
            </w:r>
          </w:p>
        </w:tc>
        <w:tc>
          <w:tcPr>
            <w:tcW w:w="708" w:type="dxa"/>
            <w:tcBorders>
              <w:top w:val="single" w:sz="4" w:space="0" w:color="auto"/>
              <w:bottom w:val="single" w:sz="4" w:space="0" w:color="auto"/>
            </w:tcBorders>
            <w:vAlign w:val="center"/>
          </w:tcPr>
          <w:p w14:paraId="466C85B1"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25.18 ± 1.76</w:t>
            </w:r>
          </w:p>
        </w:tc>
        <w:tc>
          <w:tcPr>
            <w:tcW w:w="1560" w:type="dxa"/>
            <w:tcBorders>
              <w:top w:val="single" w:sz="4" w:space="0" w:color="auto"/>
              <w:bottom w:val="single" w:sz="4" w:space="0" w:color="auto"/>
            </w:tcBorders>
            <w:vAlign w:val="center"/>
          </w:tcPr>
          <w:p w14:paraId="4C51A227"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7.30 </w:t>
            </w:r>
            <w:proofErr w:type="gramStart"/>
            <w:r w:rsidRPr="00F66DD0">
              <w:rPr>
                <w:rFonts w:eastAsia="Calibri" w:cs="Times New Roman"/>
                <w:sz w:val="20"/>
                <w:szCs w:val="20"/>
                <w:lang w:val="en-GB"/>
              </w:rPr>
              <w:t>±  0</w:t>
            </w:r>
            <w:proofErr w:type="gramEnd"/>
            <w:r w:rsidRPr="00F66DD0">
              <w:rPr>
                <w:rFonts w:eastAsia="Calibri" w:cs="Times New Roman"/>
                <w:sz w:val="20"/>
                <w:szCs w:val="20"/>
                <w:lang w:val="en-GB"/>
              </w:rPr>
              <w:t>.15</w:t>
            </w:r>
          </w:p>
        </w:tc>
        <w:tc>
          <w:tcPr>
            <w:tcW w:w="992" w:type="dxa"/>
            <w:tcBorders>
              <w:top w:val="single" w:sz="4" w:space="0" w:color="auto"/>
              <w:bottom w:val="single" w:sz="4" w:space="0" w:color="auto"/>
              <w:right w:val="single" w:sz="4" w:space="0" w:color="auto"/>
            </w:tcBorders>
            <w:vAlign w:val="center"/>
          </w:tcPr>
          <w:p w14:paraId="72C69D9D"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4.91 ± 0.24</w:t>
            </w:r>
          </w:p>
        </w:tc>
      </w:tr>
      <w:tr w:rsidR="00712CAE" w:rsidRPr="00F66DD0" w14:paraId="0341CD7D" w14:textId="77777777" w:rsidTr="00777CFF">
        <w:trPr>
          <w:trHeight w:val="1265"/>
        </w:trPr>
        <w:tc>
          <w:tcPr>
            <w:tcW w:w="1129" w:type="dxa"/>
            <w:tcBorders>
              <w:top w:val="single" w:sz="4" w:space="0" w:color="auto"/>
              <w:left w:val="single" w:sz="4" w:space="0" w:color="auto"/>
              <w:bottom w:val="single" w:sz="4" w:space="0" w:color="auto"/>
            </w:tcBorders>
            <w:vAlign w:val="center"/>
          </w:tcPr>
          <w:p w14:paraId="433728D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0.01 % </w:t>
            </w:r>
            <w:proofErr w:type="spellStart"/>
            <w:r w:rsidRPr="00F66DD0">
              <w:rPr>
                <w:rFonts w:eastAsia="Calibri" w:cs="Times New Roman"/>
                <w:sz w:val="20"/>
                <w:szCs w:val="20"/>
                <w:lang w:val="en-GB"/>
              </w:rPr>
              <w:t>gelatin</w:t>
            </w:r>
            <w:proofErr w:type="spellEnd"/>
            <w:r w:rsidRPr="00F66DD0">
              <w:rPr>
                <w:rFonts w:eastAsia="Calibri" w:cs="Times New Roman"/>
                <w:sz w:val="20"/>
                <w:szCs w:val="20"/>
                <w:lang w:val="en-GB"/>
              </w:rPr>
              <w:t>, 10mM Na</w:t>
            </w:r>
            <w:r w:rsidRPr="00F66DD0">
              <w:rPr>
                <w:rFonts w:eastAsia="Calibri" w:cs="Times New Roman"/>
                <w:sz w:val="20"/>
                <w:szCs w:val="20"/>
                <w:vertAlign w:val="subscript"/>
                <w:lang w:val="en-GB"/>
              </w:rPr>
              <w:t>2</w:t>
            </w:r>
            <w:r w:rsidRPr="00F66DD0">
              <w:rPr>
                <w:rFonts w:eastAsia="Calibri" w:cs="Times New Roman"/>
                <w:sz w:val="20"/>
                <w:szCs w:val="20"/>
                <w:lang w:val="en-GB"/>
              </w:rPr>
              <w:t>HPO</w:t>
            </w:r>
            <w:r w:rsidRPr="00F66DD0">
              <w:rPr>
                <w:rFonts w:eastAsia="Calibri" w:cs="Times New Roman"/>
                <w:sz w:val="20"/>
                <w:szCs w:val="20"/>
                <w:vertAlign w:val="subscript"/>
                <w:lang w:val="en-GB"/>
              </w:rPr>
              <w:t>4</w:t>
            </w:r>
          </w:p>
        </w:tc>
        <w:tc>
          <w:tcPr>
            <w:tcW w:w="1153" w:type="dxa"/>
            <w:tcBorders>
              <w:top w:val="single" w:sz="4" w:space="0" w:color="auto"/>
              <w:bottom w:val="single" w:sz="4" w:space="0" w:color="auto"/>
            </w:tcBorders>
            <w:vAlign w:val="center"/>
          </w:tcPr>
          <w:p w14:paraId="36260729"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4.00 ± 0.44</w:t>
            </w:r>
          </w:p>
        </w:tc>
        <w:tc>
          <w:tcPr>
            <w:tcW w:w="1399" w:type="dxa"/>
            <w:tcBorders>
              <w:top w:val="single" w:sz="4" w:space="0" w:color="auto"/>
              <w:bottom w:val="single" w:sz="4" w:space="0" w:color="auto"/>
            </w:tcBorders>
            <w:vAlign w:val="center"/>
          </w:tcPr>
          <w:p w14:paraId="6BED87EF"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4.68 ± 0.23</w:t>
            </w:r>
          </w:p>
        </w:tc>
        <w:tc>
          <w:tcPr>
            <w:tcW w:w="709" w:type="dxa"/>
            <w:tcBorders>
              <w:top w:val="single" w:sz="4" w:space="0" w:color="auto"/>
              <w:bottom w:val="single" w:sz="4" w:space="0" w:color="auto"/>
            </w:tcBorders>
            <w:vAlign w:val="center"/>
          </w:tcPr>
          <w:p w14:paraId="1284C61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0AAF904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4.76 ± 0.19</w:t>
            </w:r>
          </w:p>
        </w:tc>
        <w:tc>
          <w:tcPr>
            <w:tcW w:w="851" w:type="dxa"/>
            <w:tcBorders>
              <w:top w:val="single" w:sz="4" w:space="0" w:color="auto"/>
              <w:bottom w:val="single" w:sz="4" w:space="0" w:color="auto"/>
            </w:tcBorders>
            <w:vAlign w:val="center"/>
          </w:tcPr>
          <w:p w14:paraId="0C3E0727"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35 ± 2.8</w:t>
            </w:r>
          </w:p>
        </w:tc>
        <w:tc>
          <w:tcPr>
            <w:tcW w:w="708" w:type="dxa"/>
            <w:tcBorders>
              <w:top w:val="single" w:sz="4" w:space="0" w:color="auto"/>
              <w:bottom w:val="single" w:sz="4" w:space="0" w:color="auto"/>
            </w:tcBorders>
            <w:vAlign w:val="center"/>
          </w:tcPr>
          <w:p w14:paraId="42A5081C"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25.23 ± 0.50</w:t>
            </w:r>
          </w:p>
        </w:tc>
        <w:tc>
          <w:tcPr>
            <w:tcW w:w="1560" w:type="dxa"/>
            <w:tcBorders>
              <w:top w:val="single" w:sz="4" w:space="0" w:color="auto"/>
              <w:bottom w:val="single" w:sz="4" w:space="0" w:color="auto"/>
            </w:tcBorders>
            <w:vAlign w:val="center"/>
          </w:tcPr>
          <w:p w14:paraId="5034E2B4"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9.41 ± 0.56</w:t>
            </w:r>
          </w:p>
        </w:tc>
        <w:tc>
          <w:tcPr>
            <w:tcW w:w="992" w:type="dxa"/>
            <w:tcBorders>
              <w:top w:val="single" w:sz="4" w:space="0" w:color="auto"/>
              <w:bottom w:val="single" w:sz="4" w:space="0" w:color="auto"/>
              <w:right w:val="single" w:sz="4" w:space="0" w:color="auto"/>
            </w:tcBorders>
            <w:vAlign w:val="center"/>
          </w:tcPr>
          <w:p w14:paraId="17E9E6A4"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5.29 ± 0.21</w:t>
            </w:r>
          </w:p>
        </w:tc>
      </w:tr>
      <w:tr w:rsidR="00712CAE" w:rsidRPr="00F66DD0" w14:paraId="3EBA395A" w14:textId="77777777" w:rsidTr="00777CFF">
        <w:trPr>
          <w:trHeight w:val="1113"/>
        </w:trPr>
        <w:tc>
          <w:tcPr>
            <w:tcW w:w="1129" w:type="dxa"/>
            <w:tcBorders>
              <w:top w:val="single" w:sz="4" w:space="0" w:color="auto"/>
              <w:left w:val="single" w:sz="4" w:space="0" w:color="auto"/>
              <w:bottom w:val="single" w:sz="4" w:space="0" w:color="auto"/>
            </w:tcBorders>
            <w:vAlign w:val="center"/>
          </w:tcPr>
          <w:p w14:paraId="0E74F8D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 xml:space="preserve">0.01 % </w:t>
            </w:r>
            <w:proofErr w:type="spellStart"/>
            <w:r w:rsidRPr="00F66DD0">
              <w:rPr>
                <w:rFonts w:eastAsia="Calibri" w:cs="Times New Roman"/>
                <w:sz w:val="20"/>
                <w:szCs w:val="20"/>
                <w:lang w:val="en-GB"/>
              </w:rPr>
              <w:t>gelatin</w:t>
            </w:r>
            <w:proofErr w:type="spellEnd"/>
            <w:r w:rsidRPr="00F66DD0">
              <w:rPr>
                <w:rFonts w:eastAsia="Calibri" w:cs="Times New Roman"/>
                <w:sz w:val="20"/>
                <w:szCs w:val="20"/>
                <w:lang w:val="en-GB"/>
              </w:rPr>
              <w:t>, 10mM NH</w:t>
            </w:r>
            <w:r w:rsidRPr="00F66DD0">
              <w:rPr>
                <w:rFonts w:eastAsia="Calibri" w:cs="Times New Roman"/>
                <w:sz w:val="20"/>
                <w:szCs w:val="20"/>
                <w:vertAlign w:val="subscript"/>
                <w:lang w:val="en-GB"/>
              </w:rPr>
              <w:t>4</w:t>
            </w:r>
            <w:r w:rsidRPr="00F66DD0">
              <w:rPr>
                <w:rFonts w:eastAsia="Calibri" w:cs="Times New Roman"/>
                <w:sz w:val="20"/>
                <w:szCs w:val="20"/>
                <w:lang w:val="en-GB"/>
              </w:rPr>
              <w:t>Cl</w:t>
            </w:r>
          </w:p>
        </w:tc>
        <w:tc>
          <w:tcPr>
            <w:tcW w:w="1153" w:type="dxa"/>
            <w:tcBorders>
              <w:top w:val="single" w:sz="4" w:space="0" w:color="auto"/>
              <w:bottom w:val="single" w:sz="4" w:space="0" w:color="auto"/>
            </w:tcBorders>
            <w:vAlign w:val="center"/>
          </w:tcPr>
          <w:p w14:paraId="387A63EA"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4.00 ± 0.12</w:t>
            </w:r>
          </w:p>
        </w:tc>
        <w:tc>
          <w:tcPr>
            <w:tcW w:w="1399" w:type="dxa"/>
            <w:tcBorders>
              <w:top w:val="single" w:sz="4" w:space="0" w:color="auto"/>
              <w:bottom w:val="single" w:sz="4" w:space="0" w:color="auto"/>
            </w:tcBorders>
            <w:vAlign w:val="center"/>
          </w:tcPr>
          <w:p w14:paraId="4A57C766"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3.83 ± 0.08</w:t>
            </w:r>
          </w:p>
        </w:tc>
        <w:tc>
          <w:tcPr>
            <w:tcW w:w="709" w:type="dxa"/>
            <w:tcBorders>
              <w:top w:val="single" w:sz="4" w:space="0" w:color="auto"/>
              <w:bottom w:val="single" w:sz="4" w:space="0" w:color="auto"/>
            </w:tcBorders>
            <w:vAlign w:val="center"/>
          </w:tcPr>
          <w:p w14:paraId="24896128"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417" w:type="dxa"/>
            <w:tcBorders>
              <w:top w:val="single" w:sz="4" w:space="0" w:color="auto"/>
              <w:bottom w:val="single" w:sz="4" w:space="0" w:color="auto"/>
            </w:tcBorders>
            <w:vAlign w:val="center"/>
          </w:tcPr>
          <w:p w14:paraId="456111D9"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5.04 ± 0.10</w:t>
            </w:r>
          </w:p>
        </w:tc>
        <w:tc>
          <w:tcPr>
            <w:tcW w:w="851" w:type="dxa"/>
            <w:tcBorders>
              <w:top w:val="single" w:sz="4" w:space="0" w:color="auto"/>
              <w:bottom w:val="single" w:sz="4" w:space="0" w:color="auto"/>
            </w:tcBorders>
            <w:vAlign w:val="center"/>
          </w:tcPr>
          <w:p w14:paraId="37F69543"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37.5 ± 0.75</w:t>
            </w:r>
          </w:p>
        </w:tc>
        <w:tc>
          <w:tcPr>
            <w:tcW w:w="708" w:type="dxa"/>
            <w:tcBorders>
              <w:top w:val="single" w:sz="4" w:space="0" w:color="auto"/>
              <w:bottom w:val="single" w:sz="4" w:space="0" w:color="auto"/>
            </w:tcBorders>
            <w:vAlign w:val="center"/>
          </w:tcPr>
          <w:p w14:paraId="09C9069B"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29.13 ± 2.04</w:t>
            </w:r>
          </w:p>
        </w:tc>
        <w:tc>
          <w:tcPr>
            <w:tcW w:w="1560" w:type="dxa"/>
            <w:tcBorders>
              <w:top w:val="single" w:sz="4" w:space="0" w:color="auto"/>
              <w:bottom w:val="single" w:sz="4" w:space="0" w:color="auto"/>
            </w:tcBorders>
            <w:vAlign w:val="center"/>
          </w:tcPr>
          <w:p w14:paraId="000F24EE"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8.71 ± 0.52</w:t>
            </w:r>
          </w:p>
        </w:tc>
        <w:tc>
          <w:tcPr>
            <w:tcW w:w="992" w:type="dxa"/>
            <w:tcBorders>
              <w:top w:val="single" w:sz="4" w:space="0" w:color="auto"/>
              <w:bottom w:val="single" w:sz="4" w:space="0" w:color="auto"/>
              <w:right w:val="single" w:sz="4" w:space="0" w:color="auto"/>
            </w:tcBorders>
            <w:vAlign w:val="center"/>
          </w:tcPr>
          <w:p w14:paraId="60086FE9" w14:textId="77777777" w:rsidR="00712CAE" w:rsidRPr="00F66DD0" w:rsidRDefault="00712CAE" w:rsidP="00777CFF">
            <w:pPr>
              <w:spacing w:before="0" w:after="0"/>
              <w:jc w:val="center"/>
              <w:rPr>
                <w:rFonts w:eastAsia="Calibri" w:cs="Times New Roman"/>
                <w:sz w:val="20"/>
                <w:szCs w:val="20"/>
                <w:lang w:val="en-GB"/>
              </w:rPr>
            </w:pPr>
            <w:r w:rsidRPr="00F66DD0">
              <w:rPr>
                <w:rFonts w:eastAsia="Calibri" w:cs="Times New Roman"/>
                <w:sz w:val="20"/>
                <w:szCs w:val="20"/>
                <w:lang w:val="en-GB"/>
              </w:rPr>
              <w:t>5.16 ± 0.10</w:t>
            </w:r>
          </w:p>
        </w:tc>
      </w:tr>
    </w:tbl>
    <w:p w14:paraId="1D19D8E4" w14:textId="1506A217" w:rsidR="00687847" w:rsidRPr="00F66DD0" w:rsidRDefault="00687847" w:rsidP="00687847">
      <w:pPr>
        <w:spacing w:before="0" w:after="160" w:line="259" w:lineRule="auto"/>
        <w:rPr>
          <w:rFonts w:cs="Times New Roman"/>
        </w:rPr>
      </w:pPr>
      <w:r w:rsidRPr="00F66DD0">
        <w:rPr>
          <w:rFonts w:cs="Times New Roman"/>
        </w:rPr>
        <w:br w:type="page"/>
      </w:r>
    </w:p>
    <w:p w14:paraId="2E23369D" w14:textId="6D4E9E52" w:rsidR="00AE1A58" w:rsidRPr="00F66DD0" w:rsidRDefault="002804EB" w:rsidP="00AE1A58">
      <w:pPr>
        <w:keepNext/>
        <w:jc w:val="center"/>
        <w:rPr>
          <w:rFonts w:cs="Times New Roman"/>
        </w:rPr>
      </w:pPr>
      <w:r w:rsidRPr="00F66DD0">
        <w:rPr>
          <w:rFonts w:cs="Times New Roman"/>
          <w:b/>
          <w:bCs/>
          <w:noProof/>
          <w:sz w:val="28"/>
          <w:szCs w:val="28"/>
        </w:rPr>
        <w:lastRenderedPageBreak/>
        <w:drawing>
          <wp:inline distT="0" distB="0" distL="0" distR="0" wp14:anchorId="2BEAA97E" wp14:editId="629FF83B">
            <wp:extent cx="5731510" cy="43287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328795"/>
                    </a:xfrm>
                    <a:prstGeom prst="rect">
                      <a:avLst/>
                    </a:prstGeom>
                  </pic:spPr>
                </pic:pic>
              </a:graphicData>
            </a:graphic>
          </wp:inline>
        </w:drawing>
      </w:r>
    </w:p>
    <w:p w14:paraId="17F2FA15" w14:textId="6D9B9CA4" w:rsidR="00AE1A58" w:rsidRPr="00F66DD0" w:rsidRDefault="00AE1A58" w:rsidP="00AE1A58">
      <w:pPr>
        <w:spacing w:line="480" w:lineRule="auto"/>
        <w:jc w:val="both"/>
        <w:rPr>
          <w:rFonts w:cs="Times New Roman"/>
          <w:sz w:val="20"/>
          <w:szCs w:val="20"/>
          <w:lang w:val="en-GB"/>
        </w:rPr>
      </w:pPr>
      <w:r w:rsidRPr="00F66DD0">
        <w:rPr>
          <w:rFonts w:cs="Times New Roman"/>
          <w:b/>
          <w:bCs/>
          <w:sz w:val="20"/>
          <w:szCs w:val="20"/>
        </w:rPr>
        <w:t>Fig. S</w:t>
      </w:r>
      <w:r w:rsidR="00773474" w:rsidRPr="00F66DD0">
        <w:rPr>
          <w:rFonts w:cs="Times New Roman"/>
          <w:b/>
          <w:bCs/>
          <w:sz w:val="20"/>
          <w:szCs w:val="20"/>
        </w:rPr>
        <w:t>2</w:t>
      </w:r>
      <w:r w:rsidRPr="00F66DD0">
        <w:rPr>
          <w:rFonts w:cs="Times New Roman"/>
          <w:sz w:val="20"/>
          <w:szCs w:val="20"/>
          <w:lang w:val="en-GB"/>
        </w:rPr>
        <w:t xml:space="preserve"> </w:t>
      </w:r>
      <w:r w:rsidRPr="00F66DD0">
        <w:rPr>
          <w:rFonts w:cs="Times New Roman"/>
          <w:i/>
          <w:iCs/>
          <w:sz w:val="20"/>
          <w:szCs w:val="20"/>
          <w:lang w:val="en-GB"/>
        </w:rPr>
        <w:t>E. coli</w:t>
      </w:r>
      <w:r w:rsidRPr="00F66DD0">
        <w:rPr>
          <w:rFonts w:cs="Times New Roman"/>
          <w:sz w:val="20"/>
          <w:szCs w:val="20"/>
          <w:lang w:val="en-GB"/>
        </w:rPr>
        <w:t xml:space="preserve"> concentration during batch growth in LB medium (orange) and exposure to SM buffer following an initial 2.5 h growth period in LB medium (blue). Sample type and sampling time is indicated by properly coloured arrow labelled by figure number where corresponding one-step growth results are plotted.</w:t>
      </w:r>
    </w:p>
    <w:p w14:paraId="3C8E6243" w14:textId="2CE9057B" w:rsidR="00AE1A58" w:rsidRPr="00F66DD0" w:rsidRDefault="00AE1A58" w:rsidP="00AE1A58">
      <w:pPr>
        <w:spacing w:before="0" w:after="160" w:line="259" w:lineRule="auto"/>
        <w:rPr>
          <w:rFonts w:cs="Times New Roman"/>
          <w:sz w:val="22"/>
          <w:szCs w:val="20"/>
          <w:lang w:val="en-GB"/>
        </w:rPr>
      </w:pPr>
      <w:r w:rsidRPr="00F66DD0">
        <w:rPr>
          <w:rFonts w:cs="Times New Roman"/>
          <w:sz w:val="22"/>
          <w:szCs w:val="20"/>
          <w:lang w:val="en-GB"/>
        </w:rPr>
        <w:br w:type="page"/>
      </w:r>
    </w:p>
    <w:p w14:paraId="5F70B152" w14:textId="7EA31D45" w:rsidR="00AE1A58" w:rsidRPr="00F66DD0" w:rsidRDefault="00EC443E" w:rsidP="00AE1A58">
      <w:pPr>
        <w:keepNext/>
        <w:jc w:val="center"/>
        <w:rPr>
          <w:rFonts w:cs="Times New Roman"/>
          <w:szCs w:val="24"/>
        </w:rPr>
      </w:pPr>
      <w:r w:rsidRPr="00F66DD0">
        <w:rPr>
          <w:rFonts w:cs="Times New Roman"/>
          <w:noProof/>
          <w:szCs w:val="24"/>
        </w:rPr>
        <w:lastRenderedPageBreak/>
        <w:drawing>
          <wp:inline distT="0" distB="0" distL="0" distR="0" wp14:anchorId="2A9BF64B" wp14:editId="56B6E2BA">
            <wp:extent cx="4789221" cy="3714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94991" cy="3719226"/>
                    </a:xfrm>
                    <a:prstGeom prst="rect">
                      <a:avLst/>
                    </a:prstGeom>
                  </pic:spPr>
                </pic:pic>
              </a:graphicData>
            </a:graphic>
          </wp:inline>
        </w:drawing>
      </w:r>
    </w:p>
    <w:p w14:paraId="3BD35D2C" w14:textId="7DB862F1" w:rsidR="00AE1A58" w:rsidRPr="00F66DD0" w:rsidRDefault="00AE1A58" w:rsidP="00AE1A58">
      <w:pPr>
        <w:spacing w:line="480" w:lineRule="auto"/>
        <w:jc w:val="both"/>
        <w:rPr>
          <w:rFonts w:cs="Times New Roman"/>
          <w:sz w:val="20"/>
          <w:szCs w:val="20"/>
          <w:lang w:val="en-GB"/>
        </w:rPr>
      </w:pPr>
      <w:r w:rsidRPr="00F66DD0">
        <w:rPr>
          <w:rFonts w:cs="Times New Roman"/>
          <w:b/>
          <w:sz w:val="20"/>
          <w:szCs w:val="20"/>
        </w:rPr>
        <w:t>Fig. S</w:t>
      </w:r>
      <w:r w:rsidR="00773474" w:rsidRPr="00F66DD0">
        <w:rPr>
          <w:rFonts w:cs="Times New Roman"/>
          <w:b/>
          <w:sz w:val="20"/>
          <w:szCs w:val="20"/>
        </w:rPr>
        <w:t>3</w:t>
      </w:r>
      <w:r w:rsidRPr="00F66DD0">
        <w:rPr>
          <w:rFonts w:cs="Times New Roman"/>
          <w:sz w:val="20"/>
          <w:szCs w:val="20"/>
        </w:rPr>
        <w:t xml:space="preserve"> </w:t>
      </w:r>
      <w:r w:rsidRPr="00F66DD0">
        <w:rPr>
          <w:rFonts w:cs="Times New Roman"/>
          <w:sz w:val="20"/>
          <w:szCs w:val="20"/>
          <w:lang w:val="en-GB"/>
        </w:rPr>
        <w:t xml:space="preserve">One step growth experiment on bacteria growing for 0 hours in SM buffer following an initial </w:t>
      </w:r>
      <w:proofErr w:type="gramStart"/>
      <w:r w:rsidRPr="00F66DD0">
        <w:rPr>
          <w:rFonts w:cs="Times New Roman"/>
          <w:sz w:val="20"/>
          <w:szCs w:val="20"/>
          <w:lang w:val="en-GB"/>
        </w:rPr>
        <w:t>2.5 hour</w:t>
      </w:r>
      <w:proofErr w:type="gramEnd"/>
      <w:r w:rsidRPr="00F66DD0">
        <w:rPr>
          <w:rFonts w:cs="Times New Roman"/>
          <w:sz w:val="20"/>
          <w:szCs w:val="20"/>
          <w:lang w:val="en-GB"/>
        </w:rPr>
        <w:t xml:space="preserve"> growth period in LB medium to distinguish whether bacterial lysis occurred or one phage per infected bacterial cell is formed. Over time the concentration of infective </w:t>
      </w:r>
      <w:proofErr w:type="spellStart"/>
      <w:r w:rsidRPr="00F66DD0">
        <w:rPr>
          <w:rFonts w:cs="Times New Roman"/>
          <w:sz w:val="20"/>
          <w:szCs w:val="20"/>
          <w:lang w:val="en-GB"/>
        </w:rPr>
        <w:t>centers</w:t>
      </w:r>
      <w:proofErr w:type="spellEnd"/>
      <w:r w:rsidRPr="00F66DD0">
        <w:rPr>
          <w:rFonts w:cs="Times New Roman"/>
          <w:sz w:val="20"/>
          <w:szCs w:val="20"/>
          <w:lang w:val="en-GB"/>
        </w:rPr>
        <w:t xml:space="preserve"> (I</w:t>
      </w:r>
      <w:r w:rsidR="00EC443E" w:rsidRPr="00F66DD0">
        <w:rPr>
          <w:rFonts w:cs="Times New Roman"/>
          <w:sz w:val="20"/>
          <w:szCs w:val="20"/>
          <w:lang w:val="en-GB"/>
        </w:rPr>
        <w:t>C</w:t>
      </w:r>
      <w:r w:rsidRPr="00F66DD0">
        <w:rPr>
          <w:rFonts w:cs="Times New Roman"/>
          <w:sz w:val="20"/>
          <w:szCs w:val="20"/>
          <w:lang w:val="en-GB"/>
        </w:rPr>
        <w:t>), bacteriophages (P), via chloroform treatment, and sample filtration through a 0.22 µm filter (F</w:t>
      </w:r>
      <w:r w:rsidR="00076531" w:rsidRPr="00F66DD0">
        <w:rPr>
          <w:rFonts w:cs="Times New Roman"/>
          <w:sz w:val="20"/>
          <w:szCs w:val="20"/>
          <w:lang w:val="en-GB"/>
        </w:rPr>
        <w:t>ilter</w:t>
      </w:r>
      <w:r w:rsidRPr="00F66DD0">
        <w:rPr>
          <w:rFonts w:cs="Times New Roman"/>
          <w:sz w:val="20"/>
          <w:szCs w:val="20"/>
          <w:lang w:val="en-GB"/>
        </w:rPr>
        <w:t>) was monitored.</w:t>
      </w:r>
    </w:p>
    <w:p w14:paraId="2F00477E" w14:textId="5799B08A" w:rsidR="00773474" w:rsidRPr="00F66DD0" w:rsidRDefault="00A87583" w:rsidP="00A87583">
      <w:pPr>
        <w:spacing w:before="0" w:after="160" w:line="259" w:lineRule="auto"/>
        <w:rPr>
          <w:rFonts w:cs="Times New Roman"/>
          <w:sz w:val="22"/>
          <w:lang w:val="en-GB"/>
        </w:rPr>
      </w:pPr>
      <w:r w:rsidRPr="00F66DD0">
        <w:rPr>
          <w:b/>
          <w:bCs/>
          <w:sz w:val="20"/>
          <w:szCs w:val="20"/>
        </w:rPr>
        <w:br w:type="page"/>
      </w:r>
    </w:p>
    <w:p w14:paraId="429A4F05" w14:textId="67451A42" w:rsidR="00AE1A58" w:rsidRPr="00F66DD0" w:rsidRDefault="00AE1A58" w:rsidP="00AE1A58">
      <w:pPr>
        <w:spacing w:line="480" w:lineRule="auto"/>
        <w:jc w:val="both"/>
        <w:rPr>
          <w:b/>
          <w:bCs/>
          <w:sz w:val="20"/>
          <w:szCs w:val="20"/>
        </w:rPr>
      </w:pPr>
      <w:r w:rsidRPr="00F66DD0">
        <w:rPr>
          <w:b/>
          <w:bCs/>
          <w:sz w:val="20"/>
          <w:szCs w:val="20"/>
        </w:rPr>
        <w:lastRenderedPageBreak/>
        <w:t>Table S</w:t>
      </w:r>
      <w:r w:rsidR="00773474" w:rsidRPr="00F66DD0">
        <w:rPr>
          <w:b/>
          <w:bCs/>
          <w:sz w:val="20"/>
          <w:szCs w:val="20"/>
        </w:rPr>
        <w:t>2</w:t>
      </w:r>
      <w:r w:rsidRPr="00F66DD0">
        <w:rPr>
          <w:b/>
          <w:bCs/>
          <w:sz w:val="20"/>
          <w:szCs w:val="20"/>
        </w:rPr>
        <w:t xml:space="preserve"> </w:t>
      </w:r>
      <w:r w:rsidRPr="00F66DD0">
        <w:rPr>
          <w:sz w:val="20"/>
          <w:szCs w:val="20"/>
        </w:rPr>
        <w:t>Initial bacterial concentration (X), initial free phage concentration (P</w:t>
      </w:r>
      <w:r w:rsidRPr="00F66DD0">
        <w:rPr>
          <w:sz w:val="20"/>
          <w:szCs w:val="20"/>
          <w:vertAlign w:val="subscript"/>
        </w:rPr>
        <w:t>0</w:t>
      </w:r>
      <w:r w:rsidRPr="00F66DD0">
        <w:rPr>
          <w:sz w:val="20"/>
          <w:szCs w:val="20"/>
        </w:rPr>
        <w:t>), MOI, maximal infected cell concentration (I</w:t>
      </w:r>
      <w:r w:rsidRPr="00F66DD0">
        <w:rPr>
          <w:sz w:val="20"/>
          <w:szCs w:val="20"/>
          <w:vertAlign w:val="subscript"/>
        </w:rPr>
        <w:t>X</w:t>
      </w:r>
      <w:r w:rsidRPr="00F66DD0">
        <w:rPr>
          <w:sz w:val="20"/>
          <w:szCs w:val="20"/>
        </w:rPr>
        <w:t>), and phage growth parameters determined from data in Fig</w:t>
      </w:r>
      <w:r w:rsidR="003A1130" w:rsidRPr="00F66DD0">
        <w:rPr>
          <w:sz w:val="20"/>
          <w:szCs w:val="20"/>
        </w:rPr>
        <w:t>ure 3</w:t>
      </w:r>
      <w:r w:rsidRPr="00D90853">
        <w:rPr>
          <w:sz w:val="20"/>
          <w:szCs w:val="20"/>
        </w:rPr>
        <w:t>.</w:t>
      </w:r>
      <w:r w:rsidR="00FE1A0E" w:rsidRPr="00FE1A0E">
        <w:t xml:space="preserve"> </w:t>
      </w:r>
      <w:r w:rsidR="00FE1A0E" w:rsidRPr="00FE1A0E">
        <w:rPr>
          <w:sz w:val="20"/>
          <w:szCs w:val="20"/>
        </w:rPr>
        <w:t>The values are mean</w:t>
      </w:r>
      <w:r w:rsidR="00FE1A0E">
        <w:rPr>
          <w:sz w:val="20"/>
          <w:szCs w:val="20"/>
        </w:rPr>
        <w:t>s</w:t>
      </w:r>
      <w:r w:rsidR="00FE1A0E" w:rsidRPr="00FE1A0E">
        <w:rPr>
          <w:sz w:val="20"/>
          <w:szCs w:val="20"/>
        </w:rPr>
        <w:t xml:space="preserve"> ± SD </w:t>
      </w:r>
      <w:r w:rsidR="00FE1A0E">
        <w:rPr>
          <w:sz w:val="20"/>
          <w:szCs w:val="20"/>
        </w:rPr>
        <w:t xml:space="preserve">of three biological replicates </w:t>
      </w:r>
      <w:r w:rsidR="00FE1A0E" w:rsidRPr="00FE1A0E">
        <w:rPr>
          <w:sz w:val="20"/>
          <w:szCs w:val="20"/>
        </w:rPr>
        <w:t>(n = 3). For each parameter, main effects and interactions were tested in two two-way ANOVAs: (</w:t>
      </w:r>
      <w:proofErr w:type="spellStart"/>
      <w:r w:rsidR="00FE1A0E" w:rsidRPr="00FE1A0E">
        <w:rPr>
          <w:sz w:val="20"/>
          <w:szCs w:val="20"/>
        </w:rPr>
        <w:t>i</w:t>
      </w:r>
      <w:proofErr w:type="spellEnd"/>
      <w:r w:rsidR="00FE1A0E" w:rsidRPr="00FE1A0E">
        <w:rPr>
          <w:sz w:val="20"/>
          <w:szCs w:val="20"/>
        </w:rPr>
        <w:t>) 3 h batch (D: 0.144/0.057/0.027 h</w:t>
      </w:r>
      <w:r w:rsidR="00FE1A0E" w:rsidRPr="00FE1A0E">
        <w:rPr>
          <w:sz w:val="20"/>
          <w:szCs w:val="20"/>
          <w:vertAlign w:val="superscript"/>
        </w:rPr>
        <w:t>-</w:t>
      </w:r>
      <w:r w:rsidR="00FE1A0E" w:rsidRPr="00FE1A0E">
        <w:rPr>
          <w:sz w:val="20"/>
          <w:szCs w:val="20"/>
        </w:rPr>
        <w:t>¹; medium: LB/SM) and (ii) D = 0.027 h⁻¹ (time: 3 h/24 h; medium: LB/SM). Post-hoc comparisons (Tukey/Bonferroni) were performed when necessary</w:t>
      </w:r>
      <w:r w:rsidR="00FE1A0E">
        <w:rPr>
          <w:sz w:val="20"/>
          <w:szCs w:val="20"/>
        </w:rPr>
        <w:t xml:space="preserve">. </w:t>
      </w:r>
      <w:r w:rsidR="00FE1A0E" w:rsidRPr="00A06331">
        <w:rPr>
          <w:rFonts w:cs="Times New Roman"/>
          <w:sz w:val="20"/>
          <w:szCs w:val="20"/>
        </w:rPr>
        <w:t>Detailed p-values and post-hoc comparisons can be found in the Results section.</w:t>
      </w:r>
    </w:p>
    <w:tbl>
      <w:tblPr>
        <w:tblStyle w:val="TableGrid1"/>
        <w:tblW w:w="10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1167"/>
        <w:gridCol w:w="1157"/>
        <w:gridCol w:w="867"/>
        <w:gridCol w:w="1157"/>
        <w:gridCol w:w="1157"/>
        <w:gridCol w:w="1157"/>
        <w:gridCol w:w="1448"/>
        <w:gridCol w:w="1012"/>
      </w:tblGrid>
      <w:tr w:rsidR="00AE1A58" w:rsidRPr="00F66DD0" w14:paraId="0B7F3993" w14:textId="77777777" w:rsidTr="00A87583">
        <w:trPr>
          <w:trHeight w:val="359"/>
        </w:trPr>
        <w:tc>
          <w:tcPr>
            <w:tcW w:w="999" w:type="dxa"/>
            <w:tcBorders>
              <w:top w:val="single" w:sz="4" w:space="0" w:color="auto"/>
              <w:left w:val="single" w:sz="4" w:space="0" w:color="auto"/>
              <w:bottom w:val="single" w:sz="4" w:space="0" w:color="auto"/>
              <w:right w:val="single" w:sz="4" w:space="0" w:color="auto"/>
            </w:tcBorders>
            <w:vAlign w:val="center"/>
          </w:tcPr>
          <w:p w14:paraId="34D65739"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D=µ </w:t>
            </w:r>
          </w:p>
          <w:p w14:paraId="1DDCE878"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(h</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1167" w:type="dxa"/>
            <w:tcBorders>
              <w:top w:val="single" w:sz="4" w:space="0" w:color="auto"/>
              <w:left w:val="single" w:sz="4" w:space="0" w:color="auto"/>
              <w:bottom w:val="single" w:sz="4" w:space="0" w:color="auto"/>
              <w:right w:val="single" w:sz="4" w:space="0" w:color="auto"/>
            </w:tcBorders>
            <w:vAlign w:val="center"/>
          </w:tcPr>
          <w:p w14:paraId="2C59AC3A" w14:textId="77777777" w:rsidR="00727BB6" w:rsidRPr="00F66DD0" w:rsidRDefault="00AE1A58" w:rsidP="00AE1A58">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X (10</w:t>
            </w:r>
            <w:r w:rsidRPr="00F66DD0">
              <w:rPr>
                <w:rFonts w:eastAsia="Calibri" w:cs="Times New Roman"/>
                <w:b/>
                <w:bCs/>
                <w:sz w:val="20"/>
                <w:szCs w:val="20"/>
                <w:vertAlign w:val="superscript"/>
                <w:lang w:val="en-GB"/>
              </w:rPr>
              <w:t>8</w:t>
            </w:r>
          </w:p>
          <w:p w14:paraId="3ECF175D" w14:textId="23692C9F"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CFU</w:t>
            </w:r>
            <w:r w:rsidR="00727BB6" w:rsidRPr="00F66DD0">
              <w:rPr>
                <w:rFonts w:eastAsia="Calibri" w:cs="Times New Roman"/>
                <w:b/>
                <w:bCs/>
                <w:sz w:val="20"/>
                <w:szCs w:val="20"/>
                <w:lang w:val="en-GB"/>
              </w:rPr>
              <w:t xml:space="preserve"> </w:t>
            </w:r>
            <w:r w:rsidRPr="00F66DD0">
              <w:rPr>
                <w:rFonts w:eastAsia="Calibri" w:cs="Times New Roman"/>
                <w:b/>
                <w:bCs/>
                <w:sz w:val="20"/>
                <w:szCs w:val="20"/>
                <w:lang w:val="en-GB"/>
              </w:rPr>
              <w:t>ml</w:t>
            </w:r>
            <w:r w:rsidR="00727BB6"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1157" w:type="dxa"/>
            <w:tcBorders>
              <w:top w:val="single" w:sz="4" w:space="0" w:color="auto"/>
              <w:left w:val="single" w:sz="4" w:space="0" w:color="auto"/>
              <w:bottom w:val="single" w:sz="4" w:space="0" w:color="auto"/>
              <w:right w:val="single" w:sz="4" w:space="0" w:color="auto"/>
            </w:tcBorders>
            <w:vAlign w:val="center"/>
          </w:tcPr>
          <w:p w14:paraId="3998D34A" w14:textId="77777777" w:rsidR="00727BB6" w:rsidRPr="00F66DD0" w:rsidRDefault="00AE1A58" w:rsidP="00AE1A58">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P</w:t>
            </w:r>
            <w:r w:rsidRPr="00F66DD0">
              <w:rPr>
                <w:rFonts w:eastAsia="Calibri" w:cs="Times New Roman"/>
                <w:b/>
                <w:bCs/>
                <w:sz w:val="20"/>
                <w:szCs w:val="20"/>
                <w:vertAlign w:val="subscript"/>
                <w:lang w:val="en-GB"/>
              </w:rPr>
              <w:t>0</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p>
          <w:p w14:paraId="29C02779" w14:textId="14E19719"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PFU</w:t>
            </w:r>
            <w:r w:rsidR="00727BB6" w:rsidRPr="00F66DD0">
              <w:rPr>
                <w:rFonts w:eastAsia="Calibri" w:cs="Times New Roman"/>
                <w:b/>
                <w:bCs/>
                <w:sz w:val="20"/>
                <w:szCs w:val="20"/>
                <w:lang w:val="en-GB"/>
              </w:rPr>
              <w:t xml:space="preserve"> </w:t>
            </w:r>
            <w:r w:rsidRPr="00F66DD0">
              <w:rPr>
                <w:rFonts w:eastAsia="Calibri" w:cs="Times New Roman"/>
                <w:b/>
                <w:bCs/>
                <w:sz w:val="20"/>
                <w:szCs w:val="20"/>
                <w:lang w:val="en-GB"/>
              </w:rPr>
              <w:t>ml</w:t>
            </w:r>
            <w:r w:rsidR="00727BB6"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867" w:type="dxa"/>
            <w:tcBorders>
              <w:top w:val="single" w:sz="4" w:space="0" w:color="auto"/>
              <w:left w:val="single" w:sz="4" w:space="0" w:color="auto"/>
              <w:bottom w:val="single" w:sz="4" w:space="0" w:color="auto"/>
              <w:right w:val="single" w:sz="4" w:space="0" w:color="auto"/>
            </w:tcBorders>
            <w:vAlign w:val="center"/>
          </w:tcPr>
          <w:p w14:paraId="4BB71AE2"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MOI (/)</w:t>
            </w:r>
          </w:p>
        </w:tc>
        <w:tc>
          <w:tcPr>
            <w:tcW w:w="1157" w:type="dxa"/>
            <w:tcBorders>
              <w:top w:val="single" w:sz="4" w:space="0" w:color="auto"/>
              <w:left w:val="single" w:sz="4" w:space="0" w:color="auto"/>
              <w:bottom w:val="single" w:sz="4" w:space="0" w:color="auto"/>
              <w:right w:val="single" w:sz="4" w:space="0" w:color="auto"/>
            </w:tcBorders>
            <w:vAlign w:val="center"/>
          </w:tcPr>
          <w:p w14:paraId="18360834" w14:textId="77777777" w:rsidR="00727BB6" w:rsidRPr="00F66DD0" w:rsidRDefault="00AE1A58" w:rsidP="00AE1A58">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I</w:t>
            </w:r>
            <w:r w:rsidRPr="00F66DD0">
              <w:rPr>
                <w:rFonts w:eastAsia="Calibri" w:cs="Times New Roman"/>
                <w:b/>
                <w:bCs/>
                <w:sz w:val="20"/>
                <w:szCs w:val="20"/>
                <w:vertAlign w:val="subscript"/>
                <w:lang w:val="en-GB"/>
              </w:rPr>
              <w:t>X</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p>
          <w:p w14:paraId="4A8F2658" w14:textId="2D6E4A90"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PFU</w:t>
            </w:r>
            <w:r w:rsidR="00727BB6" w:rsidRPr="00F66DD0">
              <w:rPr>
                <w:rFonts w:eastAsia="Calibri" w:cs="Times New Roman"/>
                <w:b/>
                <w:bCs/>
                <w:sz w:val="20"/>
                <w:szCs w:val="20"/>
                <w:lang w:val="en-GB"/>
              </w:rPr>
              <w:t xml:space="preserve"> </w:t>
            </w:r>
            <w:r w:rsidRPr="00F66DD0">
              <w:rPr>
                <w:rFonts w:eastAsia="Calibri" w:cs="Times New Roman"/>
                <w:b/>
                <w:bCs/>
                <w:sz w:val="20"/>
                <w:szCs w:val="20"/>
                <w:lang w:val="en-GB"/>
              </w:rPr>
              <w:t>ml</w:t>
            </w:r>
            <w:r w:rsidR="00727BB6"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1157" w:type="dxa"/>
            <w:tcBorders>
              <w:top w:val="single" w:sz="4" w:space="0" w:color="auto"/>
              <w:left w:val="single" w:sz="4" w:space="0" w:color="auto"/>
              <w:bottom w:val="single" w:sz="4" w:space="0" w:color="auto"/>
              <w:right w:val="single" w:sz="4" w:space="0" w:color="auto"/>
            </w:tcBorders>
            <w:vAlign w:val="center"/>
          </w:tcPr>
          <w:p w14:paraId="70BEDA6D" w14:textId="4F44BF23"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LP (</w:t>
            </w:r>
            <w:r w:rsidR="00EC443E" w:rsidRPr="00F66DD0">
              <w:rPr>
                <w:rFonts w:eastAsia="Calibri" w:cs="Times New Roman"/>
                <w:b/>
                <w:bCs/>
                <w:sz w:val="20"/>
                <w:szCs w:val="20"/>
                <w:lang w:val="en-GB"/>
              </w:rPr>
              <w:t>min</w:t>
            </w:r>
            <w:r w:rsidRPr="00F66DD0">
              <w:rPr>
                <w:rFonts w:eastAsia="Calibri" w:cs="Times New Roman"/>
                <w:b/>
                <w:bCs/>
                <w:sz w:val="20"/>
                <w:szCs w:val="20"/>
                <w:lang w:val="en-GB"/>
              </w:rPr>
              <w:t>)</w:t>
            </w:r>
          </w:p>
        </w:tc>
        <w:tc>
          <w:tcPr>
            <w:tcW w:w="1157" w:type="dxa"/>
            <w:tcBorders>
              <w:top w:val="single" w:sz="4" w:space="0" w:color="auto"/>
              <w:left w:val="single" w:sz="4" w:space="0" w:color="auto"/>
              <w:bottom w:val="single" w:sz="4" w:space="0" w:color="auto"/>
              <w:right w:val="single" w:sz="4" w:space="0" w:color="auto"/>
            </w:tcBorders>
            <w:vAlign w:val="center"/>
          </w:tcPr>
          <w:p w14:paraId="64CE8D58"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BS (/)</w:t>
            </w:r>
          </w:p>
        </w:tc>
        <w:tc>
          <w:tcPr>
            <w:tcW w:w="1448" w:type="dxa"/>
            <w:tcBorders>
              <w:top w:val="single" w:sz="4" w:space="0" w:color="auto"/>
              <w:left w:val="single" w:sz="4" w:space="0" w:color="auto"/>
              <w:bottom w:val="single" w:sz="4" w:space="0" w:color="auto"/>
              <w:right w:val="single" w:sz="4" w:space="0" w:color="auto"/>
            </w:tcBorders>
            <w:vAlign w:val="center"/>
          </w:tcPr>
          <w:p w14:paraId="63114BA6"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Ka </w:t>
            </w:r>
          </w:p>
          <w:p w14:paraId="77DF62FF" w14:textId="77777777" w:rsidR="00727BB6" w:rsidRPr="00F66DD0" w:rsidRDefault="00AE1A58" w:rsidP="00AE1A58">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(10</w:t>
            </w:r>
            <w:r w:rsidRPr="00F66DD0">
              <w:rPr>
                <w:rFonts w:eastAsia="Calibri" w:cs="Times New Roman"/>
                <w:b/>
                <w:bCs/>
                <w:sz w:val="20"/>
                <w:szCs w:val="20"/>
                <w:vertAlign w:val="superscript"/>
                <w:lang w:val="en-GB"/>
              </w:rPr>
              <w:t xml:space="preserve">-8 </w:t>
            </w:r>
          </w:p>
          <w:p w14:paraId="2990019D" w14:textId="5E627986" w:rsidR="00AE1A58" w:rsidRPr="00F66DD0" w:rsidRDefault="00727BB6"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m</w:t>
            </w:r>
            <w:r w:rsidR="00AE1A58" w:rsidRPr="00F66DD0">
              <w:rPr>
                <w:rFonts w:eastAsia="Calibri" w:cs="Times New Roman"/>
                <w:b/>
                <w:bCs/>
                <w:sz w:val="20"/>
                <w:szCs w:val="20"/>
                <w:lang w:val="en-GB"/>
              </w:rPr>
              <w:t>l</w:t>
            </w:r>
            <w:r w:rsidRPr="00F66DD0">
              <w:rPr>
                <w:rFonts w:eastAsia="Calibri" w:cs="Times New Roman"/>
                <w:b/>
                <w:bCs/>
                <w:sz w:val="20"/>
                <w:szCs w:val="20"/>
                <w:lang w:val="en-GB"/>
              </w:rPr>
              <w:t xml:space="preserve"> </w:t>
            </w:r>
            <w:r w:rsidR="00AE1A58" w:rsidRPr="00F66DD0">
              <w:rPr>
                <w:rFonts w:eastAsia="Calibri" w:cs="Times New Roman"/>
                <w:b/>
                <w:bCs/>
                <w:sz w:val="20"/>
                <w:szCs w:val="20"/>
                <w:lang w:val="en-GB"/>
              </w:rPr>
              <w:t>CFU</w:t>
            </w:r>
            <w:r w:rsidRPr="00F66DD0">
              <w:rPr>
                <w:rFonts w:eastAsia="Calibri" w:cs="Times New Roman"/>
                <w:b/>
                <w:bCs/>
                <w:sz w:val="20"/>
                <w:szCs w:val="20"/>
                <w:vertAlign w:val="superscript"/>
                <w:lang w:val="en-GB"/>
              </w:rPr>
              <w:t>-1</w:t>
            </w:r>
            <w:r w:rsidR="00AE1A58" w:rsidRPr="00F66DD0">
              <w:rPr>
                <w:rFonts w:eastAsia="Calibri" w:cs="Times New Roman"/>
                <w:b/>
                <w:bCs/>
                <w:sz w:val="20"/>
                <w:szCs w:val="20"/>
                <w:lang w:val="en-GB"/>
              </w:rPr>
              <w:t xml:space="preserve"> h</w:t>
            </w:r>
            <w:r w:rsidRPr="00F66DD0">
              <w:rPr>
                <w:rFonts w:eastAsia="Calibri" w:cs="Times New Roman"/>
                <w:b/>
                <w:bCs/>
                <w:sz w:val="20"/>
                <w:szCs w:val="20"/>
                <w:vertAlign w:val="superscript"/>
                <w:lang w:val="en-GB"/>
              </w:rPr>
              <w:t>-1</w:t>
            </w:r>
            <w:r w:rsidR="00AE1A58" w:rsidRPr="00F66DD0">
              <w:rPr>
                <w:rFonts w:eastAsia="Calibri" w:cs="Times New Roman"/>
                <w:b/>
                <w:bCs/>
                <w:sz w:val="20"/>
                <w:szCs w:val="20"/>
                <w:lang w:val="en-GB"/>
              </w:rPr>
              <w:t>)</w:t>
            </w:r>
          </w:p>
        </w:tc>
        <w:tc>
          <w:tcPr>
            <w:tcW w:w="1012" w:type="dxa"/>
            <w:tcBorders>
              <w:top w:val="single" w:sz="4" w:space="0" w:color="auto"/>
              <w:left w:val="single" w:sz="4" w:space="0" w:color="auto"/>
              <w:bottom w:val="single" w:sz="4" w:space="0" w:color="auto"/>
              <w:right w:val="single" w:sz="4" w:space="0" w:color="auto"/>
            </w:tcBorders>
            <w:vAlign w:val="center"/>
          </w:tcPr>
          <w:p w14:paraId="149AA381" w14:textId="77777777"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F (h</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r>
      <w:tr w:rsidR="00AE1A58" w:rsidRPr="00F66DD0" w14:paraId="65CAEC6A" w14:textId="77777777" w:rsidTr="00A87583">
        <w:trPr>
          <w:trHeight w:val="359"/>
        </w:trPr>
        <w:tc>
          <w:tcPr>
            <w:tcW w:w="999" w:type="dxa"/>
            <w:tcBorders>
              <w:top w:val="single" w:sz="4" w:space="0" w:color="auto"/>
              <w:left w:val="single" w:sz="4" w:space="0" w:color="auto"/>
              <w:bottom w:val="single" w:sz="4" w:space="0" w:color="auto"/>
            </w:tcBorders>
            <w:vAlign w:val="center"/>
          </w:tcPr>
          <w:p w14:paraId="2AD0683D"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0.144 + 3h LB</w:t>
            </w:r>
          </w:p>
        </w:tc>
        <w:tc>
          <w:tcPr>
            <w:tcW w:w="1167" w:type="dxa"/>
            <w:tcBorders>
              <w:top w:val="single" w:sz="4" w:space="0" w:color="auto"/>
              <w:bottom w:val="single" w:sz="4" w:space="0" w:color="auto"/>
            </w:tcBorders>
            <w:vAlign w:val="center"/>
          </w:tcPr>
          <w:p w14:paraId="183BA99B" w14:textId="6712641E"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5.5</w:t>
            </w:r>
            <w:r w:rsidR="00AE1A58" w:rsidRPr="00F66DD0">
              <w:rPr>
                <w:rFonts w:eastAsia="Calibri" w:cs="Times New Roman"/>
                <w:sz w:val="20"/>
                <w:szCs w:val="20"/>
                <w:lang w:val="en-GB"/>
              </w:rPr>
              <w:t>0</w:t>
            </w:r>
            <w:r w:rsidR="003148C5" w:rsidRPr="00F66DD0">
              <w:rPr>
                <w:rFonts w:eastAsia="Calibri" w:cs="Times New Roman"/>
                <w:sz w:val="20"/>
                <w:szCs w:val="20"/>
                <w:lang w:val="en-GB"/>
              </w:rPr>
              <w:t xml:space="preserve"> ± 0.39</w:t>
            </w:r>
          </w:p>
        </w:tc>
        <w:tc>
          <w:tcPr>
            <w:tcW w:w="1157" w:type="dxa"/>
            <w:tcBorders>
              <w:top w:val="single" w:sz="4" w:space="0" w:color="auto"/>
              <w:bottom w:val="single" w:sz="4" w:space="0" w:color="auto"/>
            </w:tcBorders>
            <w:vAlign w:val="center"/>
          </w:tcPr>
          <w:p w14:paraId="43E650B0" w14:textId="5C091211"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3.35</w:t>
            </w:r>
            <w:r w:rsidR="003148C5" w:rsidRPr="00F66DD0">
              <w:rPr>
                <w:rFonts w:eastAsia="Calibri" w:cs="Times New Roman"/>
                <w:sz w:val="20"/>
                <w:szCs w:val="20"/>
                <w:lang w:val="en-GB"/>
              </w:rPr>
              <w:t xml:space="preserve"> ± 0.17</w:t>
            </w:r>
          </w:p>
        </w:tc>
        <w:tc>
          <w:tcPr>
            <w:tcW w:w="867" w:type="dxa"/>
            <w:tcBorders>
              <w:top w:val="single" w:sz="4" w:space="0" w:color="auto"/>
              <w:bottom w:val="single" w:sz="4" w:space="0" w:color="auto"/>
            </w:tcBorders>
            <w:vAlign w:val="center"/>
          </w:tcPr>
          <w:p w14:paraId="75B23E4F"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157" w:type="dxa"/>
            <w:tcBorders>
              <w:top w:val="single" w:sz="4" w:space="0" w:color="auto"/>
              <w:bottom w:val="single" w:sz="4" w:space="0" w:color="auto"/>
            </w:tcBorders>
            <w:vAlign w:val="center"/>
          </w:tcPr>
          <w:p w14:paraId="520D5CC0" w14:textId="212B65EF"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3.</w:t>
            </w:r>
            <w:r w:rsidR="00E8033F" w:rsidRPr="00F66DD0">
              <w:rPr>
                <w:rFonts w:eastAsia="Calibri" w:cs="Times New Roman"/>
                <w:sz w:val="20"/>
                <w:szCs w:val="20"/>
                <w:lang w:val="en-GB"/>
              </w:rPr>
              <w:t>10</w:t>
            </w:r>
            <w:r w:rsidR="003148C5" w:rsidRPr="00F66DD0">
              <w:rPr>
                <w:rFonts w:eastAsia="Calibri" w:cs="Times New Roman"/>
                <w:sz w:val="20"/>
                <w:szCs w:val="20"/>
                <w:lang w:val="en-GB"/>
              </w:rPr>
              <w:t xml:space="preserve"> ± 0</w:t>
            </w:r>
            <w:r w:rsidR="006B49A0" w:rsidRPr="00F66DD0">
              <w:rPr>
                <w:rFonts w:eastAsia="Calibri" w:cs="Times New Roman"/>
                <w:sz w:val="20"/>
                <w:szCs w:val="20"/>
                <w:lang w:val="en-GB"/>
              </w:rPr>
              <w:t>.</w:t>
            </w:r>
            <w:r w:rsidR="00BD7E50">
              <w:rPr>
                <w:rFonts w:eastAsia="Calibri" w:cs="Times New Roman"/>
                <w:sz w:val="20"/>
                <w:szCs w:val="20"/>
                <w:lang w:val="en-GB"/>
              </w:rPr>
              <w:t>49</w:t>
            </w:r>
          </w:p>
        </w:tc>
        <w:tc>
          <w:tcPr>
            <w:tcW w:w="1157" w:type="dxa"/>
            <w:tcBorders>
              <w:top w:val="single" w:sz="4" w:space="0" w:color="auto"/>
              <w:bottom w:val="single" w:sz="4" w:space="0" w:color="auto"/>
            </w:tcBorders>
            <w:vAlign w:val="center"/>
          </w:tcPr>
          <w:p w14:paraId="65AC1BEC" w14:textId="461FB8D6"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40</w:t>
            </w:r>
            <w:r w:rsidR="006B49A0" w:rsidRPr="00F66DD0">
              <w:rPr>
                <w:rFonts w:eastAsia="Calibri" w:cs="Times New Roman"/>
                <w:sz w:val="20"/>
                <w:szCs w:val="20"/>
                <w:lang w:val="en-GB"/>
              </w:rPr>
              <w:t xml:space="preserve"> ± 2</w:t>
            </w:r>
          </w:p>
        </w:tc>
        <w:tc>
          <w:tcPr>
            <w:tcW w:w="1157" w:type="dxa"/>
            <w:tcBorders>
              <w:top w:val="single" w:sz="4" w:space="0" w:color="auto"/>
              <w:bottom w:val="single" w:sz="4" w:space="0" w:color="auto"/>
            </w:tcBorders>
            <w:vAlign w:val="center"/>
          </w:tcPr>
          <w:p w14:paraId="16B81556" w14:textId="713B9566"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33.48</w:t>
            </w:r>
            <w:r w:rsidR="006B49A0" w:rsidRPr="00F66DD0">
              <w:rPr>
                <w:rFonts w:eastAsia="Calibri" w:cs="Times New Roman"/>
                <w:sz w:val="20"/>
                <w:szCs w:val="20"/>
                <w:lang w:val="en-GB"/>
              </w:rPr>
              <w:t xml:space="preserve"> ± </w:t>
            </w:r>
            <w:r w:rsidR="0039270D">
              <w:rPr>
                <w:rFonts w:eastAsia="Calibri" w:cs="Times New Roman"/>
                <w:sz w:val="20"/>
                <w:szCs w:val="20"/>
                <w:lang w:val="en-GB"/>
              </w:rPr>
              <w:t>2.87</w:t>
            </w:r>
          </w:p>
        </w:tc>
        <w:tc>
          <w:tcPr>
            <w:tcW w:w="1448" w:type="dxa"/>
            <w:tcBorders>
              <w:top w:val="single" w:sz="4" w:space="0" w:color="auto"/>
              <w:bottom w:val="single" w:sz="4" w:space="0" w:color="auto"/>
            </w:tcBorders>
            <w:vAlign w:val="center"/>
          </w:tcPr>
          <w:p w14:paraId="2F174D99" w14:textId="20F39186"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4.</w:t>
            </w:r>
            <w:r w:rsidR="00EC443E" w:rsidRPr="00F66DD0">
              <w:rPr>
                <w:rFonts w:eastAsia="Calibri" w:cs="Times New Roman"/>
                <w:sz w:val="20"/>
                <w:szCs w:val="20"/>
                <w:lang w:val="en-GB"/>
              </w:rPr>
              <w:t>70</w:t>
            </w:r>
            <w:r w:rsidR="006B49A0" w:rsidRPr="00F66DD0">
              <w:rPr>
                <w:rFonts w:eastAsia="Calibri" w:cs="Times New Roman"/>
                <w:sz w:val="20"/>
                <w:szCs w:val="20"/>
                <w:lang w:val="en-GB"/>
              </w:rPr>
              <w:t xml:space="preserve"> ± 0.5</w:t>
            </w:r>
            <w:r w:rsidR="007A2C52">
              <w:rPr>
                <w:rFonts w:eastAsia="Calibri" w:cs="Times New Roman"/>
                <w:sz w:val="20"/>
                <w:szCs w:val="20"/>
                <w:lang w:val="en-GB"/>
              </w:rPr>
              <w:t>7</w:t>
            </w:r>
          </w:p>
        </w:tc>
        <w:tc>
          <w:tcPr>
            <w:tcW w:w="1012" w:type="dxa"/>
            <w:tcBorders>
              <w:top w:val="single" w:sz="4" w:space="0" w:color="auto"/>
              <w:bottom w:val="single" w:sz="4" w:space="0" w:color="auto"/>
              <w:right w:val="single" w:sz="4" w:space="0" w:color="auto"/>
            </w:tcBorders>
            <w:vAlign w:val="center"/>
          </w:tcPr>
          <w:p w14:paraId="2C08B9C1" w14:textId="225A6B05"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5.</w:t>
            </w:r>
            <w:r w:rsidR="00EC443E" w:rsidRPr="00F66DD0">
              <w:rPr>
                <w:rFonts w:eastAsia="Calibri" w:cs="Times New Roman"/>
                <w:sz w:val="20"/>
                <w:szCs w:val="20"/>
                <w:lang w:val="en-GB"/>
              </w:rPr>
              <w:t>02</w:t>
            </w:r>
            <w:r w:rsidR="006B49A0" w:rsidRPr="00F66DD0">
              <w:rPr>
                <w:rFonts w:eastAsia="Calibri" w:cs="Times New Roman"/>
                <w:sz w:val="20"/>
                <w:szCs w:val="20"/>
                <w:lang w:val="en-GB"/>
              </w:rPr>
              <w:t xml:space="preserve"> ± 0.2</w:t>
            </w:r>
          </w:p>
        </w:tc>
      </w:tr>
      <w:tr w:rsidR="00AE1A58" w:rsidRPr="00F66DD0" w14:paraId="011078B9" w14:textId="77777777" w:rsidTr="00A87583">
        <w:trPr>
          <w:trHeight w:val="359"/>
        </w:trPr>
        <w:tc>
          <w:tcPr>
            <w:tcW w:w="999" w:type="dxa"/>
            <w:tcBorders>
              <w:top w:val="single" w:sz="4" w:space="0" w:color="auto"/>
              <w:left w:val="single" w:sz="4" w:space="0" w:color="auto"/>
              <w:bottom w:val="single" w:sz="4" w:space="0" w:color="auto"/>
            </w:tcBorders>
            <w:vAlign w:val="center"/>
          </w:tcPr>
          <w:p w14:paraId="34DC8D67"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0.144 + 3h SM</w:t>
            </w:r>
          </w:p>
        </w:tc>
        <w:tc>
          <w:tcPr>
            <w:tcW w:w="1167" w:type="dxa"/>
            <w:tcBorders>
              <w:top w:val="single" w:sz="4" w:space="0" w:color="auto"/>
              <w:bottom w:val="single" w:sz="4" w:space="0" w:color="auto"/>
            </w:tcBorders>
            <w:vAlign w:val="center"/>
          </w:tcPr>
          <w:p w14:paraId="0C297BAB" w14:textId="4A47CE6D"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3.00</w:t>
            </w:r>
            <w:r w:rsidR="003148C5" w:rsidRPr="00F66DD0">
              <w:rPr>
                <w:rFonts w:eastAsia="Calibri" w:cs="Times New Roman"/>
                <w:sz w:val="20"/>
                <w:szCs w:val="20"/>
                <w:lang w:val="en-GB"/>
              </w:rPr>
              <w:t xml:space="preserve"> ± 0.12</w:t>
            </w:r>
          </w:p>
        </w:tc>
        <w:tc>
          <w:tcPr>
            <w:tcW w:w="1157" w:type="dxa"/>
            <w:tcBorders>
              <w:top w:val="single" w:sz="4" w:space="0" w:color="auto"/>
              <w:bottom w:val="single" w:sz="4" w:space="0" w:color="auto"/>
            </w:tcBorders>
            <w:vAlign w:val="center"/>
          </w:tcPr>
          <w:p w14:paraId="2E79FB08" w14:textId="7C06BB43"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2.88</w:t>
            </w:r>
            <w:r w:rsidR="003148C5" w:rsidRPr="00F66DD0">
              <w:rPr>
                <w:rFonts w:eastAsia="Calibri" w:cs="Times New Roman"/>
                <w:sz w:val="20"/>
                <w:szCs w:val="20"/>
                <w:lang w:val="en-GB"/>
              </w:rPr>
              <w:t xml:space="preserve"> ± 0.14</w:t>
            </w:r>
          </w:p>
        </w:tc>
        <w:tc>
          <w:tcPr>
            <w:tcW w:w="867" w:type="dxa"/>
            <w:tcBorders>
              <w:top w:val="single" w:sz="4" w:space="0" w:color="auto"/>
              <w:bottom w:val="single" w:sz="4" w:space="0" w:color="auto"/>
            </w:tcBorders>
            <w:vAlign w:val="center"/>
          </w:tcPr>
          <w:p w14:paraId="18A02652"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157" w:type="dxa"/>
            <w:tcBorders>
              <w:top w:val="single" w:sz="4" w:space="0" w:color="auto"/>
              <w:bottom w:val="single" w:sz="4" w:space="0" w:color="auto"/>
            </w:tcBorders>
            <w:vAlign w:val="center"/>
          </w:tcPr>
          <w:p w14:paraId="52EAC50C" w14:textId="36442551"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1.01</w:t>
            </w:r>
            <w:r w:rsidR="006B49A0" w:rsidRPr="00F66DD0">
              <w:rPr>
                <w:rFonts w:eastAsia="Calibri" w:cs="Times New Roman"/>
                <w:sz w:val="20"/>
                <w:szCs w:val="20"/>
                <w:lang w:val="en-GB"/>
              </w:rPr>
              <w:t xml:space="preserve"> ± 0.06</w:t>
            </w:r>
          </w:p>
        </w:tc>
        <w:tc>
          <w:tcPr>
            <w:tcW w:w="1157" w:type="dxa"/>
            <w:tcBorders>
              <w:top w:val="single" w:sz="4" w:space="0" w:color="auto"/>
              <w:bottom w:val="single" w:sz="4" w:space="0" w:color="auto"/>
            </w:tcBorders>
            <w:vAlign w:val="center"/>
          </w:tcPr>
          <w:p w14:paraId="13962C1D" w14:textId="2C08D405"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42.5</w:t>
            </w:r>
            <w:r w:rsidR="006B49A0" w:rsidRPr="00F66DD0">
              <w:rPr>
                <w:rFonts w:eastAsia="Calibri" w:cs="Times New Roman"/>
                <w:sz w:val="20"/>
                <w:szCs w:val="20"/>
                <w:lang w:val="en-GB"/>
              </w:rPr>
              <w:t xml:space="preserve"> ± 2.9</w:t>
            </w:r>
          </w:p>
        </w:tc>
        <w:tc>
          <w:tcPr>
            <w:tcW w:w="1157" w:type="dxa"/>
            <w:tcBorders>
              <w:top w:val="single" w:sz="4" w:space="0" w:color="auto"/>
              <w:bottom w:val="single" w:sz="4" w:space="0" w:color="auto"/>
            </w:tcBorders>
            <w:vAlign w:val="center"/>
          </w:tcPr>
          <w:p w14:paraId="03270458" w14:textId="60D76EF0" w:rsidR="00AE1A58" w:rsidRPr="00F66DD0" w:rsidRDefault="00EC443E" w:rsidP="00AE1A58">
            <w:pPr>
              <w:spacing w:before="0" w:after="0"/>
              <w:jc w:val="center"/>
              <w:rPr>
                <w:rFonts w:eastAsia="Calibri" w:cs="Times New Roman"/>
                <w:sz w:val="20"/>
                <w:szCs w:val="20"/>
                <w:lang w:val="en-GB"/>
              </w:rPr>
            </w:pPr>
            <w:r w:rsidRPr="00F66DD0">
              <w:rPr>
                <w:rFonts w:eastAsia="Calibri" w:cs="Times New Roman"/>
                <w:sz w:val="20"/>
                <w:szCs w:val="20"/>
                <w:lang w:val="en-GB"/>
              </w:rPr>
              <w:t>14.37</w:t>
            </w:r>
            <w:r w:rsidR="006B49A0" w:rsidRPr="00F66DD0">
              <w:rPr>
                <w:rFonts w:eastAsia="Calibri" w:cs="Times New Roman"/>
                <w:sz w:val="20"/>
                <w:szCs w:val="20"/>
                <w:lang w:val="en-GB"/>
              </w:rPr>
              <w:t xml:space="preserve"> ± 1.1</w:t>
            </w:r>
            <w:r w:rsidR="0039270D">
              <w:rPr>
                <w:rFonts w:eastAsia="Calibri" w:cs="Times New Roman"/>
                <w:sz w:val="20"/>
                <w:szCs w:val="20"/>
                <w:lang w:val="en-GB"/>
              </w:rPr>
              <w:t>2</w:t>
            </w:r>
          </w:p>
        </w:tc>
        <w:tc>
          <w:tcPr>
            <w:tcW w:w="1448" w:type="dxa"/>
            <w:tcBorders>
              <w:top w:val="single" w:sz="4" w:space="0" w:color="auto"/>
              <w:bottom w:val="single" w:sz="4" w:space="0" w:color="auto"/>
            </w:tcBorders>
            <w:vAlign w:val="center"/>
          </w:tcPr>
          <w:p w14:paraId="0ADE531A" w14:textId="70B18D6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2.63</w:t>
            </w:r>
            <w:r w:rsidR="006B49A0" w:rsidRPr="00F66DD0">
              <w:rPr>
                <w:rFonts w:eastAsia="Calibri" w:cs="Times New Roman"/>
                <w:sz w:val="20"/>
                <w:szCs w:val="20"/>
                <w:lang w:val="en-GB"/>
              </w:rPr>
              <w:t xml:space="preserve"> ± 0.42</w:t>
            </w:r>
          </w:p>
        </w:tc>
        <w:tc>
          <w:tcPr>
            <w:tcW w:w="1012" w:type="dxa"/>
            <w:tcBorders>
              <w:top w:val="single" w:sz="4" w:space="0" w:color="auto"/>
              <w:bottom w:val="single" w:sz="4" w:space="0" w:color="auto"/>
              <w:right w:val="single" w:sz="4" w:space="0" w:color="auto"/>
            </w:tcBorders>
            <w:vAlign w:val="center"/>
          </w:tcPr>
          <w:p w14:paraId="0E26C998" w14:textId="6D59F40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3.2</w:t>
            </w:r>
            <w:r w:rsidR="00EC443E" w:rsidRPr="00F66DD0">
              <w:rPr>
                <w:rFonts w:eastAsia="Calibri" w:cs="Times New Roman"/>
                <w:sz w:val="20"/>
                <w:szCs w:val="20"/>
                <w:lang w:val="en-GB"/>
              </w:rPr>
              <w:t>6</w:t>
            </w:r>
            <w:r w:rsidR="006B49A0" w:rsidRPr="00F66DD0">
              <w:rPr>
                <w:rFonts w:eastAsia="Calibri" w:cs="Times New Roman"/>
                <w:sz w:val="20"/>
                <w:szCs w:val="20"/>
                <w:lang w:val="en-GB"/>
              </w:rPr>
              <w:t xml:space="preserve"> ± 0.55</w:t>
            </w:r>
          </w:p>
        </w:tc>
      </w:tr>
      <w:tr w:rsidR="00AE1A58" w:rsidRPr="00F66DD0" w14:paraId="57885980" w14:textId="77777777" w:rsidTr="00A87583">
        <w:trPr>
          <w:trHeight w:val="359"/>
        </w:trPr>
        <w:tc>
          <w:tcPr>
            <w:tcW w:w="999" w:type="dxa"/>
            <w:tcBorders>
              <w:top w:val="single" w:sz="4" w:space="0" w:color="auto"/>
              <w:left w:val="single" w:sz="4" w:space="0" w:color="auto"/>
              <w:bottom w:val="single" w:sz="4" w:space="0" w:color="auto"/>
            </w:tcBorders>
            <w:vAlign w:val="center"/>
          </w:tcPr>
          <w:p w14:paraId="6FF3F163" w14:textId="01246B5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 xml:space="preserve">0.057+ </w:t>
            </w:r>
            <w:r w:rsidR="00174FB2" w:rsidRPr="00F66DD0">
              <w:rPr>
                <w:rFonts w:eastAsia="Calibri" w:cs="Times New Roman"/>
                <w:sz w:val="20"/>
                <w:szCs w:val="20"/>
                <w:lang w:val="en-GB"/>
              </w:rPr>
              <w:t>3</w:t>
            </w:r>
            <w:r w:rsidRPr="00F66DD0">
              <w:rPr>
                <w:rFonts w:eastAsia="Calibri" w:cs="Times New Roman"/>
                <w:sz w:val="20"/>
                <w:szCs w:val="20"/>
                <w:lang w:val="en-GB"/>
              </w:rPr>
              <w:t>h LB</w:t>
            </w:r>
          </w:p>
        </w:tc>
        <w:tc>
          <w:tcPr>
            <w:tcW w:w="1167" w:type="dxa"/>
            <w:tcBorders>
              <w:top w:val="single" w:sz="4" w:space="0" w:color="auto"/>
              <w:bottom w:val="single" w:sz="4" w:space="0" w:color="auto"/>
            </w:tcBorders>
            <w:vAlign w:val="center"/>
          </w:tcPr>
          <w:p w14:paraId="7C80508C" w14:textId="73B95C56" w:rsidR="00953B5B" w:rsidRPr="00F66DD0" w:rsidRDefault="00AE1A58" w:rsidP="00953B5B">
            <w:pPr>
              <w:spacing w:before="0" w:after="0"/>
              <w:jc w:val="center"/>
              <w:rPr>
                <w:rFonts w:eastAsia="Calibri" w:cs="Times New Roman"/>
                <w:sz w:val="20"/>
                <w:szCs w:val="20"/>
                <w:lang w:val="en-GB"/>
              </w:rPr>
            </w:pPr>
            <w:r w:rsidRPr="00F66DD0">
              <w:rPr>
                <w:rFonts w:eastAsia="Calibri" w:cs="Times New Roman"/>
                <w:sz w:val="20"/>
                <w:szCs w:val="20"/>
                <w:lang w:val="en-GB"/>
              </w:rPr>
              <w:t>3.63</w:t>
            </w:r>
            <w:r w:rsidR="00953B5B" w:rsidRPr="00F66DD0">
              <w:rPr>
                <w:rFonts w:eastAsia="Calibri" w:cs="Times New Roman"/>
                <w:sz w:val="20"/>
                <w:szCs w:val="20"/>
                <w:lang w:val="en-GB"/>
              </w:rPr>
              <w:t xml:space="preserve"> ±</w:t>
            </w:r>
            <w:r w:rsidR="003148C5" w:rsidRPr="00F66DD0">
              <w:rPr>
                <w:rFonts w:eastAsia="Calibri" w:cs="Times New Roman"/>
                <w:sz w:val="20"/>
                <w:szCs w:val="20"/>
                <w:lang w:val="en-GB"/>
              </w:rPr>
              <w:t xml:space="preserve"> </w:t>
            </w:r>
            <w:r w:rsidR="00953B5B" w:rsidRPr="00F66DD0">
              <w:rPr>
                <w:rFonts w:eastAsia="Calibri" w:cs="Times New Roman"/>
                <w:sz w:val="20"/>
                <w:szCs w:val="20"/>
                <w:lang w:val="en-GB"/>
              </w:rPr>
              <w:t>0.44</w:t>
            </w:r>
          </w:p>
        </w:tc>
        <w:tc>
          <w:tcPr>
            <w:tcW w:w="1157" w:type="dxa"/>
            <w:tcBorders>
              <w:top w:val="single" w:sz="4" w:space="0" w:color="auto"/>
              <w:bottom w:val="single" w:sz="4" w:space="0" w:color="auto"/>
            </w:tcBorders>
            <w:vAlign w:val="center"/>
          </w:tcPr>
          <w:p w14:paraId="619EF5EE" w14:textId="696E053F" w:rsidR="00AE1A58" w:rsidRPr="00F66DD0" w:rsidRDefault="00201996" w:rsidP="00AE1A58">
            <w:pPr>
              <w:spacing w:before="0" w:after="0"/>
              <w:jc w:val="center"/>
              <w:rPr>
                <w:rFonts w:eastAsia="Calibri" w:cs="Times New Roman"/>
                <w:sz w:val="20"/>
                <w:szCs w:val="20"/>
                <w:lang w:val="en-GB"/>
              </w:rPr>
            </w:pPr>
            <w:r w:rsidRPr="00F66DD0">
              <w:rPr>
                <w:rFonts w:eastAsia="Calibri" w:cs="Times New Roman"/>
                <w:sz w:val="20"/>
                <w:szCs w:val="20"/>
                <w:lang w:val="en-GB"/>
              </w:rPr>
              <w:t>4.38</w:t>
            </w:r>
            <w:r w:rsidR="00953B5B" w:rsidRPr="00F66DD0">
              <w:rPr>
                <w:rFonts w:eastAsia="Calibri" w:cs="Times New Roman"/>
                <w:sz w:val="20"/>
                <w:szCs w:val="20"/>
                <w:lang w:val="en-GB"/>
              </w:rPr>
              <w:t xml:space="preserve"> ±</w:t>
            </w:r>
            <w:r w:rsidR="003148C5" w:rsidRPr="00F66DD0">
              <w:rPr>
                <w:rFonts w:eastAsia="Calibri" w:cs="Times New Roman"/>
                <w:sz w:val="20"/>
                <w:szCs w:val="20"/>
                <w:lang w:val="en-GB"/>
              </w:rPr>
              <w:t xml:space="preserve"> </w:t>
            </w:r>
            <w:r w:rsidR="00953B5B" w:rsidRPr="00F66DD0">
              <w:rPr>
                <w:rFonts w:eastAsia="Calibri" w:cs="Times New Roman"/>
                <w:sz w:val="20"/>
                <w:szCs w:val="20"/>
                <w:lang w:val="en-GB"/>
              </w:rPr>
              <w:t>0.31</w:t>
            </w:r>
          </w:p>
        </w:tc>
        <w:tc>
          <w:tcPr>
            <w:tcW w:w="867" w:type="dxa"/>
            <w:tcBorders>
              <w:top w:val="single" w:sz="4" w:space="0" w:color="auto"/>
              <w:bottom w:val="single" w:sz="4" w:space="0" w:color="auto"/>
            </w:tcBorders>
            <w:vAlign w:val="center"/>
          </w:tcPr>
          <w:p w14:paraId="2A4D9B08" w14:textId="165CAE03"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w:t>
            </w:r>
            <w:r w:rsidR="00201996" w:rsidRPr="00F66DD0">
              <w:rPr>
                <w:rFonts w:eastAsia="Calibri" w:cs="Times New Roman"/>
                <w:sz w:val="20"/>
                <w:szCs w:val="20"/>
                <w:lang w:val="en-GB"/>
              </w:rPr>
              <w:t>1</w:t>
            </w:r>
          </w:p>
        </w:tc>
        <w:tc>
          <w:tcPr>
            <w:tcW w:w="1157" w:type="dxa"/>
            <w:tcBorders>
              <w:top w:val="single" w:sz="4" w:space="0" w:color="auto"/>
              <w:bottom w:val="single" w:sz="4" w:space="0" w:color="auto"/>
            </w:tcBorders>
            <w:vAlign w:val="center"/>
          </w:tcPr>
          <w:p w14:paraId="7E414723" w14:textId="05FE0749" w:rsidR="00AE1A58" w:rsidRPr="00F66DD0" w:rsidRDefault="00201996" w:rsidP="00AE1A58">
            <w:pPr>
              <w:spacing w:before="0" w:after="0"/>
              <w:jc w:val="center"/>
              <w:rPr>
                <w:rFonts w:eastAsia="Calibri" w:cs="Times New Roman"/>
                <w:sz w:val="20"/>
                <w:szCs w:val="20"/>
                <w:lang w:val="en-GB"/>
              </w:rPr>
            </w:pPr>
            <w:r w:rsidRPr="00F66DD0">
              <w:rPr>
                <w:rFonts w:eastAsia="Calibri" w:cs="Times New Roman"/>
                <w:sz w:val="20"/>
                <w:szCs w:val="20"/>
                <w:lang w:val="en-GB"/>
              </w:rPr>
              <w:t>2.92</w:t>
            </w:r>
            <w:r w:rsidR="00953B5B" w:rsidRPr="00F66DD0">
              <w:rPr>
                <w:rFonts w:eastAsia="Calibri" w:cs="Times New Roman"/>
                <w:sz w:val="20"/>
                <w:szCs w:val="20"/>
                <w:lang w:val="en-GB"/>
              </w:rPr>
              <w:t xml:space="preserve"> ±0.2</w:t>
            </w:r>
            <w:r w:rsidR="0027399A">
              <w:rPr>
                <w:rFonts w:eastAsia="Calibri" w:cs="Times New Roman"/>
                <w:sz w:val="20"/>
                <w:szCs w:val="20"/>
                <w:lang w:val="en-GB"/>
              </w:rPr>
              <w:t>4</w:t>
            </w:r>
          </w:p>
        </w:tc>
        <w:tc>
          <w:tcPr>
            <w:tcW w:w="1157" w:type="dxa"/>
            <w:tcBorders>
              <w:top w:val="single" w:sz="4" w:space="0" w:color="auto"/>
              <w:bottom w:val="single" w:sz="4" w:space="0" w:color="auto"/>
            </w:tcBorders>
            <w:vAlign w:val="center"/>
          </w:tcPr>
          <w:p w14:paraId="295303A0" w14:textId="4DCD46D0" w:rsidR="00AE1A58" w:rsidRPr="00F66DD0" w:rsidRDefault="00201996" w:rsidP="00AE1A58">
            <w:pPr>
              <w:spacing w:before="0" w:after="0"/>
              <w:jc w:val="center"/>
              <w:rPr>
                <w:rFonts w:eastAsia="Calibri" w:cs="Times New Roman"/>
                <w:sz w:val="20"/>
                <w:szCs w:val="20"/>
                <w:lang w:val="en-GB"/>
              </w:rPr>
            </w:pPr>
            <w:r w:rsidRPr="00F66DD0">
              <w:rPr>
                <w:rFonts w:eastAsia="Calibri" w:cs="Times New Roman"/>
                <w:sz w:val="20"/>
                <w:szCs w:val="20"/>
                <w:lang w:val="en-GB"/>
              </w:rPr>
              <w:t>45</w:t>
            </w:r>
            <w:r w:rsidR="003148C5" w:rsidRPr="00F66DD0">
              <w:rPr>
                <w:rFonts w:eastAsia="Calibri" w:cs="Times New Roman"/>
                <w:sz w:val="20"/>
                <w:szCs w:val="20"/>
                <w:lang w:val="en-GB"/>
              </w:rPr>
              <w:t xml:space="preserve"> ±1.97</w:t>
            </w:r>
          </w:p>
        </w:tc>
        <w:tc>
          <w:tcPr>
            <w:tcW w:w="1157" w:type="dxa"/>
            <w:tcBorders>
              <w:top w:val="single" w:sz="4" w:space="0" w:color="auto"/>
              <w:bottom w:val="single" w:sz="4" w:space="0" w:color="auto"/>
            </w:tcBorders>
            <w:vAlign w:val="center"/>
          </w:tcPr>
          <w:p w14:paraId="70BED8FB" w14:textId="2420942F"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28.5</w:t>
            </w:r>
            <w:r w:rsidR="00201996" w:rsidRPr="00F66DD0">
              <w:rPr>
                <w:rFonts w:eastAsia="Calibri" w:cs="Times New Roman"/>
                <w:sz w:val="20"/>
                <w:szCs w:val="20"/>
                <w:lang w:val="en-GB"/>
              </w:rPr>
              <w:t>0</w:t>
            </w:r>
            <w:r w:rsidR="003148C5" w:rsidRPr="00F66DD0">
              <w:rPr>
                <w:rFonts w:eastAsia="Calibri" w:cs="Times New Roman"/>
                <w:sz w:val="20"/>
                <w:szCs w:val="20"/>
                <w:lang w:val="en-GB"/>
              </w:rPr>
              <w:t xml:space="preserve"> ± </w:t>
            </w:r>
            <w:r w:rsidR="0039270D">
              <w:rPr>
                <w:rFonts w:eastAsia="Calibri" w:cs="Times New Roman"/>
                <w:sz w:val="20"/>
                <w:szCs w:val="20"/>
                <w:lang w:val="en-GB"/>
              </w:rPr>
              <w:t>0.20</w:t>
            </w:r>
          </w:p>
        </w:tc>
        <w:tc>
          <w:tcPr>
            <w:tcW w:w="1448" w:type="dxa"/>
            <w:tcBorders>
              <w:top w:val="single" w:sz="4" w:space="0" w:color="auto"/>
              <w:bottom w:val="single" w:sz="4" w:space="0" w:color="auto"/>
            </w:tcBorders>
            <w:vAlign w:val="center"/>
          </w:tcPr>
          <w:p w14:paraId="6496F670" w14:textId="1D78ED19" w:rsidR="00AE1A58" w:rsidRPr="00F66DD0" w:rsidRDefault="00E8033F" w:rsidP="00AE1A58">
            <w:pPr>
              <w:spacing w:before="0" w:after="0"/>
              <w:jc w:val="center"/>
              <w:rPr>
                <w:rFonts w:eastAsia="Calibri" w:cs="Times New Roman"/>
                <w:sz w:val="20"/>
                <w:szCs w:val="20"/>
                <w:lang w:val="en-GB"/>
              </w:rPr>
            </w:pPr>
            <w:r w:rsidRPr="00F66DD0">
              <w:rPr>
                <w:rFonts w:eastAsia="Calibri" w:cs="Times New Roman"/>
                <w:sz w:val="20"/>
                <w:szCs w:val="20"/>
                <w:lang w:val="en-GB"/>
              </w:rPr>
              <w:t>7.37</w:t>
            </w:r>
            <w:r w:rsidR="003148C5" w:rsidRPr="00F66DD0">
              <w:rPr>
                <w:rFonts w:eastAsia="Calibri" w:cs="Times New Roman"/>
                <w:sz w:val="20"/>
                <w:szCs w:val="20"/>
                <w:lang w:val="en-GB"/>
              </w:rPr>
              <w:t xml:space="preserve"> ± 0.</w:t>
            </w:r>
            <w:r w:rsidR="007A2C52">
              <w:rPr>
                <w:rFonts w:eastAsia="Calibri" w:cs="Times New Roman"/>
                <w:sz w:val="20"/>
                <w:szCs w:val="20"/>
                <w:lang w:val="en-GB"/>
              </w:rPr>
              <w:t>30</w:t>
            </w:r>
          </w:p>
        </w:tc>
        <w:tc>
          <w:tcPr>
            <w:tcW w:w="1012" w:type="dxa"/>
            <w:tcBorders>
              <w:top w:val="single" w:sz="4" w:space="0" w:color="auto"/>
              <w:bottom w:val="single" w:sz="4" w:space="0" w:color="auto"/>
              <w:right w:val="single" w:sz="4" w:space="0" w:color="auto"/>
            </w:tcBorders>
            <w:vAlign w:val="center"/>
          </w:tcPr>
          <w:p w14:paraId="0E791E34" w14:textId="11ECBC08" w:rsidR="00AE1A58" w:rsidRPr="00F66DD0" w:rsidRDefault="00E8033F" w:rsidP="00AE1A58">
            <w:pPr>
              <w:spacing w:before="0" w:after="0"/>
              <w:jc w:val="center"/>
              <w:rPr>
                <w:rFonts w:eastAsia="Calibri" w:cs="Times New Roman"/>
                <w:sz w:val="20"/>
                <w:szCs w:val="20"/>
                <w:lang w:val="en-GB"/>
              </w:rPr>
            </w:pPr>
            <w:r w:rsidRPr="00F66DD0">
              <w:rPr>
                <w:rFonts w:eastAsia="Calibri" w:cs="Times New Roman"/>
                <w:sz w:val="20"/>
                <w:szCs w:val="20"/>
                <w:lang w:val="en-GB"/>
              </w:rPr>
              <w:t>4.31</w:t>
            </w:r>
            <w:r w:rsidR="003148C5" w:rsidRPr="00F66DD0">
              <w:rPr>
                <w:rFonts w:eastAsia="Calibri" w:cs="Times New Roman"/>
                <w:sz w:val="20"/>
                <w:szCs w:val="20"/>
                <w:lang w:val="en-GB"/>
              </w:rPr>
              <w:t xml:space="preserve"> ± 0.26</w:t>
            </w:r>
          </w:p>
        </w:tc>
      </w:tr>
      <w:tr w:rsidR="00AE1A58" w:rsidRPr="00F66DD0" w14:paraId="50944580" w14:textId="77777777" w:rsidTr="00A87583">
        <w:trPr>
          <w:trHeight w:val="359"/>
        </w:trPr>
        <w:tc>
          <w:tcPr>
            <w:tcW w:w="999" w:type="dxa"/>
            <w:tcBorders>
              <w:top w:val="single" w:sz="4" w:space="0" w:color="auto"/>
              <w:left w:val="single" w:sz="4" w:space="0" w:color="auto"/>
              <w:bottom w:val="single" w:sz="4" w:space="0" w:color="auto"/>
            </w:tcBorders>
            <w:vAlign w:val="center"/>
          </w:tcPr>
          <w:p w14:paraId="24DE6E93" w14:textId="684776BF"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0.057+ 3h SM</w:t>
            </w:r>
          </w:p>
        </w:tc>
        <w:tc>
          <w:tcPr>
            <w:tcW w:w="1167" w:type="dxa"/>
            <w:tcBorders>
              <w:top w:val="single" w:sz="4" w:space="0" w:color="auto"/>
              <w:bottom w:val="single" w:sz="4" w:space="0" w:color="auto"/>
            </w:tcBorders>
            <w:vAlign w:val="center"/>
          </w:tcPr>
          <w:p w14:paraId="0444C689" w14:textId="011C33D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3.50</w:t>
            </w:r>
            <w:r w:rsidR="00953B5B" w:rsidRPr="00F66DD0">
              <w:rPr>
                <w:rFonts w:eastAsia="Calibri" w:cs="Times New Roman"/>
                <w:sz w:val="20"/>
                <w:szCs w:val="20"/>
                <w:lang w:val="en-GB"/>
              </w:rPr>
              <w:t xml:space="preserve"> ± 0.14</w:t>
            </w:r>
          </w:p>
        </w:tc>
        <w:tc>
          <w:tcPr>
            <w:tcW w:w="1157" w:type="dxa"/>
            <w:tcBorders>
              <w:top w:val="single" w:sz="4" w:space="0" w:color="auto"/>
              <w:bottom w:val="single" w:sz="4" w:space="0" w:color="auto"/>
            </w:tcBorders>
            <w:vAlign w:val="center"/>
          </w:tcPr>
          <w:p w14:paraId="5D813409" w14:textId="61F6548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4.03</w:t>
            </w:r>
            <w:r w:rsidR="00953B5B" w:rsidRPr="00F66DD0">
              <w:rPr>
                <w:rFonts w:eastAsia="Calibri" w:cs="Times New Roman"/>
                <w:sz w:val="20"/>
                <w:szCs w:val="20"/>
                <w:lang w:val="en-GB"/>
              </w:rPr>
              <w:t xml:space="preserve"> ± 0.08</w:t>
            </w:r>
          </w:p>
        </w:tc>
        <w:tc>
          <w:tcPr>
            <w:tcW w:w="867" w:type="dxa"/>
            <w:tcBorders>
              <w:top w:val="single" w:sz="4" w:space="0" w:color="auto"/>
              <w:bottom w:val="single" w:sz="4" w:space="0" w:color="auto"/>
            </w:tcBorders>
            <w:vAlign w:val="center"/>
          </w:tcPr>
          <w:p w14:paraId="40B614F0"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157" w:type="dxa"/>
            <w:tcBorders>
              <w:top w:val="single" w:sz="4" w:space="0" w:color="auto"/>
              <w:bottom w:val="single" w:sz="4" w:space="0" w:color="auto"/>
            </w:tcBorders>
            <w:vAlign w:val="center"/>
          </w:tcPr>
          <w:p w14:paraId="244E0299" w14:textId="3A9ACDC1"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2.3</w:t>
            </w:r>
            <w:r w:rsidR="00201996" w:rsidRPr="00F66DD0">
              <w:rPr>
                <w:rFonts w:eastAsia="Calibri" w:cs="Times New Roman"/>
                <w:sz w:val="20"/>
                <w:szCs w:val="20"/>
                <w:lang w:val="en-GB"/>
              </w:rPr>
              <w:t>0</w:t>
            </w:r>
            <w:r w:rsidR="00953B5B" w:rsidRPr="00F66DD0">
              <w:rPr>
                <w:rFonts w:eastAsia="Calibri" w:cs="Times New Roman"/>
                <w:sz w:val="20"/>
                <w:szCs w:val="20"/>
                <w:lang w:val="en-GB"/>
              </w:rPr>
              <w:t xml:space="preserve"> ± 0.21</w:t>
            </w:r>
          </w:p>
        </w:tc>
        <w:tc>
          <w:tcPr>
            <w:tcW w:w="1157" w:type="dxa"/>
            <w:tcBorders>
              <w:top w:val="single" w:sz="4" w:space="0" w:color="auto"/>
              <w:bottom w:val="single" w:sz="4" w:space="0" w:color="auto"/>
            </w:tcBorders>
            <w:vAlign w:val="center"/>
          </w:tcPr>
          <w:p w14:paraId="5FC65F07" w14:textId="67F2BDC8" w:rsidR="00AE1A58" w:rsidRPr="00F66DD0" w:rsidRDefault="00201996" w:rsidP="00AE1A58">
            <w:pPr>
              <w:spacing w:before="0" w:after="0"/>
              <w:jc w:val="center"/>
              <w:rPr>
                <w:rFonts w:eastAsia="Calibri" w:cs="Times New Roman"/>
                <w:sz w:val="20"/>
                <w:szCs w:val="20"/>
                <w:lang w:val="en-GB"/>
              </w:rPr>
            </w:pPr>
            <w:r w:rsidRPr="00F66DD0">
              <w:rPr>
                <w:rFonts w:eastAsia="Calibri" w:cs="Times New Roman"/>
                <w:sz w:val="20"/>
                <w:szCs w:val="20"/>
                <w:lang w:val="en-GB"/>
              </w:rPr>
              <w:t>50</w:t>
            </w:r>
            <w:r w:rsidR="003148C5" w:rsidRPr="00F66DD0">
              <w:rPr>
                <w:rFonts w:eastAsia="Calibri" w:cs="Times New Roman"/>
                <w:sz w:val="20"/>
                <w:szCs w:val="20"/>
                <w:lang w:val="en-GB"/>
              </w:rPr>
              <w:t xml:space="preserve"> </w:t>
            </w:r>
          </w:p>
        </w:tc>
        <w:tc>
          <w:tcPr>
            <w:tcW w:w="1157" w:type="dxa"/>
            <w:tcBorders>
              <w:top w:val="single" w:sz="4" w:space="0" w:color="auto"/>
              <w:bottom w:val="single" w:sz="4" w:space="0" w:color="auto"/>
            </w:tcBorders>
            <w:vAlign w:val="center"/>
          </w:tcPr>
          <w:p w14:paraId="58387944" w14:textId="5E3B3BCD"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8.</w:t>
            </w:r>
            <w:r w:rsidR="00201996" w:rsidRPr="00F66DD0">
              <w:rPr>
                <w:rFonts w:eastAsia="Calibri" w:cs="Times New Roman"/>
                <w:sz w:val="20"/>
                <w:szCs w:val="20"/>
                <w:lang w:val="en-GB"/>
              </w:rPr>
              <w:t>57</w:t>
            </w:r>
            <w:r w:rsidR="003148C5" w:rsidRPr="00F66DD0">
              <w:rPr>
                <w:rFonts w:eastAsia="Calibri" w:cs="Times New Roman"/>
                <w:sz w:val="20"/>
                <w:szCs w:val="20"/>
                <w:lang w:val="en-GB"/>
              </w:rPr>
              <w:t xml:space="preserve"> ± 0.0</w:t>
            </w:r>
            <w:r w:rsidR="0039270D">
              <w:rPr>
                <w:rFonts w:eastAsia="Calibri" w:cs="Times New Roman"/>
                <w:sz w:val="20"/>
                <w:szCs w:val="20"/>
                <w:lang w:val="en-GB"/>
              </w:rPr>
              <w:t>7</w:t>
            </w:r>
          </w:p>
        </w:tc>
        <w:tc>
          <w:tcPr>
            <w:tcW w:w="1448" w:type="dxa"/>
            <w:tcBorders>
              <w:top w:val="single" w:sz="4" w:space="0" w:color="auto"/>
              <w:bottom w:val="single" w:sz="4" w:space="0" w:color="auto"/>
            </w:tcBorders>
            <w:vAlign w:val="center"/>
          </w:tcPr>
          <w:p w14:paraId="09910ADC" w14:textId="1FFB32BA" w:rsidR="00AE1A58" w:rsidRPr="00F66DD0" w:rsidRDefault="00201996" w:rsidP="00AE1A58">
            <w:pPr>
              <w:spacing w:before="0" w:after="0"/>
              <w:jc w:val="center"/>
              <w:rPr>
                <w:rFonts w:eastAsia="Calibri" w:cs="Times New Roman"/>
                <w:sz w:val="20"/>
                <w:szCs w:val="20"/>
                <w:lang w:val="en-GB"/>
              </w:rPr>
            </w:pPr>
            <w:r w:rsidRPr="00F66DD0">
              <w:rPr>
                <w:rFonts w:eastAsia="Calibri" w:cs="Times New Roman"/>
                <w:sz w:val="20"/>
                <w:szCs w:val="20"/>
                <w:lang w:val="en-GB"/>
              </w:rPr>
              <w:t>2.80</w:t>
            </w:r>
            <w:r w:rsidR="003148C5" w:rsidRPr="00F66DD0">
              <w:rPr>
                <w:rFonts w:eastAsia="Calibri" w:cs="Times New Roman"/>
                <w:sz w:val="20"/>
                <w:szCs w:val="20"/>
                <w:lang w:val="en-GB"/>
              </w:rPr>
              <w:t xml:space="preserve"> ± 0.2</w:t>
            </w:r>
            <w:r w:rsidR="007A2C52">
              <w:rPr>
                <w:rFonts w:eastAsia="Calibri" w:cs="Times New Roman"/>
                <w:sz w:val="20"/>
                <w:szCs w:val="20"/>
                <w:lang w:val="en-GB"/>
              </w:rPr>
              <w:t>2</w:t>
            </w:r>
          </w:p>
        </w:tc>
        <w:tc>
          <w:tcPr>
            <w:tcW w:w="1012" w:type="dxa"/>
            <w:tcBorders>
              <w:top w:val="single" w:sz="4" w:space="0" w:color="auto"/>
              <w:bottom w:val="single" w:sz="4" w:space="0" w:color="auto"/>
              <w:right w:val="single" w:sz="4" w:space="0" w:color="auto"/>
            </w:tcBorders>
            <w:vAlign w:val="center"/>
          </w:tcPr>
          <w:p w14:paraId="1C5A55A4" w14:textId="424F4DC6"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w:t>
            </w:r>
            <w:r w:rsidR="00201996" w:rsidRPr="00F66DD0">
              <w:rPr>
                <w:rFonts w:eastAsia="Calibri" w:cs="Times New Roman"/>
                <w:sz w:val="20"/>
                <w:szCs w:val="20"/>
                <w:lang w:val="en-GB"/>
              </w:rPr>
              <w:t>42</w:t>
            </w:r>
            <w:r w:rsidR="003148C5" w:rsidRPr="00F66DD0">
              <w:rPr>
                <w:rFonts w:eastAsia="Calibri" w:cs="Times New Roman"/>
                <w:sz w:val="20"/>
                <w:szCs w:val="20"/>
                <w:lang w:val="en-GB"/>
              </w:rPr>
              <w:t xml:space="preserve"> ± 0.31</w:t>
            </w:r>
          </w:p>
        </w:tc>
      </w:tr>
      <w:tr w:rsidR="00AE1A58" w:rsidRPr="00F66DD0" w14:paraId="7EA56625" w14:textId="77777777" w:rsidTr="00A87583">
        <w:trPr>
          <w:trHeight w:val="370"/>
        </w:trPr>
        <w:tc>
          <w:tcPr>
            <w:tcW w:w="999" w:type="dxa"/>
            <w:tcBorders>
              <w:top w:val="single" w:sz="4" w:space="0" w:color="auto"/>
              <w:left w:val="single" w:sz="4" w:space="0" w:color="auto"/>
              <w:bottom w:val="single" w:sz="4" w:space="0" w:color="auto"/>
            </w:tcBorders>
            <w:vAlign w:val="center"/>
          </w:tcPr>
          <w:p w14:paraId="633B1FEE" w14:textId="3DAF7598"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0.02</w:t>
            </w:r>
            <w:r w:rsidR="00174FB2" w:rsidRPr="00F66DD0">
              <w:rPr>
                <w:rFonts w:eastAsia="Calibri" w:cs="Times New Roman"/>
                <w:sz w:val="20"/>
                <w:szCs w:val="20"/>
                <w:lang w:val="en-GB"/>
              </w:rPr>
              <w:t>7</w:t>
            </w:r>
            <w:r w:rsidRPr="00F66DD0">
              <w:rPr>
                <w:rFonts w:eastAsia="Calibri" w:cs="Times New Roman"/>
                <w:sz w:val="20"/>
                <w:szCs w:val="20"/>
                <w:lang w:val="en-GB"/>
              </w:rPr>
              <w:t xml:space="preserve"> + </w:t>
            </w:r>
            <w:r w:rsidR="00174FB2" w:rsidRPr="00F66DD0">
              <w:rPr>
                <w:rFonts w:eastAsia="Calibri" w:cs="Times New Roman"/>
                <w:sz w:val="20"/>
                <w:szCs w:val="20"/>
                <w:lang w:val="en-GB"/>
              </w:rPr>
              <w:t>3</w:t>
            </w:r>
            <w:r w:rsidRPr="00F66DD0">
              <w:rPr>
                <w:rFonts w:eastAsia="Calibri" w:cs="Times New Roman"/>
                <w:sz w:val="20"/>
                <w:szCs w:val="20"/>
                <w:lang w:val="en-GB"/>
              </w:rPr>
              <w:t>h LB</w:t>
            </w:r>
          </w:p>
        </w:tc>
        <w:tc>
          <w:tcPr>
            <w:tcW w:w="1167" w:type="dxa"/>
            <w:tcBorders>
              <w:top w:val="single" w:sz="4" w:space="0" w:color="auto"/>
              <w:bottom w:val="single" w:sz="4" w:space="0" w:color="auto"/>
            </w:tcBorders>
            <w:vAlign w:val="center"/>
          </w:tcPr>
          <w:p w14:paraId="6E44E4E5" w14:textId="271D6989" w:rsidR="0019527D" w:rsidRPr="00F66DD0" w:rsidRDefault="00AE1A58" w:rsidP="0019527D">
            <w:pPr>
              <w:spacing w:before="0" w:after="0"/>
              <w:jc w:val="center"/>
              <w:rPr>
                <w:rFonts w:eastAsia="Calibri" w:cs="Times New Roman"/>
                <w:sz w:val="20"/>
                <w:szCs w:val="20"/>
                <w:lang w:val="en-GB"/>
              </w:rPr>
            </w:pPr>
            <w:r w:rsidRPr="00F66DD0">
              <w:rPr>
                <w:rFonts w:eastAsia="Calibri" w:cs="Times New Roman"/>
                <w:sz w:val="20"/>
                <w:szCs w:val="20"/>
                <w:lang w:val="en-GB"/>
              </w:rPr>
              <w:t>2.68</w:t>
            </w:r>
            <w:r w:rsidR="0019527D" w:rsidRPr="00F66DD0">
              <w:rPr>
                <w:rFonts w:eastAsia="Calibri" w:cs="Times New Roman"/>
                <w:sz w:val="20"/>
                <w:szCs w:val="20"/>
                <w:lang w:val="en-GB"/>
              </w:rPr>
              <w:t xml:space="preserve"> ± 0.19</w:t>
            </w:r>
          </w:p>
        </w:tc>
        <w:tc>
          <w:tcPr>
            <w:tcW w:w="1157" w:type="dxa"/>
            <w:tcBorders>
              <w:top w:val="single" w:sz="4" w:space="0" w:color="auto"/>
              <w:bottom w:val="single" w:sz="4" w:space="0" w:color="auto"/>
            </w:tcBorders>
            <w:vAlign w:val="center"/>
          </w:tcPr>
          <w:p w14:paraId="640E138F" w14:textId="557BFB0D"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w:t>
            </w:r>
            <w:r w:rsidR="00A46502" w:rsidRPr="00F66DD0">
              <w:rPr>
                <w:rFonts w:eastAsia="Calibri" w:cs="Times New Roman"/>
                <w:sz w:val="20"/>
                <w:szCs w:val="20"/>
                <w:lang w:val="en-GB"/>
              </w:rPr>
              <w:t>75</w:t>
            </w:r>
            <w:r w:rsidR="00F5634A" w:rsidRPr="00F66DD0">
              <w:rPr>
                <w:rFonts w:eastAsia="Calibri" w:cs="Times New Roman"/>
                <w:sz w:val="20"/>
                <w:szCs w:val="20"/>
                <w:lang w:val="en-GB"/>
              </w:rPr>
              <w:t xml:space="preserve"> ± 0.19</w:t>
            </w:r>
          </w:p>
        </w:tc>
        <w:tc>
          <w:tcPr>
            <w:tcW w:w="867" w:type="dxa"/>
            <w:tcBorders>
              <w:top w:val="single" w:sz="4" w:space="0" w:color="auto"/>
              <w:bottom w:val="single" w:sz="4" w:space="0" w:color="auto"/>
            </w:tcBorders>
            <w:vAlign w:val="center"/>
          </w:tcPr>
          <w:p w14:paraId="0B114439"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157" w:type="dxa"/>
            <w:tcBorders>
              <w:top w:val="single" w:sz="4" w:space="0" w:color="auto"/>
              <w:bottom w:val="single" w:sz="4" w:space="0" w:color="auto"/>
            </w:tcBorders>
            <w:vAlign w:val="center"/>
          </w:tcPr>
          <w:p w14:paraId="3072E812" w14:textId="70FAC057" w:rsidR="00AE1A58" w:rsidRPr="00F66DD0" w:rsidRDefault="00A46502" w:rsidP="00AE1A58">
            <w:pPr>
              <w:spacing w:before="0" w:after="0"/>
              <w:jc w:val="center"/>
              <w:rPr>
                <w:rFonts w:eastAsia="Calibri" w:cs="Times New Roman"/>
                <w:sz w:val="20"/>
                <w:szCs w:val="20"/>
                <w:lang w:val="en-GB"/>
              </w:rPr>
            </w:pPr>
            <w:r w:rsidRPr="00F66DD0">
              <w:rPr>
                <w:rFonts w:eastAsia="Calibri" w:cs="Times New Roman"/>
                <w:sz w:val="20"/>
                <w:szCs w:val="20"/>
                <w:lang w:val="en-GB"/>
              </w:rPr>
              <w:t>3.25</w:t>
            </w:r>
            <w:r w:rsidR="00F5634A" w:rsidRPr="00F66DD0">
              <w:rPr>
                <w:rFonts w:eastAsia="Calibri" w:cs="Times New Roman"/>
                <w:sz w:val="20"/>
                <w:szCs w:val="20"/>
                <w:lang w:val="en-GB"/>
              </w:rPr>
              <w:t xml:space="preserve"> ± 0.16</w:t>
            </w:r>
          </w:p>
        </w:tc>
        <w:tc>
          <w:tcPr>
            <w:tcW w:w="1157" w:type="dxa"/>
            <w:tcBorders>
              <w:top w:val="single" w:sz="4" w:space="0" w:color="auto"/>
              <w:bottom w:val="single" w:sz="4" w:space="0" w:color="auto"/>
            </w:tcBorders>
            <w:vAlign w:val="center"/>
          </w:tcPr>
          <w:p w14:paraId="433DB835" w14:textId="55AE1CE2" w:rsidR="00AE1A58" w:rsidRPr="00F66DD0" w:rsidRDefault="00B346DD" w:rsidP="00AE1A58">
            <w:pPr>
              <w:spacing w:before="0" w:after="0"/>
              <w:jc w:val="center"/>
              <w:rPr>
                <w:rFonts w:eastAsia="Calibri" w:cs="Times New Roman"/>
                <w:sz w:val="20"/>
                <w:szCs w:val="20"/>
                <w:lang w:val="en-GB"/>
              </w:rPr>
            </w:pPr>
            <w:r w:rsidRPr="00F66DD0">
              <w:rPr>
                <w:rFonts w:eastAsia="Calibri" w:cs="Times New Roman"/>
                <w:sz w:val="20"/>
                <w:szCs w:val="20"/>
                <w:lang w:val="en-GB"/>
              </w:rPr>
              <w:t>42.5</w:t>
            </w:r>
            <w:r w:rsidR="00727BB6" w:rsidRPr="00F66DD0">
              <w:rPr>
                <w:rFonts w:eastAsia="Calibri" w:cs="Times New Roman"/>
                <w:sz w:val="20"/>
                <w:szCs w:val="20"/>
                <w:lang w:val="en-GB"/>
              </w:rPr>
              <w:t xml:space="preserve"> ± 0.4</w:t>
            </w:r>
          </w:p>
        </w:tc>
        <w:tc>
          <w:tcPr>
            <w:tcW w:w="1157" w:type="dxa"/>
            <w:tcBorders>
              <w:top w:val="single" w:sz="4" w:space="0" w:color="auto"/>
              <w:bottom w:val="single" w:sz="4" w:space="0" w:color="auto"/>
            </w:tcBorders>
            <w:vAlign w:val="center"/>
          </w:tcPr>
          <w:p w14:paraId="31D08F8A" w14:textId="2A4806BA" w:rsidR="00AE1A58" w:rsidRPr="00F66DD0" w:rsidRDefault="00A46502" w:rsidP="00AE1A58">
            <w:pPr>
              <w:spacing w:before="0" w:after="0"/>
              <w:jc w:val="center"/>
              <w:rPr>
                <w:rFonts w:eastAsia="Calibri" w:cs="Times New Roman"/>
                <w:sz w:val="20"/>
                <w:szCs w:val="20"/>
                <w:lang w:val="en-GB"/>
              </w:rPr>
            </w:pPr>
            <w:r w:rsidRPr="00F66DD0">
              <w:rPr>
                <w:rFonts w:eastAsia="Calibri" w:cs="Times New Roman"/>
                <w:sz w:val="20"/>
                <w:szCs w:val="20"/>
                <w:lang w:val="en-GB"/>
              </w:rPr>
              <w:t>10.74</w:t>
            </w:r>
            <w:r w:rsidR="00314614" w:rsidRPr="00F66DD0">
              <w:rPr>
                <w:rFonts w:eastAsia="Calibri" w:cs="Times New Roman"/>
                <w:sz w:val="20"/>
                <w:szCs w:val="20"/>
                <w:lang w:val="en-GB"/>
              </w:rPr>
              <w:t xml:space="preserve"> ± 0.2</w:t>
            </w:r>
            <w:r w:rsidR="0039270D">
              <w:rPr>
                <w:rFonts w:eastAsia="Calibri" w:cs="Times New Roman"/>
                <w:sz w:val="20"/>
                <w:szCs w:val="20"/>
                <w:lang w:val="en-GB"/>
              </w:rPr>
              <w:t>8</w:t>
            </w:r>
          </w:p>
        </w:tc>
        <w:tc>
          <w:tcPr>
            <w:tcW w:w="1448" w:type="dxa"/>
            <w:tcBorders>
              <w:top w:val="single" w:sz="4" w:space="0" w:color="auto"/>
              <w:bottom w:val="single" w:sz="4" w:space="0" w:color="auto"/>
            </w:tcBorders>
            <w:vAlign w:val="center"/>
          </w:tcPr>
          <w:p w14:paraId="291F6325" w14:textId="67062D64" w:rsidR="00AE1A58" w:rsidRPr="00F66DD0" w:rsidRDefault="00A46502" w:rsidP="00AE1A58">
            <w:pPr>
              <w:spacing w:before="0" w:after="0"/>
              <w:jc w:val="center"/>
              <w:rPr>
                <w:rFonts w:eastAsia="Calibri" w:cs="Times New Roman"/>
                <w:sz w:val="20"/>
                <w:szCs w:val="20"/>
                <w:lang w:val="en-GB"/>
              </w:rPr>
            </w:pPr>
            <w:r w:rsidRPr="00F66DD0">
              <w:rPr>
                <w:rFonts w:eastAsia="Calibri" w:cs="Times New Roman"/>
                <w:sz w:val="20"/>
                <w:szCs w:val="20"/>
                <w:lang w:val="en-GB"/>
              </w:rPr>
              <w:t>8.49</w:t>
            </w:r>
            <w:r w:rsidR="00727BB6" w:rsidRPr="00F66DD0">
              <w:rPr>
                <w:rFonts w:eastAsia="Calibri" w:cs="Times New Roman"/>
                <w:sz w:val="20"/>
                <w:szCs w:val="20"/>
                <w:lang w:val="en-GB"/>
              </w:rPr>
              <w:t xml:space="preserve"> ± 0.</w:t>
            </w:r>
            <w:r w:rsidR="007A2C52">
              <w:rPr>
                <w:rFonts w:eastAsia="Calibri" w:cs="Times New Roman"/>
                <w:sz w:val="20"/>
                <w:szCs w:val="20"/>
                <w:lang w:val="en-GB"/>
              </w:rPr>
              <w:t>51</w:t>
            </w:r>
          </w:p>
        </w:tc>
        <w:tc>
          <w:tcPr>
            <w:tcW w:w="1012" w:type="dxa"/>
            <w:tcBorders>
              <w:top w:val="single" w:sz="4" w:space="0" w:color="auto"/>
              <w:bottom w:val="single" w:sz="4" w:space="0" w:color="auto"/>
              <w:right w:val="single" w:sz="4" w:space="0" w:color="auto"/>
            </w:tcBorders>
            <w:vAlign w:val="center"/>
          </w:tcPr>
          <w:p w14:paraId="342B5D41" w14:textId="1C0BF5E1" w:rsidR="00AE1A58" w:rsidRPr="00F66DD0" w:rsidRDefault="00A46502" w:rsidP="00AE1A58">
            <w:pPr>
              <w:spacing w:before="0" w:after="0"/>
              <w:jc w:val="center"/>
              <w:rPr>
                <w:rFonts w:eastAsia="Calibri" w:cs="Times New Roman"/>
                <w:sz w:val="20"/>
                <w:szCs w:val="20"/>
                <w:lang w:val="en-GB"/>
              </w:rPr>
            </w:pPr>
            <w:r w:rsidRPr="00F66DD0">
              <w:rPr>
                <w:rFonts w:eastAsia="Calibri" w:cs="Times New Roman"/>
                <w:sz w:val="20"/>
                <w:szCs w:val="20"/>
                <w:lang w:val="en-GB"/>
              </w:rPr>
              <w:t>3.26</w:t>
            </w:r>
            <w:r w:rsidR="00314614" w:rsidRPr="00F66DD0">
              <w:rPr>
                <w:rFonts w:eastAsia="Calibri" w:cs="Times New Roman"/>
                <w:sz w:val="20"/>
                <w:szCs w:val="20"/>
                <w:lang w:val="en-GB"/>
              </w:rPr>
              <w:t xml:space="preserve"> ±0.03</w:t>
            </w:r>
          </w:p>
        </w:tc>
      </w:tr>
      <w:tr w:rsidR="00AE1A58" w:rsidRPr="00F66DD0" w14:paraId="16447163" w14:textId="77777777" w:rsidTr="00A87583">
        <w:trPr>
          <w:trHeight w:val="359"/>
        </w:trPr>
        <w:tc>
          <w:tcPr>
            <w:tcW w:w="999" w:type="dxa"/>
            <w:tcBorders>
              <w:top w:val="single" w:sz="4" w:space="0" w:color="auto"/>
              <w:left w:val="single" w:sz="4" w:space="0" w:color="auto"/>
              <w:bottom w:val="single" w:sz="4" w:space="0" w:color="auto"/>
            </w:tcBorders>
            <w:vAlign w:val="center"/>
          </w:tcPr>
          <w:p w14:paraId="2A4C89FC" w14:textId="18BAC1B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0.02</w:t>
            </w:r>
            <w:r w:rsidR="00174FB2" w:rsidRPr="00F66DD0">
              <w:rPr>
                <w:rFonts w:eastAsia="Calibri" w:cs="Times New Roman"/>
                <w:sz w:val="20"/>
                <w:szCs w:val="20"/>
                <w:lang w:val="en-GB"/>
              </w:rPr>
              <w:t>7</w:t>
            </w:r>
            <w:r w:rsidRPr="00F66DD0">
              <w:rPr>
                <w:rFonts w:eastAsia="Calibri" w:cs="Times New Roman"/>
                <w:sz w:val="20"/>
                <w:szCs w:val="20"/>
                <w:lang w:val="en-GB"/>
              </w:rPr>
              <w:t xml:space="preserve"> + 3h SM</w:t>
            </w:r>
          </w:p>
        </w:tc>
        <w:tc>
          <w:tcPr>
            <w:tcW w:w="1167" w:type="dxa"/>
            <w:tcBorders>
              <w:top w:val="single" w:sz="4" w:space="0" w:color="auto"/>
              <w:bottom w:val="single" w:sz="4" w:space="0" w:color="auto"/>
            </w:tcBorders>
            <w:vAlign w:val="center"/>
          </w:tcPr>
          <w:p w14:paraId="55565BCB" w14:textId="6144B386"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1.60</w:t>
            </w:r>
            <w:r w:rsidR="0019527D" w:rsidRPr="00F66DD0">
              <w:rPr>
                <w:rFonts w:eastAsia="Calibri" w:cs="Times New Roman"/>
                <w:sz w:val="20"/>
                <w:szCs w:val="20"/>
                <w:lang w:val="en-GB"/>
              </w:rPr>
              <w:t xml:space="preserve"> ± 0 06</w:t>
            </w:r>
          </w:p>
        </w:tc>
        <w:tc>
          <w:tcPr>
            <w:tcW w:w="1157" w:type="dxa"/>
            <w:tcBorders>
              <w:top w:val="single" w:sz="4" w:space="0" w:color="auto"/>
              <w:bottom w:val="single" w:sz="4" w:space="0" w:color="auto"/>
            </w:tcBorders>
            <w:vAlign w:val="center"/>
          </w:tcPr>
          <w:p w14:paraId="6D0C4D04" w14:textId="1567E6D8"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3.70</w:t>
            </w:r>
            <w:r w:rsidR="00F5634A" w:rsidRPr="00F66DD0">
              <w:rPr>
                <w:rFonts w:eastAsia="Calibri" w:cs="Times New Roman"/>
                <w:sz w:val="20"/>
                <w:szCs w:val="20"/>
                <w:lang w:val="en-GB"/>
              </w:rPr>
              <w:t xml:space="preserve"> ± 0.41</w:t>
            </w:r>
          </w:p>
        </w:tc>
        <w:tc>
          <w:tcPr>
            <w:tcW w:w="867" w:type="dxa"/>
            <w:tcBorders>
              <w:top w:val="single" w:sz="4" w:space="0" w:color="auto"/>
              <w:bottom w:val="single" w:sz="4" w:space="0" w:color="auto"/>
            </w:tcBorders>
            <w:vAlign w:val="center"/>
          </w:tcPr>
          <w:p w14:paraId="0BF37D3B"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0.02</w:t>
            </w:r>
          </w:p>
        </w:tc>
        <w:tc>
          <w:tcPr>
            <w:tcW w:w="1157" w:type="dxa"/>
            <w:tcBorders>
              <w:top w:val="single" w:sz="4" w:space="0" w:color="auto"/>
              <w:bottom w:val="single" w:sz="4" w:space="0" w:color="auto"/>
            </w:tcBorders>
            <w:vAlign w:val="center"/>
          </w:tcPr>
          <w:p w14:paraId="1717EDC5" w14:textId="26FA7EE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w:t>
            </w:r>
            <w:r w:rsidR="00B346DD" w:rsidRPr="00F66DD0">
              <w:rPr>
                <w:rFonts w:eastAsia="Calibri" w:cs="Times New Roman"/>
                <w:sz w:val="20"/>
                <w:szCs w:val="20"/>
                <w:lang w:val="en-GB"/>
              </w:rPr>
              <w:t>83</w:t>
            </w:r>
            <w:r w:rsidR="00F5634A" w:rsidRPr="00F66DD0">
              <w:rPr>
                <w:rFonts w:eastAsia="Calibri" w:cs="Times New Roman"/>
                <w:sz w:val="20"/>
                <w:szCs w:val="20"/>
                <w:lang w:val="en-GB"/>
              </w:rPr>
              <w:t xml:space="preserve"> ± 0.0</w:t>
            </w:r>
            <w:r w:rsidR="00026482">
              <w:rPr>
                <w:rFonts w:eastAsia="Calibri" w:cs="Times New Roman"/>
                <w:sz w:val="20"/>
                <w:szCs w:val="20"/>
                <w:lang w:val="en-GB"/>
              </w:rPr>
              <w:t>3</w:t>
            </w:r>
          </w:p>
        </w:tc>
        <w:tc>
          <w:tcPr>
            <w:tcW w:w="1157" w:type="dxa"/>
            <w:tcBorders>
              <w:top w:val="single" w:sz="4" w:space="0" w:color="auto"/>
              <w:bottom w:val="single" w:sz="4" w:space="0" w:color="auto"/>
            </w:tcBorders>
            <w:vAlign w:val="center"/>
          </w:tcPr>
          <w:p w14:paraId="0C094DED" w14:textId="7DEE8A3F" w:rsidR="00AE1A58" w:rsidRPr="00F66DD0" w:rsidRDefault="00B346DD" w:rsidP="00AE1A58">
            <w:pPr>
              <w:spacing w:before="0" w:after="0"/>
              <w:jc w:val="center"/>
              <w:rPr>
                <w:rFonts w:eastAsia="Calibri" w:cs="Times New Roman"/>
                <w:sz w:val="20"/>
                <w:szCs w:val="20"/>
                <w:lang w:val="en-GB"/>
              </w:rPr>
            </w:pPr>
            <w:r w:rsidRPr="00F66DD0">
              <w:rPr>
                <w:rFonts w:eastAsia="Calibri" w:cs="Times New Roman"/>
                <w:sz w:val="20"/>
                <w:szCs w:val="20"/>
                <w:lang w:val="en-GB"/>
              </w:rPr>
              <w:t>52.5</w:t>
            </w:r>
            <w:r w:rsidR="00727BB6" w:rsidRPr="00F66DD0">
              <w:rPr>
                <w:rFonts w:eastAsia="Calibri" w:cs="Times New Roman"/>
                <w:sz w:val="20"/>
                <w:szCs w:val="20"/>
                <w:lang w:val="en-GB"/>
              </w:rPr>
              <w:t xml:space="preserve"> ± 2.6</w:t>
            </w:r>
          </w:p>
        </w:tc>
        <w:tc>
          <w:tcPr>
            <w:tcW w:w="1157" w:type="dxa"/>
            <w:tcBorders>
              <w:top w:val="single" w:sz="4" w:space="0" w:color="auto"/>
              <w:bottom w:val="single" w:sz="4" w:space="0" w:color="auto"/>
            </w:tcBorders>
            <w:vAlign w:val="center"/>
          </w:tcPr>
          <w:p w14:paraId="5BFF28C8" w14:textId="7094193E" w:rsidR="00AE1A58" w:rsidRPr="00F66DD0" w:rsidRDefault="00B346DD" w:rsidP="00AE1A58">
            <w:pPr>
              <w:spacing w:before="0" w:after="0"/>
              <w:jc w:val="center"/>
              <w:rPr>
                <w:rFonts w:eastAsia="Calibri" w:cs="Times New Roman"/>
                <w:sz w:val="20"/>
                <w:szCs w:val="20"/>
                <w:lang w:val="en-GB"/>
              </w:rPr>
            </w:pPr>
            <w:r w:rsidRPr="00F66DD0">
              <w:rPr>
                <w:rFonts w:eastAsia="Calibri" w:cs="Times New Roman"/>
                <w:sz w:val="20"/>
                <w:szCs w:val="20"/>
                <w:lang w:val="en-GB"/>
              </w:rPr>
              <w:t>10.58</w:t>
            </w:r>
            <w:r w:rsidR="00314614" w:rsidRPr="00F66DD0">
              <w:rPr>
                <w:rFonts w:eastAsia="Calibri" w:cs="Times New Roman"/>
                <w:sz w:val="20"/>
                <w:szCs w:val="20"/>
                <w:lang w:val="en-GB"/>
              </w:rPr>
              <w:t xml:space="preserve"> ± 0.2</w:t>
            </w:r>
            <w:r w:rsidR="0039270D">
              <w:rPr>
                <w:rFonts w:eastAsia="Calibri" w:cs="Times New Roman"/>
                <w:sz w:val="20"/>
                <w:szCs w:val="20"/>
                <w:lang w:val="en-GB"/>
              </w:rPr>
              <w:t>8</w:t>
            </w:r>
          </w:p>
        </w:tc>
        <w:tc>
          <w:tcPr>
            <w:tcW w:w="1448" w:type="dxa"/>
            <w:tcBorders>
              <w:top w:val="single" w:sz="4" w:space="0" w:color="auto"/>
              <w:bottom w:val="single" w:sz="4" w:space="0" w:color="auto"/>
            </w:tcBorders>
            <w:vAlign w:val="center"/>
          </w:tcPr>
          <w:p w14:paraId="66CC5686" w14:textId="45002386"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5.93</w:t>
            </w:r>
            <w:r w:rsidR="00727BB6" w:rsidRPr="00F66DD0">
              <w:rPr>
                <w:rFonts w:eastAsia="Calibri" w:cs="Times New Roman"/>
                <w:sz w:val="20"/>
                <w:szCs w:val="20"/>
                <w:lang w:val="en-GB"/>
              </w:rPr>
              <w:t xml:space="preserve"> ± 0.</w:t>
            </w:r>
            <w:r w:rsidR="007A2C52">
              <w:rPr>
                <w:rFonts w:eastAsia="Calibri" w:cs="Times New Roman"/>
                <w:sz w:val="20"/>
                <w:szCs w:val="20"/>
                <w:lang w:val="en-GB"/>
              </w:rPr>
              <w:t>45</w:t>
            </w:r>
          </w:p>
        </w:tc>
        <w:tc>
          <w:tcPr>
            <w:tcW w:w="1012" w:type="dxa"/>
            <w:tcBorders>
              <w:top w:val="single" w:sz="4" w:space="0" w:color="auto"/>
              <w:bottom w:val="single" w:sz="4" w:space="0" w:color="auto"/>
              <w:right w:val="single" w:sz="4" w:space="0" w:color="auto"/>
            </w:tcBorders>
            <w:vAlign w:val="center"/>
          </w:tcPr>
          <w:p w14:paraId="482032AA" w14:textId="7683258F" w:rsidR="00AE1A58" w:rsidRPr="00F66DD0" w:rsidRDefault="00B346DD" w:rsidP="00AE1A58">
            <w:pPr>
              <w:spacing w:before="0" w:after="0"/>
              <w:jc w:val="center"/>
              <w:rPr>
                <w:rFonts w:eastAsia="Calibri" w:cs="Times New Roman"/>
                <w:sz w:val="20"/>
                <w:szCs w:val="20"/>
                <w:lang w:val="en-GB"/>
              </w:rPr>
            </w:pPr>
            <w:r w:rsidRPr="00F66DD0">
              <w:rPr>
                <w:rFonts w:eastAsia="Calibri" w:cs="Times New Roman"/>
                <w:sz w:val="20"/>
                <w:szCs w:val="20"/>
                <w:lang w:val="en-GB"/>
              </w:rPr>
              <w:t>2.50</w:t>
            </w:r>
            <w:r w:rsidR="00314614" w:rsidRPr="00F66DD0">
              <w:rPr>
                <w:rFonts w:eastAsia="Calibri" w:cs="Times New Roman"/>
                <w:sz w:val="20"/>
                <w:szCs w:val="20"/>
                <w:lang w:val="en-GB"/>
              </w:rPr>
              <w:t xml:space="preserve"> ± 0.1</w:t>
            </w:r>
          </w:p>
        </w:tc>
      </w:tr>
      <w:tr w:rsidR="00AE1A58" w:rsidRPr="00F66DD0" w14:paraId="04BA34F6" w14:textId="77777777" w:rsidTr="00A87583">
        <w:trPr>
          <w:trHeight w:val="192"/>
        </w:trPr>
        <w:tc>
          <w:tcPr>
            <w:tcW w:w="999" w:type="dxa"/>
            <w:tcBorders>
              <w:top w:val="single" w:sz="4" w:space="0" w:color="auto"/>
              <w:left w:val="single" w:sz="4" w:space="0" w:color="auto"/>
              <w:bottom w:val="single" w:sz="4" w:space="0" w:color="auto"/>
            </w:tcBorders>
            <w:vAlign w:val="center"/>
          </w:tcPr>
          <w:p w14:paraId="5ABE9D55" w14:textId="77777777" w:rsidR="00AE1A58" w:rsidRPr="00F66DD0" w:rsidRDefault="00AE1A58" w:rsidP="00AE1A58">
            <w:pPr>
              <w:spacing w:before="0" w:after="0"/>
              <w:jc w:val="center"/>
              <w:rPr>
                <w:rFonts w:eastAsia="Calibri" w:cs="Times New Roman"/>
                <w:sz w:val="20"/>
                <w:szCs w:val="20"/>
                <w:lang w:val="en-GB"/>
              </w:rPr>
            </w:pPr>
          </w:p>
        </w:tc>
        <w:tc>
          <w:tcPr>
            <w:tcW w:w="1167" w:type="dxa"/>
            <w:tcBorders>
              <w:top w:val="single" w:sz="4" w:space="0" w:color="auto"/>
              <w:bottom w:val="single" w:sz="4" w:space="0" w:color="auto"/>
            </w:tcBorders>
            <w:vAlign w:val="center"/>
          </w:tcPr>
          <w:p w14:paraId="5DA6B2D3" w14:textId="77777777" w:rsidR="00AE1A58" w:rsidRPr="00F66DD0" w:rsidRDefault="00AE1A58" w:rsidP="00AE1A58">
            <w:pPr>
              <w:spacing w:before="0" w:after="0"/>
              <w:jc w:val="center"/>
              <w:rPr>
                <w:rFonts w:eastAsia="Calibri" w:cs="Times New Roman"/>
                <w:sz w:val="20"/>
                <w:szCs w:val="20"/>
                <w:lang w:val="en-GB"/>
              </w:rPr>
            </w:pPr>
          </w:p>
        </w:tc>
        <w:tc>
          <w:tcPr>
            <w:tcW w:w="1157" w:type="dxa"/>
            <w:tcBorders>
              <w:top w:val="single" w:sz="4" w:space="0" w:color="auto"/>
              <w:bottom w:val="single" w:sz="4" w:space="0" w:color="auto"/>
            </w:tcBorders>
            <w:vAlign w:val="center"/>
          </w:tcPr>
          <w:p w14:paraId="5F272689" w14:textId="77777777" w:rsidR="00AE1A58" w:rsidRPr="00F66DD0" w:rsidRDefault="00AE1A58" w:rsidP="00AE1A58">
            <w:pPr>
              <w:spacing w:before="0" w:after="0"/>
              <w:jc w:val="center"/>
              <w:rPr>
                <w:rFonts w:eastAsia="Calibri" w:cs="Times New Roman"/>
                <w:sz w:val="20"/>
                <w:szCs w:val="20"/>
                <w:lang w:val="en-GB"/>
              </w:rPr>
            </w:pPr>
          </w:p>
        </w:tc>
        <w:tc>
          <w:tcPr>
            <w:tcW w:w="867" w:type="dxa"/>
            <w:tcBorders>
              <w:top w:val="single" w:sz="4" w:space="0" w:color="auto"/>
              <w:bottom w:val="single" w:sz="4" w:space="0" w:color="auto"/>
            </w:tcBorders>
            <w:vAlign w:val="center"/>
          </w:tcPr>
          <w:p w14:paraId="7BFE4675" w14:textId="77777777" w:rsidR="00AE1A58" w:rsidRPr="00F66DD0" w:rsidRDefault="00AE1A58" w:rsidP="00AE1A58">
            <w:pPr>
              <w:spacing w:before="0" w:after="0"/>
              <w:jc w:val="center"/>
              <w:rPr>
                <w:rFonts w:eastAsia="Calibri" w:cs="Times New Roman"/>
                <w:sz w:val="20"/>
                <w:szCs w:val="20"/>
                <w:lang w:val="en-GB"/>
              </w:rPr>
            </w:pPr>
          </w:p>
        </w:tc>
        <w:tc>
          <w:tcPr>
            <w:tcW w:w="1157" w:type="dxa"/>
            <w:tcBorders>
              <w:top w:val="single" w:sz="4" w:space="0" w:color="auto"/>
              <w:bottom w:val="single" w:sz="4" w:space="0" w:color="auto"/>
            </w:tcBorders>
            <w:vAlign w:val="center"/>
          </w:tcPr>
          <w:p w14:paraId="64E1FDE6" w14:textId="77777777" w:rsidR="00AE1A58" w:rsidRPr="00F66DD0" w:rsidRDefault="00AE1A58" w:rsidP="00AE1A58">
            <w:pPr>
              <w:spacing w:before="0" w:after="0"/>
              <w:jc w:val="center"/>
              <w:rPr>
                <w:rFonts w:eastAsia="Calibri" w:cs="Times New Roman"/>
                <w:sz w:val="20"/>
                <w:szCs w:val="20"/>
                <w:lang w:val="en-GB"/>
              </w:rPr>
            </w:pPr>
          </w:p>
        </w:tc>
        <w:tc>
          <w:tcPr>
            <w:tcW w:w="1157" w:type="dxa"/>
            <w:tcBorders>
              <w:top w:val="single" w:sz="4" w:space="0" w:color="auto"/>
              <w:left w:val="single" w:sz="4" w:space="0" w:color="auto"/>
              <w:bottom w:val="single" w:sz="4" w:space="0" w:color="auto"/>
              <w:right w:val="single" w:sz="4" w:space="0" w:color="auto"/>
            </w:tcBorders>
            <w:vAlign w:val="center"/>
          </w:tcPr>
          <w:p w14:paraId="4CD64316" w14:textId="76AC012B" w:rsidR="00AE1A58" w:rsidRPr="00F66DD0" w:rsidRDefault="00AE1A58" w:rsidP="00AE1A58">
            <w:pPr>
              <w:spacing w:before="0" w:after="0"/>
              <w:jc w:val="center"/>
              <w:rPr>
                <w:rFonts w:eastAsia="Calibri" w:cs="Times New Roman"/>
                <w:b/>
                <w:bCs/>
                <w:sz w:val="20"/>
                <w:szCs w:val="20"/>
                <w:lang w:val="en-GB"/>
              </w:rPr>
            </w:pPr>
            <w:r w:rsidRPr="00F66DD0">
              <w:rPr>
                <w:rFonts w:eastAsia="Calibri" w:cs="Times New Roman"/>
                <w:b/>
                <w:bCs/>
                <w:sz w:val="20"/>
                <w:szCs w:val="20"/>
                <w:lang w:val="en-GB"/>
              </w:rPr>
              <w:t>GP (</w:t>
            </w:r>
            <w:r w:rsidR="00A853D5" w:rsidRPr="00F66DD0">
              <w:rPr>
                <w:rFonts w:eastAsia="Calibri" w:cs="Times New Roman"/>
                <w:b/>
                <w:bCs/>
                <w:sz w:val="20"/>
                <w:szCs w:val="20"/>
                <w:lang w:val="en-GB"/>
              </w:rPr>
              <w:t>min</w:t>
            </w:r>
            <w:r w:rsidRPr="00F66DD0">
              <w:rPr>
                <w:rFonts w:eastAsia="Calibri" w:cs="Times New Roman"/>
                <w:b/>
                <w:bCs/>
                <w:sz w:val="20"/>
                <w:szCs w:val="20"/>
                <w:lang w:val="en-GB"/>
              </w:rPr>
              <w:t>)</w:t>
            </w:r>
          </w:p>
        </w:tc>
        <w:tc>
          <w:tcPr>
            <w:tcW w:w="1157" w:type="dxa"/>
            <w:tcBorders>
              <w:top w:val="single" w:sz="4" w:space="0" w:color="auto"/>
              <w:left w:val="single" w:sz="4" w:space="0" w:color="auto"/>
              <w:bottom w:val="single" w:sz="4" w:space="0" w:color="auto"/>
            </w:tcBorders>
            <w:vAlign w:val="center"/>
          </w:tcPr>
          <w:p w14:paraId="52D8775C" w14:textId="77777777" w:rsidR="00AE1A58" w:rsidRPr="00F66DD0" w:rsidRDefault="00AE1A58" w:rsidP="00AE1A58">
            <w:pPr>
              <w:spacing w:before="0" w:after="0"/>
              <w:jc w:val="center"/>
              <w:rPr>
                <w:rFonts w:eastAsia="Calibri" w:cs="Times New Roman"/>
                <w:sz w:val="20"/>
                <w:szCs w:val="20"/>
                <w:lang w:val="en-GB"/>
              </w:rPr>
            </w:pPr>
          </w:p>
        </w:tc>
        <w:tc>
          <w:tcPr>
            <w:tcW w:w="1448" w:type="dxa"/>
            <w:tcBorders>
              <w:top w:val="single" w:sz="4" w:space="0" w:color="auto"/>
              <w:bottom w:val="single" w:sz="4" w:space="0" w:color="auto"/>
            </w:tcBorders>
            <w:vAlign w:val="center"/>
          </w:tcPr>
          <w:p w14:paraId="5567F27E" w14:textId="77777777" w:rsidR="00AE1A58" w:rsidRPr="00F66DD0" w:rsidRDefault="00AE1A58" w:rsidP="00AE1A58">
            <w:pPr>
              <w:spacing w:before="0" w:after="0"/>
              <w:jc w:val="center"/>
              <w:rPr>
                <w:rFonts w:eastAsia="Calibri" w:cs="Times New Roman"/>
                <w:sz w:val="20"/>
                <w:szCs w:val="20"/>
                <w:lang w:val="en-GB"/>
              </w:rPr>
            </w:pPr>
          </w:p>
        </w:tc>
        <w:tc>
          <w:tcPr>
            <w:tcW w:w="1012" w:type="dxa"/>
            <w:tcBorders>
              <w:top w:val="single" w:sz="4" w:space="0" w:color="auto"/>
              <w:bottom w:val="single" w:sz="4" w:space="0" w:color="auto"/>
              <w:right w:val="single" w:sz="4" w:space="0" w:color="auto"/>
            </w:tcBorders>
            <w:vAlign w:val="center"/>
          </w:tcPr>
          <w:p w14:paraId="0FCE9F19" w14:textId="77777777" w:rsidR="00AE1A58" w:rsidRPr="00F66DD0" w:rsidRDefault="00AE1A58" w:rsidP="00AE1A58">
            <w:pPr>
              <w:spacing w:before="0" w:after="0"/>
              <w:jc w:val="center"/>
              <w:rPr>
                <w:rFonts w:eastAsia="Calibri" w:cs="Times New Roman"/>
                <w:sz w:val="20"/>
                <w:szCs w:val="20"/>
                <w:lang w:val="en-GB"/>
              </w:rPr>
            </w:pPr>
          </w:p>
        </w:tc>
      </w:tr>
      <w:tr w:rsidR="00AE1A58" w:rsidRPr="00F66DD0" w14:paraId="2536E471" w14:textId="77777777" w:rsidTr="00A87583">
        <w:trPr>
          <w:trHeight w:val="359"/>
        </w:trPr>
        <w:tc>
          <w:tcPr>
            <w:tcW w:w="999" w:type="dxa"/>
            <w:tcBorders>
              <w:top w:val="single" w:sz="4" w:space="0" w:color="auto"/>
              <w:left w:val="single" w:sz="4" w:space="0" w:color="auto"/>
              <w:bottom w:val="single" w:sz="4" w:space="0" w:color="auto"/>
            </w:tcBorders>
            <w:vAlign w:val="center"/>
          </w:tcPr>
          <w:p w14:paraId="768E81A7" w14:textId="25704E3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0.02</w:t>
            </w:r>
            <w:r w:rsidR="00174FB2" w:rsidRPr="00F66DD0">
              <w:rPr>
                <w:rFonts w:eastAsia="Calibri" w:cs="Times New Roman"/>
                <w:sz w:val="20"/>
                <w:szCs w:val="20"/>
                <w:lang w:val="en-GB"/>
              </w:rPr>
              <w:t>7</w:t>
            </w:r>
            <w:r w:rsidRPr="00F66DD0">
              <w:rPr>
                <w:rFonts w:eastAsia="Calibri" w:cs="Times New Roman"/>
                <w:sz w:val="20"/>
                <w:szCs w:val="20"/>
                <w:lang w:val="en-GB"/>
              </w:rPr>
              <w:t xml:space="preserve"> + 24h LB</w:t>
            </w:r>
          </w:p>
        </w:tc>
        <w:tc>
          <w:tcPr>
            <w:tcW w:w="1167" w:type="dxa"/>
            <w:tcBorders>
              <w:top w:val="single" w:sz="4" w:space="0" w:color="auto"/>
              <w:bottom w:val="single" w:sz="4" w:space="0" w:color="auto"/>
            </w:tcBorders>
            <w:vAlign w:val="center"/>
          </w:tcPr>
          <w:p w14:paraId="5410DE06" w14:textId="7321146F"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20.8</w:t>
            </w:r>
            <w:r w:rsidR="00F46B96" w:rsidRPr="00F66DD0">
              <w:rPr>
                <w:rFonts w:eastAsia="Calibri" w:cs="Times New Roman"/>
                <w:sz w:val="20"/>
                <w:szCs w:val="20"/>
                <w:lang w:val="en-GB"/>
              </w:rPr>
              <w:t xml:space="preserve"> ± 2.49</w:t>
            </w:r>
          </w:p>
        </w:tc>
        <w:tc>
          <w:tcPr>
            <w:tcW w:w="1157" w:type="dxa"/>
            <w:tcBorders>
              <w:top w:val="single" w:sz="4" w:space="0" w:color="auto"/>
              <w:bottom w:val="single" w:sz="4" w:space="0" w:color="auto"/>
            </w:tcBorders>
            <w:vAlign w:val="center"/>
          </w:tcPr>
          <w:p w14:paraId="26227DD9" w14:textId="4495718A"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3.51</w:t>
            </w:r>
            <w:r w:rsidR="00F5634A" w:rsidRPr="00F66DD0">
              <w:rPr>
                <w:rFonts w:eastAsia="Calibri" w:cs="Times New Roman"/>
                <w:sz w:val="20"/>
                <w:szCs w:val="20"/>
                <w:lang w:val="en-GB"/>
              </w:rPr>
              <w:t xml:space="preserve"> ± 0.32</w:t>
            </w:r>
          </w:p>
        </w:tc>
        <w:tc>
          <w:tcPr>
            <w:tcW w:w="867" w:type="dxa"/>
            <w:tcBorders>
              <w:top w:val="single" w:sz="4" w:space="0" w:color="auto"/>
              <w:bottom w:val="single" w:sz="4" w:space="0" w:color="auto"/>
            </w:tcBorders>
            <w:vAlign w:val="center"/>
          </w:tcPr>
          <w:p w14:paraId="1442B65E"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0.002</w:t>
            </w:r>
          </w:p>
        </w:tc>
        <w:tc>
          <w:tcPr>
            <w:tcW w:w="1157" w:type="dxa"/>
            <w:tcBorders>
              <w:top w:val="single" w:sz="4" w:space="0" w:color="auto"/>
              <w:bottom w:val="single" w:sz="4" w:space="0" w:color="auto"/>
            </w:tcBorders>
            <w:vAlign w:val="center"/>
          </w:tcPr>
          <w:p w14:paraId="5E5AE107" w14:textId="73E5F15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2.8</w:t>
            </w:r>
            <w:r w:rsidR="00235413">
              <w:rPr>
                <w:rFonts w:eastAsia="Calibri" w:cs="Times New Roman"/>
                <w:sz w:val="20"/>
                <w:szCs w:val="20"/>
                <w:lang w:val="en-GB"/>
              </w:rPr>
              <w:t>4</w:t>
            </w:r>
            <w:r w:rsidR="00F5634A" w:rsidRPr="00F66DD0">
              <w:rPr>
                <w:rFonts w:eastAsia="Calibri" w:cs="Times New Roman"/>
                <w:sz w:val="20"/>
                <w:szCs w:val="20"/>
                <w:lang w:val="en-GB"/>
              </w:rPr>
              <w:t xml:space="preserve"> ± 0.</w:t>
            </w:r>
            <w:r w:rsidR="00235413">
              <w:rPr>
                <w:rFonts w:eastAsia="Calibri" w:cs="Times New Roman"/>
                <w:sz w:val="20"/>
                <w:szCs w:val="20"/>
                <w:lang w:val="en-GB"/>
              </w:rPr>
              <w:t>15</w:t>
            </w:r>
          </w:p>
        </w:tc>
        <w:tc>
          <w:tcPr>
            <w:tcW w:w="1157" w:type="dxa"/>
            <w:tcBorders>
              <w:top w:val="single" w:sz="4" w:space="0" w:color="auto"/>
              <w:bottom w:val="single" w:sz="4" w:space="0" w:color="auto"/>
            </w:tcBorders>
            <w:vAlign w:val="center"/>
          </w:tcPr>
          <w:p w14:paraId="5F77C22D" w14:textId="15555CD4" w:rsidR="00AE1A58" w:rsidRPr="00F66DD0" w:rsidRDefault="0047297F" w:rsidP="00AE1A58">
            <w:pPr>
              <w:spacing w:before="0" w:after="0"/>
              <w:jc w:val="center"/>
              <w:rPr>
                <w:rFonts w:eastAsia="Calibri" w:cs="Times New Roman"/>
                <w:sz w:val="20"/>
                <w:szCs w:val="20"/>
                <w:lang w:val="en-GB"/>
              </w:rPr>
            </w:pPr>
            <w:r w:rsidRPr="00F66DD0">
              <w:rPr>
                <w:rFonts w:eastAsia="Calibri" w:cs="Times New Roman"/>
                <w:sz w:val="20"/>
                <w:szCs w:val="20"/>
                <w:lang w:val="en-GB"/>
              </w:rPr>
              <w:t>120</w:t>
            </w:r>
            <w:r w:rsidR="00727BB6" w:rsidRPr="00F66DD0">
              <w:rPr>
                <w:rFonts w:eastAsia="Calibri" w:cs="Times New Roman"/>
                <w:sz w:val="20"/>
                <w:szCs w:val="20"/>
                <w:lang w:val="en-GB"/>
              </w:rPr>
              <w:t xml:space="preserve"> ± </w:t>
            </w:r>
            <w:r w:rsidR="008068AF">
              <w:rPr>
                <w:rFonts w:eastAsia="Calibri" w:cs="Times New Roman"/>
                <w:sz w:val="20"/>
                <w:szCs w:val="20"/>
                <w:lang w:val="en-GB"/>
              </w:rPr>
              <w:t>5.0</w:t>
            </w:r>
          </w:p>
        </w:tc>
        <w:tc>
          <w:tcPr>
            <w:tcW w:w="1157" w:type="dxa"/>
            <w:tcBorders>
              <w:top w:val="single" w:sz="4" w:space="0" w:color="auto"/>
              <w:bottom w:val="single" w:sz="4" w:space="0" w:color="auto"/>
            </w:tcBorders>
            <w:vAlign w:val="center"/>
          </w:tcPr>
          <w:p w14:paraId="10612320"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448" w:type="dxa"/>
            <w:tcBorders>
              <w:top w:val="single" w:sz="4" w:space="0" w:color="auto"/>
              <w:bottom w:val="single" w:sz="4" w:space="0" w:color="auto"/>
            </w:tcBorders>
            <w:vAlign w:val="center"/>
          </w:tcPr>
          <w:p w14:paraId="798D2FE1" w14:textId="5C9082CB"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w:t>
            </w:r>
            <w:r w:rsidR="0047297F" w:rsidRPr="00F66DD0">
              <w:rPr>
                <w:rFonts w:eastAsia="Calibri" w:cs="Times New Roman"/>
                <w:sz w:val="20"/>
                <w:szCs w:val="20"/>
                <w:lang w:val="en-GB"/>
              </w:rPr>
              <w:t>62</w:t>
            </w:r>
            <w:r w:rsidR="00727BB6" w:rsidRPr="00F66DD0">
              <w:rPr>
                <w:rFonts w:eastAsia="Calibri" w:cs="Times New Roman"/>
                <w:sz w:val="20"/>
                <w:szCs w:val="20"/>
                <w:lang w:val="en-GB"/>
              </w:rPr>
              <w:t xml:space="preserve"> ± 0.0</w:t>
            </w:r>
            <w:r w:rsidR="002C6C52">
              <w:rPr>
                <w:rFonts w:eastAsia="Calibri" w:cs="Times New Roman"/>
                <w:sz w:val="20"/>
                <w:szCs w:val="20"/>
                <w:lang w:val="en-GB"/>
              </w:rPr>
              <w:t>4</w:t>
            </w:r>
          </w:p>
        </w:tc>
        <w:tc>
          <w:tcPr>
            <w:tcW w:w="1012" w:type="dxa"/>
            <w:tcBorders>
              <w:top w:val="single" w:sz="4" w:space="0" w:color="auto"/>
              <w:bottom w:val="single" w:sz="4" w:space="0" w:color="auto"/>
              <w:right w:val="single" w:sz="4" w:space="0" w:color="auto"/>
            </w:tcBorders>
            <w:vAlign w:val="center"/>
          </w:tcPr>
          <w:p w14:paraId="3872BFDA"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AE1A58" w:rsidRPr="00F66DD0" w14:paraId="0C029785" w14:textId="77777777" w:rsidTr="00A87583">
        <w:trPr>
          <w:trHeight w:val="359"/>
        </w:trPr>
        <w:tc>
          <w:tcPr>
            <w:tcW w:w="999" w:type="dxa"/>
            <w:tcBorders>
              <w:top w:val="single" w:sz="4" w:space="0" w:color="auto"/>
              <w:left w:val="single" w:sz="4" w:space="0" w:color="auto"/>
              <w:bottom w:val="single" w:sz="4" w:space="0" w:color="auto"/>
            </w:tcBorders>
            <w:vAlign w:val="center"/>
          </w:tcPr>
          <w:p w14:paraId="45E67926" w14:textId="4E73B96B"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0.02</w:t>
            </w:r>
            <w:r w:rsidR="00174FB2" w:rsidRPr="00F66DD0">
              <w:rPr>
                <w:rFonts w:eastAsia="Calibri" w:cs="Times New Roman"/>
                <w:sz w:val="20"/>
                <w:szCs w:val="20"/>
                <w:lang w:val="en-GB"/>
              </w:rPr>
              <w:t>7</w:t>
            </w:r>
            <w:r w:rsidRPr="00F66DD0">
              <w:rPr>
                <w:rFonts w:eastAsia="Calibri" w:cs="Times New Roman"/>
                <w:sz w:val="20"/>
                <w:szCs w:val="20"/>
                <w:lang w:val="en-GB"/>
              </w:rPr>
              <w:t>+ 24h SM</w:t>
            </w:r>
          </w:p>
        </w:tc>
        <w:tc>
          <w:tcPr>
            <w:tcW w:w="1167" w:type="dxa"/>
            <w:tcBorders>
              <w:top w:val="single" w:sz="4" w:space="0" w:color="auto"/>
              <w:bottom w:val="single" w:sz="4" w:space="0" w:color="auto"/>
            </w:tcBorders>
            <w:vAlign w:val="center"/>
          </w:tcPr>
          <w:p w14:paraId="35C28630" w14:textId="45166EE4"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6.2</w:t>
            </w:r>
            <w:r w:rsidR="00F46B96" w:rsidRPr="00F66DD0">
              <w:rPr>
                <w:rFonts w:eastAsia="Calibri" w:cs="Times New Roman"/>
                <w:sz w:val="20"/>
                <w:szCs w:val="20"/>
                <w:lang w:val="en-GB"/>
              </w:rPr>
              <w:t xml:space="preserve"> ± 1.05</w:t>
            </w:r>
          </w:p>
        </w:tc>
        <w:tc>
          <w:tcPr>
            <w:tcW w:w="1157" w:type="dxa"/>
            <w:tcBorders>
              <w:top w:val="single" w:sz="4" w:space="0" w:color="auto"/>
              <w:bottom w:val="single" w:sz="4" w:space="0" w:color="auto"/>
            </w:tcBorders>
            <w:vAlign w:val="center"/>
          </w:tcPr>
          <w:p w14:paraId="02A2C20C" w14:textId="1911CB6B"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w:t>
            </w:r>
            <w:r w:rsidR="0047297F" w:rsidRPr="00F66DD0">
              <w:rPr>
                <w:rFonts w:eastAsia="Calibri" w:cs="Times New Roman"/>
                <w:sz w:val="20"/>
                <w:szCs w:val="20"/>
                <w:lang w:val="en-GB"/>
              </w:rPr>
              <w:t>33</w:t>
            </w:r>
            <w:r w:rsidR="00F5634A" w:rsidRPr="00F66DD0">
              <w:rPr>
                <w:rFonts w:eastAsia="Calibri" w:cs="Times New Roman"/>
                <w:sz w:val="20"/>
                <w:szCs w:val="20"/>
                <w:lang w:val="en-GB"/>
              </w:rPr>
              <w:t xml:space="preserve"> ± 0.28</w:t>
            </w:r>
          </w:p>
        </w:tc>
        <w:tc>
          <w:tcPr>
            <w:tcW w:w="867" w:type="dxa"/>
            <w:tcBorders>
              <w:top w:val="single" w:sz="4" w:space="0" w:color="auto"/>
              <w:bottom w:val="single" w:sz="4" w:space="0" w:color="auto"/>
            </w:tcBorders>
            <w:vAlign w:val="center"/>
          </w:tcPr>
          <w:p w14:paraId="38FAFB56"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0.004</w:t>
            </w:r>
          </w:p>
        </w:tc>
        <w:tc>
          <w:tcPr>
            <w:tcW w:w="1157" w:type="dxa"/>
            <w:tcBorders>
              <w:top w:val="single" w:sz="4" w:space="0" w:color="auto"/>
              <w:bottom w:val="single" w:sz="4" w:space="0" w:color="auto"/>
            </w:tcBorders>
            <w:vAlign w:val="center"/>
          </w:tcPr>
          <w:p w14:paraId="0F88D5D5" w14:textId="6E0D6F2B"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1.3</w:t>
            </w:r>
            <w:r w:rsidR="0047297F" w:rsidRPr="00F66DD0">
              <w:rPr>
                <w:rFonts w:eastAsia="Calibri" w:cs="Times New Roman"/>
                <w:sz w:val="20"/>
                <w:szCs w:val="20"/>
                <w:lang w:val="en-GB"/>
              </w:rPr>
              <w:t>0</w:t>
            </w:r>
            <w:r w:rsidR="00F5634A" w:rsidRPr="00F66DD0">
              <w:rPr>
                <w:rFonts w:eastAsia="Calibri" w:cs="Times New Roman"/>
                <w:sz w:val="20"/>
                <w:szCs w:val="20"/>
                <w:lang w:val="en-GB"/>
              </w:rPr>
              <w:t xml:space="preserve"> ± 0.2</w:t>
            </w:r>
            <w:r w:rsidR="00235413">
              <w:rPr>
                <w:rFonts w:eastAsia="Calibri" w:cs="Times New Roman"/>
                <w:sz w:val="20"/>
                <w:szCs w:val="20"/>
                <w:lang w:val="en-GB"/>
              </w:rPr>
              <w:t>0</w:t>
            </w:r>
          </w:p>
        </w:tc>
        <w:tc>
          <w:tcPr>
            <w:tcW w:w="1157" w:type="dxa"/>
            <w:tcBorders>
              <w:top w:val="single" w:sz="4" w:space="0" w:color="auto"/>
              <w:bottom w:val="single" w:sz="4" w:space="0" w:color="auto"/>
            </w:tcBorders>
            <w:vAlign w:val="center"/>
          </w:tcPr>
          <w:p w14:paraId="0F8010B7" w14:textId="06385079" w:rsidR="00AE1A58" w:rsidRPr="00F66DD0" w:rsidRDefault="0047297F" w:rsidP="00AE1A58">
            <w:pPr>
              <w:spacing w:before="0" w:after="0"/>
              <w:jc w:val="center"/>
              <w:rPr>
                <w:rFonts w:eastAsia="Calibri" w:cs="Times New Roman"/>
                <w:sz w:val="20"/>
                <w:szCs w:val="20"/>
                <w:lang w:val="en-GB"/>
              </w:rPr>
            </w:pPr>
            <w:r w:rsidRPr="00F66DD0">
              <w:rPr>
                <w:rFonts w:eastAsia="Calibri" w:cs="Times New Roman"/>
                <w:sz w:val="20"/>
                <w:szCs w:val="20"/>
                <w:lang w:val="en-GB"/>
              </w:rPr>
              <w:t>120</w:t>
            </w:r>
            <w:r w:rsidR="00727BB6" w:rsidRPr="00F66DD0">
              <w:rPr>
                <w:rFonts w:eastAsia="Calibri" w:cs="Times New Roman"/>
                <w:sz w:val="20"/>
                <w:szCs w:val="20"/>
                <w:lang w:val="en-GB"/>
              </w:rPr>
              <w:t xml:space="preserve"> ± </w:t>
            </w:r>
            <w:r w:rsidR="008068AF">
              <w:rPr>
                <w:rFonts w:eastAsia="Calibri" w:cs="Times New Roman"/>
                <w:sz w:val="20"/>
                <w:szCs w:val="20"/>
                <w:lang w:val="en-GB"/>
              </w:rPr>
              <w:t>10.0</w:t>
            </w:r>
          </w:p>
        </w:tc>
        <w:tc>
          <w:tcPr>
            <w:tcW w:w="1157" w:type="dxa"/>
            <w:tcBorders>
              <w:top w:val="single" w:sz="4" w:space="0" w:color="auto"/>
              <w:bottom w:val="single" w:sz="4" w:space="0" w:color="auto"/>
            </w:tcBorders>
            <w:vAlign w:val="center"/>
          </w:tcPr>
          <w:p w14:paraId="3F0E0922"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448" w:type="dxa"/>
            <w:tcBorders>
              <w:top w:val="single" w:sz="4" w:space="0" w:color="auto"/>
              <w:bottom w:val="single" w:sz="4" w:space="0" w:color="auto"/>
            </w:tcBorders>
            <w:vAlign w:val="center"/>
          </w:tcPr>
          <w:p w14:paraId="1881303A" w14:textId="79D117C7" w:rsidR="00AE1A58" w:rsidRPr="00F66DD0" w:rsidRDefault="0047297F" w:rsidP="00AE1A58">
            <w:pPr>
              <w:spacing w:before="0" w:after="0"/>
              <w:jc w:val="center"/>
              <w:rPr>
                <w:rFonts w:eastAsia="Calibri" w:cs="Times New Roman"/>
                <w:sz w:val="20"/>
                <w:szCs w:val="20"/>
                <w:lang w:val="en-GB"/>
              </w:rPr>
            </w:pPr>
            <w:r w:rsidRPr="00F66DD0">
              <w:rPr>
                <w:rFonts w:eastAsia="Calibri" w:cs="Times New Roman"/>
                <w:sz w:val="20"/>
                <w:szCs w:val="20"/>
                <w:lang w:val="en-GB"/>
              </w:rPr>
              <w:t>1.44</w:t>
            </w:r>
            <w:r w:rsidR="00727BB6" w:rsidRPr="00F66DD0">
              <w:rPr>
                <w:rFonts w:eastAsia="Calibri" w:cs="Times New Roman"/>
                <w:sz w:val="20"/>
                <w:szCs w:val="20"/>
                <w:lang w:val="en-GB"/>
              </w:rPr>
              <w:t xml:space="preserve"> ± 0.</w:t>
            </w:r>
            <w:r w:rsidR="002C6C52">
              <w:rPr>
                <w:rFonts w:eastAsia="Calibri" w:cs="Times New Roman"/>
                <w:sz w:val="20"/>
                <w:szCs w:val="20"/>
                <w:lang w:val="en-GB"/>
              </w:rPr>
              <w:t>04</w:t>
            </w:r>
          </w:p>
        </w:tc>
        <w:tc>
          <w:tcPr>
            <w:tcW w:w="1012" w:type="dxa"/>
            <w:tcBorders>
              <w:top w:val="single" w:sz="4" w:space="0" w:color="auto"/>
              <w:bottom w:val="single" w:sz="4" w:space="0" w:color="auto"/>
              <w:right w:val="single" w:sz="4" w:space="0" w:color="auto"/>
            </w:tcBorders>
            <w:vAlign w:val="center"/>
          </w:tcPr>
          <w:p w14:paraId="2F23D080"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bl>
    <w:p w14:paraId="5A7B74B3" w14:textId="77777777" w:rsidR="00AE1A58" w:rsidRPr="00F66DD0" w:rsidRDefault="00AE1A58" w:rsidP="00AE1A58">
      <w:pPr>
        <w:spacing w:before="0" w:after="160" w:line="259" w:lineRule="auto"/>
        <w:rPr>
          <w:sz w:val="22"/>
        </w:rPr>
      </w:pPr>
    </w:p>
    <w:p w14:paraId="24DC66AE" w14:textId="77777777" w:rsidR="00AE1A58" w:rsidRPr="00F66DD0" w:rsidRDefault="00AE1A58">
      <w:pPr>
        <w:spacing w:before="0" w:after="160" w:line="259" w:lineRule="auto"/>
        <w:rPr>
          <w:rFonts w:cs="Times New Roman"/>
          <w:b/>
          <w:bCs/>
          <w:szCs w:val="24"/>
        </w:rPr>
      </w:pPr>
      <w:r w:rsidRPr="00F66DD0">
        <w:rPr>
          <w:rFonts w:cs="Times New Roman"/>
          <w:b/>
          <w:bCs/>
          <w:szCs w:val="24"/>
        </w:rPr>
        <w:br w:type="page"/>
      </w:r>
    </w:p>
    <w:p w14:paraId="4D38D762" w14:textId="288ABEC8" w:rsidR="00AE1A58" w:rsidRPr="00F66DD0" w:rsidRDefault="00AE1A58" w:rsidP="00AE1A58">
      <w:pPr>
        <w:keepNext/>
        <w:spacing w:line="480" w:lineRule="auto"/>
        <w:jc w:val="both"/>
        <w:rPr>
          <w:rFonts w:cs="Times New Roman"/>
          <w:b/>
          <w:bCs/>
          <w:sz w:val="20"/>
          <w:szCs w:val="20"/>
        </w:rPr>
      </w:pPr>
      <w:r w:rsidRPr="00F66DD0">
        <w:rPr>
          <w:rFonts w:cs="Times New Roman"/>
          <w:b/>
          <w:bCs/>
          <w:sz w:val="20"/>
          <w:szCs w:val="20"/>
        </w:rPr>
        <w:lastRenderedPageBreak/>
        <w:t xml:space="preserve">Table </w:t>
      </w:r>
      <w:r w:rsidR="00773474" w:rsidRPr="00F66DD0">
        <w:rPr>
          <w:rFonts w:cs="Times New Roman"/>
          <w:b/>
          <w:bCs/>
          <w:sz w:val="20"/>
          <w:szCs w:val="20"/>
        </w:rPr>
        <w:t xml:space="preserve">S3 </w:t>
      </w:r>
      <w:r w:rsidR="00E67070" w:rsidRPr="00E67070">
        <w:rPr>
          <w:rFonts w:cs="Times New Roman"/>
          <w:sz w:val="20"/>
          <w:szCs w:val="20"/>
        </w:rPr>
        <w:t>Initial concentration of bacteria (X), initial concentration of free phages (P₀), MOI, maximum concentration of infected cells (I</w:t>
      </w:r>
      <w:r w:rsidR="00E67070" w:rsidRPr="00E67070">
        <w:rPr>
          <w:rFonts w:cs="Times New Roman"/>
          <w:sz w:val="20"/>
          <w:szCs w:val="20"/>
          <w:vertAlign w:val="subscript"/>
        </w:rPr>
        <w:t>X</w:t>
      </w:r>
      <w:r w:rsidR="00E67070" w:rsidRPr="00E67070">
        <w:rPr>
          <w:rFonts w:cs="Times New Roman"/>
          <w:sz w:val="20"/>
          <w:szCs w:val="20"/>
        </w:rPr>
        <w:t>), and phage growth parameters determined from the data in Figure 4. The error bars represent ± SD of three independent biological replicates.</w:t>
      </w:r>
      <w:r w:rsidR="00A06331">
        <w:rPr>
          <w:rFonts w:cs="Times New Roman"/>
          <w:sz w:val="20"/>
          <w:szCs w:val="20"/>
        </w:rPr>
        <w:t xml:space="preserve"> </w:t>
      </w:r>
      <w:r w:rsidR="00A06331" w:rsidRPr="00A06331">
        <w:rPr>
          <w:rFonts w:cs="Times New Roman"/>
          <w:sz w:val="20"/>
          <w:szCs w:val="20"/>
        </w:rPr>
        <w:t>Statistical analyses included: Student’s t-test for LB medium (0 h vs. 24 h), one-way ANOVA for SM buffer experiments (0–48 h), and two-way ANOVA for the combined effects of incubation time (0 h vs. 24 h) and medium (LB vs. SM). Detailed p-values and post-hoc comparisons can be found in the Results section.</w:t>
      </w:r>
    </w:p>
    <w:tbl>
      <w:tblPr>
        <w:tblStyle w:val="TableGrid2"/>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
        <w:gridCol w:w="1095"/>
        <w:gridCol w:w="1134"/>
        <w:gridCol w:w="1134"/>
        <w:gridCol w:w="850"/>
        <w:gridCol w:w="1276"/>
        <w:gridCol w:w="1134"/>
        <w:gridCol w:w="850"/>
        <w:gridCol w:w="1134"/>
        <w:gridCol w:w="851"/>
      </w:tblGrid>
      <w:tr w:rsidR="00DC704B" w:rsidRPr="00F66DD0" w14:paraId="5C94CA2E" w14:textId="77777777" w:rsidTr="00C01573">
        <w:trPr>
          <w:trHeight w:val="357"/>
        </w:trPr>
        <w:tc>
          <w:tcPr>
            <w:tcW w:w="465" w:type="dxa"/>
            <w:vMerge w:val="restart"/>
            <w:tcBorders>
              <w:top w:val="single" w:sz="4" w:space="0" w:color="auto"/>
              <w:left w:val="single" w:sz="4" w:space="0" w:color="auto"/>
              <w:right w:val="single" w:sz="4" w:space="0" w:color="auto"/>
            </w:tcBorders>
            <w:textDirection w:val="btLr"/>
          </w:tcPr>
          <w:p w14:paraId="18ABBB12" w14:textId="77777777" w:rsidR="00DC704B" w:rsidRPr="00F66DD0" w:rsidRDefault="00DC704B" w:rsidP="00DC704B">
            <w:pPr>
              <w:spacing w:before="0" w:after="0"/>
              <w:ind w:left="113" w:right="113"/>
              <w:jc w:val="center"/>
              <w:rPr>
                <w:rFonts w:eastAsia="Calibri" w:cs="Times New Roman"/>
                <w:b/>
                <w:bCs/>
                <w:sz w:val="20"/>
                <w:szCs w:val="20"/>
                <w:lang w:val="en-GB"/>
              </w:rPr>
            </w:pPr>
            <w:r w:rsidRPr="00F66DD0">
              <w:rPr>
                <w:rFonts w:eastAsia="Calibri" w:cs="Times New Roman"/>
                <w:b/>
                <w:bCs/>
                <w:sz w:val="20"/>
                <w:szCs w:val="20"/>
                <w:lang w:val="en-GB"/>
              </w:rPr>
              <w:t>LB medium</w:t>
            </w:r>
          </w:p>
        </w:tc>
        <w:tc>
          <w:tcPr>
            <w:tcW w:w="1095" w:type="dxa"/>
            <w:tcBorders>
              <w:top w:val="single" w:sz="4" w:space="0" w:color="auto"/>
              <w:left w:val="single" w:sz="4" w:space="0" w:color="auto"/>
              <w:bottom w:val="single" w:sz="4" w:space="0" w:color="auto"/>
              <w:right w:val="single" w:sz="4" w:space="0" w:color="auto"/>
            </w:tcBorders>
            <w:vAlign w:val="center"/>
          </w:tcPr>
          <w:p w14:paraId="0F346DAB"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Transfer time in LB medium (h)</w:t>
            </w:r>
          </w:p>
        </w:tc>
        <w:tc>
          <w:tcPr>
            <w:tcW w:w="1134" w:type="dxa"/>
            <w:tcBorders>
              <w:top w:val="single" w:sz="4" w:space="0" w:color="auto"/>
              <w:left w:val="single" w:sz="4" w:space="0" w:color="auto"/>
              <w:bottom w:val="single" w:sz="4" w:space="0" w:color="auto"/>
              <w:right w:val="single" w:sz="4" w:space="0" w:color="auto"/>
            </w:tcBorders>
            <w:vAlign w:val="center"/>
          </w:tcPr>
          <w:p w14:paraId="7B3A49A5" w14:textId="77777777" w:rsidR="00DC704B" w:rsidRPr="00F66DD0" w:rsidRDefault="00DC704B" w:rsidP="00DC704B">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X (10</w:t>
            </w:r>
            <w:r w:rsidRPr="00F66DD0">
              <w:rPr>
                <w:rFonts w:eastAsia="Calibri" w:cs="Times New Roman"/>
                <w:b/>
                <w:bCs/>
                <w:sz w:val="20"/>
                <w:szCs w:val="20"/>
                <w:vertAlign w:val="superscript"/>
                <w:lang w:val="en-GB"/>
              </w:rPr>
              <w:t>8</w:t>
            </w:r>
          </w:p>
          <w:p w14:paraId="69600193" w14:textId="688A4A42"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CFU ml</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1134" w:type="dxa"/>
            <w:tcBorders>
              <w:top w:val="single" w:sz="4" w:space="0" w:color="auto"/>
              <w:left w:val="single" w:sz="4" w:space="0" w:color="auto"/>
              <w:bottom w:val="single" w:sz="4" w:space="0" w:color="auto"/>
              <w:right w:val="single" w:sz="4" w:space="0" w:color="auto"/>
            </w:tcBorders>
            <w:vAlign w:val="center"/>
          </w:tcPr>
          <w:p w14:paraId="401A747C" w14:textId="77777777" w:rsidR="00DC704B" w:rsidRPr="00F66DD0" w:rsidRDefault="00DC704B" w:rsidP="00DC704B">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P</w:t>
            </w:r>
            <w:r w:rsidRPr="00F66DD0">
              <w:rPr>
                <w:rFonts w:eastAsia="Calibri" w:cs="Times New Roman"/>
                <w:b/>
                <w:bCs/>
                <w:sz w:val="20"/>
                <w:szCs w:val="20"/>
                <w:vertAlign w:val="subscript"/>
                <w:lang w:val="en-GB"/>
              </w:rPr>
              <w:t>0</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p>
          <w:p w14:paraId="2329570B" w14:textId="716BF084"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PFU ml</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850" w:type="dxa"/>
            <w:tcBorders>
              <w:top w:val="single" w:sz="4" w:space="0" w:color="auto"/>
              <w:left w:val="single" w:sz="4" w:space="0" w:color="auto"/>
              <w:bottom w:val="single" w:sz="4" w:space="0" w:color="auto"/>
              <w:right w:val="single" w:sz="4" w:space="0" w:color="auto"/>
            </w:tcBorders>
            <w:vAlign w:val="center"/>
          </w:tcPr>
          <w:p w14:paraId="03FD1764"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MOI (/)</w:t>
            </w:r>
          </w:p>
        </w:tc>
        <w:tc>
          <w:tcPr>
            <w:tcW w:w="1276" w:type="dxa"/>
            <w:tcBorders>
              <w:top w:val="single" w:sz="4" w:space="0" w:color="auto"/>
              <w:left w:val="single" w:sz="4" w:space="0" w:color="auto"/>
              <w:bottom w:val="single" w:sz="4" w:space="0" w:color="auto"/>
              <w:right w:val="single" w:sz="4" w:space="0" w:color="auto"/>
            </w:tcBorders>
            <w:vAlign w:val="center"/>
          </w:tcPr>
          <w:p w14:paraId="26061C64" w14:textId="77777777" w:rsidR="00DC704B" w:rsidRPr="00F66DD0" w:rsidRDefault="00DC704B" w:rsidP="00DC704B">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I</w:t>
            </w:r>
            <w:r w:rsidRPr="00F66DD0">
              <w:rPr>
                <w:rFonts w:eastAsia="Calibri" w:cs="Times New Roman"/>
                <w:b/>
                <w:bCs/>
                <w:sz w:val="20"/>
                <w:szCs w:val="20"/>
                <w:vertAlign w:val="subscript"/>
                <w:lang w:val="en-GB"/>
              </w:rPr>
              <w:t>X</w:t>
            </w:r>
            <w:r w:rsidRPr="00F66DD0">
              <w:rPr>
                <w:rFonts w:eastAsia="Calibri" w:cs="Times New Roman"/>
                <w:b/>
                <w:bCs/>
                <w:sz w:val="20"/>
                <w:szCs w:val="20"/>
                <w:lang w:val="en-GB"/>
              </w:rPr>
              <w:t xml:space="preserve"> (10</w:t>
            </w:r>
            <w:r w:rsidRPr="00F66DD0">
              <w:rPr>
                <w:rFonts w:eastAsia="Calibri" w:cs="Times New Roman"/>
                <w:b/>
                <w:bCs/>
                <w:sz w:val="20"/>
                <w:szCs w:val="20"/>
                <w:vertAlign w:val="superscript"/>
                <w:lang w:val="en-GB"/>
              </w:rPr>
              <w:t>6</w:t>
            </w:r>
          </w:p>
          <w:p w14:paraId="1F771B5E" w14:textId="091EAB8E"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PFU ml</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1134" w:type="dxa"/>
            <w:tcBorders>
              <w:top w:val="single" w:sz="4" w:space="0" w:color="auto"/>
              <w:left w:val="single" w:sz="4" w:space="0" w:color="auto"/>
              <w:bottom w:val="single" w:sz="4" w:space="0" w:color="auto"/>
              <w:right w:val="single" w:sz="4" w:space="0" w:color="auto"/>
            </w:tcBorders>
            <w:vAlign w:val="center"/>
          </w:tcPr>
          <w:p w14:paraId="376195ED" w14:textId="795935E4"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LP (min)</w:t>
            </w:r>
          </w:p>
        </w:tc>
        <w:tc>
          <w:tcPr>
            <w:tcW w:w="850" w:type="dxa"/>
            <w:tcBorders>
              <w:top w:val="single" w:sz="4" w:space="0" w:color="auto"/>
              <w:left w:val="single" w:sz="4" w:space="0" w:color="auto"/>
              <w:bottom w:val="single" w:sz="4" w:space="0" w:color="auto"/>
              <w:right w:val="single" w:sz="4" w:space="0" w:color="auto"/>
            </w:tcBorders>
            <w:vAlign w:val="center"/>
          </w:tcPr>
          <w:p w14:paraId="35C18874"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BS (/)</w:t>
            </w:r>
          </w:p>
        </w:tc>
        <w:tc>
          <w:tcPr>
            <w:tcW w:w="1134" w:type="dxa"/>
            <w:tcBorders>
              <w:top w:val="single" w:sz="4" w:space="0" w:color="auto"/>
              <w:left w:val="single" w:sz="4" w:space="0" w:color="auto"/>
              <w:bottom w:val="single" w:sz="4" w:space="0" w:color="auto"/>
              <w:right w:val="single" w:sz="4" w:space="0" w:color="auto"/>
            </w:tcBorders>
            <w:vAlign w:val="center"/>
          </w:tcPr>
          <w:p w14:paraId="092C6375"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Ka </w:t>
            </w:r>
          </w:p>
          <w:p w14:paraId="06F03E99" w14:textId="77777777" w:rsidR="00DC704B" w:rsidRPr="00F66DD0" w:rsidRDefault="00DC704B" w:rsidP="00DC704B">
            <w:pPr>
              <w:spacing w:before="0" w:after="0"/>
              <w:jc w:val="center"/>
              <w:rPr>
                <w:rFonts w:eastAsia="Calibri" w:cs="Times New Roman"/>
                <w:b/>
                <w:bCs/>
                <w:sz w:val="20"/>
                <w:szCs w:val="20"/>
                <w:vertAlign w:val="superscript"/>
                <w:lang w:val="en-GB"/>
              </w:rPr>
            </w:pPr>
            <w:r w:rsidRPr="00F66DD0">
              <w:rPr>
                <w:rFonts w:eastAsia="Calibri" w:cs="Times New Roman"/>
                <w:b/>
                <w:bCs/>
                <w:sz w:val="20"/>
                <w:szCs w:val="20"/>
                <w:lang w:val="en-GB"/>
              </w:rPr>
              <w:t>(10</w:t>
            </w:r>
            <w:r w:rsidRPr="00F66DD0">
              <w:rPr>
                <w:rFonts w:eastAsia="Calibri" w:cs="Times New Roman"/>
                <w:b/>
                <w:bCs/>
                <w:sz w:val="20"/>
                <w:szCs w:val="20"/>
                <w:vertAlign w:val="superscript"/>
                <w:lang w:val="en-GB"/>
              </w:rPr>
              <w:t xml:space="preserve">-8 </w:t>
            </w:r>
          </w:p>
          <w:p w14:paraId="7F76EF6C" w14:textId="1CD3EEB9"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ml CFU</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 xml:space="preserve"> h</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c>
          <w:tcPr>
            <w:tcW w:w="851" w:type="dxa"/>
            <w:tcBorders>
              <w:top w:val="single" w:sz="4" w:space="0" w:color="auto"/>
              <w:left w:val="single" w:sz="4" w:space="0" w:color="auto"/>
              <w:bottom w:val="single" w:sz="4" w:space="0" w:color="auto"/>
              <w:right w:val="single" w:sz="4" w:space="0" w:color="auto"/>
            </w:tcBorders>
            <w:vAlign w:val="center"/>
          </w:tcPr>
          <w:p w14:paraId="10CC000B"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 xml:space="preserve">F </w:t>
            </w:r>
          </w:p>
          <w:p w14:paraId="7D2A5892" w14:textId="77777777" w:rsidR="00DC704B" w:rsidRPr="00F66DD0" w:rsidRDefault="00DC704B" w:rsidP="00DC704B">
            <w:pPr>
              <w:spacing w:before="0" w:after="0"/>
              <w:jc w:val="center"/>
              <w:rPr>
                <w:rFonts w:eastAsia="Calibri" w:cs="Times New Roman"/>
                <w:b/>
                <w:bCs/>
                <w:sz w:val="20"/>
                <w:szCs w:val="20"/>
                <w:lang w:val="en-GB"/>
              </w:rPr>
            </w:pPr>
            <w:r w:rsidRPr="00F66DD0">
              <w:rPr>
                <w:rFonts w:eastAsia="Calibri" w:cs="Times New Roman"/>
                <w:b/>
                <w:bCs/>
                <w:sz w:val="20"/>
                <w:szCs w:val="20"/>
                <w:lang w:val="en-GB"/>
              </w:rPr>
              <w:t>(h</w:t>
            </w:r>
            <w:r w:rsidRPr="00F66DD0">
              <w:rPr>
                <w:rFonts w:eastAsia="Calibri" w:cs="Times New Roman"/>
                <w:b/>
                <w:bCs/>
                <w:sz w:val="20"/>
                <w:szCs w:val="20"/>
                <w:vertAlign w:val="superscript"/>
                <w:lang w:val="en-GB"/>
              </w:rPr>
              <w:t>-1</w:t>
            </w:r>
            <w:r w:rsidRPr="00F66DD0">
              <w:rPr>
                <w:rFonts w:eastAsia="Calibri" w:cs="Times New Roman"/>
                <w:b/>
                <w:bCs/>
                <w:sz w:val="20"/>
                <w:szCs w:val="20"/>
                <w:lang w:val="en-GB"/>
              </w:rPr>
              <w:t>)</w:t>
            </w:r>
          </w:p>
        </w:tc>
      </w:tr>
      <w:tr w:rsidR="00DC704B" w:rsidRPr="00F66DD0" w14:paraId="3E98AA34" w14:textId="77777777" w:rsidTr="00C01573">
        <w:trPr>
          <w:trHeight w:val="357"/>
        </w:trPr>
        <w:tc>
          <w:tcPr>
            <w:tcW w:w="465" w:type="dxa"/>
            <w:vMerge/>
            <w:tcBorders>
              <w:left w:val="single" w:sz="4" w:space="0" w:color="auto"/>
              <w:right w:val="single" w:sz="4" w:space="0" w:color="auto"/>
            </w:tcBorders>
          </w:tcPr>
          <w:p w14:paraId="531D2B57"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21148046"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w:t>
            </w:r>
          </w:p>
        </w:tc>
        <w:tc>
          <w:tcPr>
            <w:tcW w:w="1134" w:type="dxa"/>
            <w:tcBorders>
              <w:top w:val="single" w:sz="4" w:space="0" w:color="auto"/>
              <w:bottom w:val="single" w:sz="4" w:space="0" w:color="auto"/>
            </w:tcBorders>
            <w:vAlign w:val="center"/>
          </w:tcPr>
          <w:p w14:paraId="2A89C4D7" w14:textId="29C38654"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5.0</w:t>
            </w:r>
            <w:r w:rsidR="009A5451" w:rsidRPr="00F66DD0">
              <w:rPr>
                <w:rFonts w:eastAsia="Calibri" w:cs="Times New Roman"/>
                <w:sz w:val="20"/>
                <w:szCs w:val="20"/>
                <w:lang w:val="en-GB"/>
              </w:rPr>
              <w:t>0</w:t>
            </w:r>
            <w:r w:rsidR="00EB3F1D" w:rsidRPr="00F66DD0">
              <w:rPr>
                <w:rFonts w:eastAsia="Calibri" w:cs="Times New Roman"/>
                <w:sz w:val="20"/>
                <w:szCs w:val="20"/>
                <w:lang w:val="en-GB"/>
              </w:rPr>
              <w:t xml:space="preserve"> ± 0.40</w:t>
            </w:r>
          </w:p>
        </w:tc>
        <w:tc>
          <w:tcPr>
            <w:tcW w:w="1134" w:type="dxa"/>
            <w:tcBorders>
              <w:top w:val="single" w:sz="4" w:space="0" w:color="auto"/>
              <w:bottom w:val="single" w:sz="4" w:space="0" w:color="auto"/>
            </w:tcBorders>
            <w:vAlign w:val="center"/>
          </w:tcPr>
          <w:p w14:paraId="0251238E" w14:textId="6C51E8F1"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1.98</w:t>
            </w:r>
            <w:r w:rsidR="00EB3F1D" w:rsidRPr="00F66DD0">
              <w:rPr>
                <w:rFonts w:eastAsia="Calibri" w:cs="Times New Roman"/>
                <w:sz w:val="20"/>
                <w:szCs w:val="20"/>
                <w:lang w:val="en-GB"/>
              </w:rPr>
              <w:t xml:space="preserve"> ± 0.04</w:t>
            </w:r>
          </w:p>
        </w:tc>
        <w:tc>
          <w:tcPr>
            <w:tcW w:w="850" w:type="dxa"/>
            <w:tcBorders>
              <w:top w:val="single" w:sz="4" w:space="0" w:color="auto"/>
              <w:bottom w:val="single" w:sz="4" w:space="0" w:color="auto"/>
            </w:tcBorders>
            <w:vAlign w:val="center"/>
          </w:tcPr>
          <w:p w14:paraId="7DCDC1F1" w14:textId="1D624FA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0.004</w:t>
            </w:r>
            <w:r w:rsidR="00EB3F1D" w:rsidRPr="00F66DD0">
              <w:rPr>
                <w:rFonts w:eastAsia="Calibri" w:cs="Times New Roman"/>
                <w:sz w:val="20"/>
                <w:szCs w:val="20"/>
                <w:lang w:val="en-GB"/>
              </w:rPr>
              <w:t xml:space="preserve"> </w:t>
            </w:r>
          </w:p>
        </w:tc>
        <w:tc>
          <w:tcPr>
            <w:tcW w:w="1276" w:type="dxa"/>
            <w:tcBorders>
              <w:top w:val="single" w:sz="4" w:space="0" w:color="auto"/>
              <w:bottom w:val="single" w:sz="4" w:space="0" w:color="auto"/>
            </w:tcBorders>
            <w:vAlign w:val="center"/>
          </w:tcPr>
          <w:p w14:paraId="59964612" w14:textId="6B3BDBFE"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w:t>
            </w:r>
            <w:r w:rsidR="009A5451" w:rsidRPr="00F66DD0">
              <w:rPr>
                <w:rFonts w:eastAsia="Calibri" w:cs="Times New Roman"/>
                <w:sz w:val="20"/>
                <w:szCs w:val="20"/>
                <w:lang w:val="en-GB"/>
              </w:rPr>
              <w:t>36</w:t>
            </w:r>
            <w:r w:rsidR="00EB3F1D" w:rsidRPr="00F66DD0">
              <w:rPr>
                <w:rFonts w:eastAsia="Calibri" w:cs="Times New Roman"/>
                <w:sz w:val="20"/>
                <w:szCs w:val="20"/>
                <w:lang w:val="en-GB"/>
              </w:rPr>
              <w:t xml:space="preserve"> ± 0.0</w:t>
            </w:r>
            <w:r w:rsidR="00C01573">
              <w:rPr>
                <w:rFonts w:eastAsia="Calibri" w:cs="Times New Roman"/>
                <w:sz w:val="20"/>
                <w:szCs w:val="20"/>
                <w:lang w:val="en-GB"/>
              </w:rPr>
              <w:t>6</w:t>
            </w:r>
          </w:p>
        </w:tc>
        <w:tc>
          <w:tcPr>
            <w:tcW w:w="1134" w:type="dxa"/>
            <w:tcBorders>
              <w:top w:val="single" w:sz="4" w:space="0" w:color="auto"/>
              <w:bottom w:val="single" w:sz="4" w:space="0" w:color="auto"/>
            </w:tcBorders>
            <w:vAlign w:val="center"/>
          </w:tcPr>
          <w:p w14:paraId="750AF355" w14:textId="60A2670A" w:rsidR="00AE1A58" w:rsidRPr="00F66DD0" w:rsidRDefault="009A5451" w:rsidP="00AE1A58">
            <w:pPr>
              <w:spacing w:before="0" w:after="0"/>
              <w:jc w:val="center"/>
              <w:rPr>
                <w:rFonts w:eastAsia="Calibri" w:cs="Times New Roman"/>
                <w:sz w:val="20"/>
                <w:szCs w:val="20"/>
                <w:lang w:val="en-GB"/>
              </w:rPr>
            </w:pPr>
            <w:r w:rsidRPr="00F66DD0">
              <w:rPr>
                <w:rFonts w:eastAsia="Calibri" w:cs="Times New Roman"/>
                <w:sz w:val="20"/>
                <w:szCs w:val="20"/>
                <w:lang w:val="en-GB"/>
              </w:rPr>
              <w:t>27.5</w:t>
            </w:r>
            <w:r w:rsidR="00EB3F1D" w:rsidRPr="00F66DD0">
              <w:rPr>
                <w:rFonts w:eastAsia="Calibri" w:cs="Times New Roman"/>
                <w:sz w:val="20"/>
                <w:szCs w:val="20"/>
                <w:lang w:val="en-GB"/>
              </w:rPr>
              <w:t xml:space="preserve"> ± </w:t>
            </w:r>
            <w:r w:rsidR="00DC704B" w:rsidRPr="00F66DD0">
              <w:rPr>
                <w:rFonts w:eastAsia="Calibri" w:cs="Times New Roman"/>
                <w:sz w:val="20"/>
                <w:szCs w:val="20"/>
                <w:lang w:val="en-GB"/>
              </w:rPr>
              <w:t>0.2</w:t>
            </w:r>
            <w:r w:rsidR="00C01573">
              <w:rPr>
                <w:rFonts w:eastAsia="Calibri" w:cs="Times New Roman"/>
                <w:sz w:val="20"/>
                <w:szCs w:val="20"/>
                <w:lang w:val="en-GB"/>
              </w:rPr>
              <w:t>5</w:t>
            </w:r>
          </w:p>
        </w:tc>
        <w:tc>
          <w:tcPr>
            <w:tcW w:w="850" w:type="dxa"/>
            <w:tcBorders>
              <w:top w:val="single" w:sz="4" w:space="0" w:color="auto"/>
              <w:bottom w:val="single" w:sz="4" w:space="0" w:color="auto"/>
            </w:tcBorders>
            <w:vAlign w:val="center"/>
          </w:tcPr>
          <w:p w14:paraId="4025F911" w14:textId="70AECC62"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6</w:t>
            </w:r>
            <w:r w:rsidR="009A5451" w:rsidRPr="00F66DD0">
              <w:rPr>
                <w:rFonts w:eastAsia="Calibri" w:cs="Times New Roman"/>
                <w:sz w:val="20"/>
                <w:szCs w:val="20"/>
                <w:lang w:val="en-GB"/>
              </w:rPr>
              <w:t>0.31</w:t>
            </w:r>
            <w:r w:rsidR="00DC704B" w:rsidRPr="00F66DD0">
              <w:rPr>
                <w:rFonts w:eastAsia="Calibri" w:cs="Times New Roman"/>
                <w:sz w:val="20"/>
                <w:szCs w:val="20"/>
                <w:lang w:val="en-GB"/>
              </w:rPr>
              <w:t xml:space="preserve"> ± 1.</w:t>
            </w:r>
            <w:r w:rsidR="00C01573">
              <w:rPr>
                <w:rFonts w:eastAsia="Calibri" w:cs="Times New Roman"/>
                <w:sz w:val="20"/>
                <w:szCs w:val="20"/>
                <w:lang w:val="en-GB"/>
              </w:rPr>
              <w:t>17</w:t>
            </w:r>
          </w:p>
        </w:tc>
        <w:tc>
          <w:tcPr>
            <w:tcW w:w="1134" w:type="dxa"/>
            <w:tcBorders>
              <w:top w:val="single" w:sz="4" w:space="0" w:color="auto"/>
              <w:bottom w:val="single" w:sz="4" w:space="0" w:color="auto"/>
            </w:tcBorders>
            <w:vAlign w:val="center"/>
          </w:tcPr>
          <w:p w14:paraId="0BD0DE51" w14:textId="4964D723"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2.28</w:t>
            </w:r>
            <w:r w:rsidR="00DC704B" w:rsidRPr="00F66DD0">
              <w:rPr>
                <w:rFonts w:eastAsia="Calibri" w:cs="Times New Roman"/>
                <w:sz w:val="20"/>
                <w:szCs w:val="20"/>
                <w:lang w:val="en-GB"/>
              </w:rPr>
              <w:t xml:space="preserve"> ± 0.2</w:t>
            </w:r>
            <w:r w:rsidR="00C01573">
              <w:rPr>
                <w:rFonts w:eastAsia="Calibri" w:cs="Times New Roman"/>
                <w:sz w:val="20"/>
                <w:szCs w:val="20"/>
                <w:lang w:val="en-GB"/>
              </w:rPr>
              <w:t>6</w:t>
            </w:r>
          </w:p>
        </w:tc>
        <w:tc>
          <w:tcPr>
            <w:tcW w:w="851" w:type="dxa"/>
            <w:tcBorders>
              <w:top w:val="single" w:sz="4" w:space="0" w:color="auto"/>
              <w:bottom w:val="single" w:sz="4" w:space="0" w:color="auto"/>
              <w:right w:val="single" w:sz="4" w:space="0" w:color="auto"/>
            </w:tcBorders>
            <w:vAlign w:val="center"/>
          </w:tcPr>
          <w:p w14:paraId="66ED746F" w14:textId="6DA9CF70" w:rsidR="00AE1A58" w:rsidRPr="00F66DD0" w:rsidRDefault="009A5451" w:rsidP="00AE1A58">
            <w:pPr>
              <w:spacing w:before="0" w:after="0"/>
              <w:jc w:val="center"/>
              <w:rPr>
                <w:rFonts w:eastAsia="Calibri" w:cs="Times New Roman"/>
                <w:sz w:val="20"/>
                <w:szCs w:val="20"/>
                <w:lang w:val="en-GB"/>
              </w:rPr>
            </w:pPr>
            <w:r w:rsidRPr="00F66DD0">
              <w:rPr>
                <w:rFonts w:eastAsia="Calibri" w:cs="Times New Roman"/>
                <w:sz w:val="20"/>
                <w:szCs w:val="20"/>
                <w:lang w:val="en-GB"/>
              </w:rPr>
              <w:t>7.51</w:t>
            </w:r>
            <w:r w:rsidR="00DC704B" w:rsidRPr="00F66DD0">
              <w:rPr>
                <w:rFonts w:eastAsia="Calibri" w:cs="Times New Roman"/>
                <w:sz w:val="20"/>
                <w:szCs w:val="20"/>
                <w:lang w:val="en-GB"/>
              </w:rPr>
              <w:t xml:space="preserve"> ± 0.0</w:t>
            </w:r>
            <w:r w:rsidR="00C01573">
              <w:rPr>
                <w:rFonts w:eastAsia="Calibri" w:cs="Times New Roman"/>
                <w:sz w:val="20"/>
                <w:szCs w:val="20"/>
                <w:lang w:val="en-GB"/>
              </w:rPr>
              <w:t>7</w:t>
            </w:r>
          </w:p>
        </w:tc>
      </w:tr>
      <w:tr w:rsidR="00DC704B" w:rsidRPr="00F66DD0" w14:paraId="746599C7" w14:textId="77777777" w:rsidTr="00C01573">
        <w:trPr>
          <w:trHeight w:val="357"/>
        </w:trPr>
        <w:tc>
          <w:tcPr>
            <w:tcW w:w="465" w:type="dxa"/>
            <w:vMerge/>
            <w:tcBorders>
              <w:left w:val="single" w:sz="4" w:space="0" w:color="auto"/>
              <w:bottom w:val="single" w:sz="4" w:space="0" w:color="auto"/>
              <w:right w:val="single" w:sz="4" w:space="0" w:color="auto"/>
            </w:tcBorders>
          </w:tcPr>
          <w:p w14:paraId="01C66B9B"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341ABD33" w14:textId="77777777" w:rsidR="00AE1A58" w:rsidRPr="00F66DD0" w:rsidRDefault="00AE1A58" w:rsidP="00AE1A58">
            <w:pPr>
              <w:spacing w:before="0" w:after="0"/>
              <w:jc w:val="center"/>
              <w:rPr>
                <w:rFonts w:eastAsia="Calibri" w:cs="Times New Roman"/>
                <w:sz w:val="20"/>
                <w:szCs w:val="20"/>
                <w:lang w:val="en-GB"/>
              </w:rPr>
            </w:pPr>
          </w:p>
        </w:tc>
        <w:tc>
          <w:tcPr>
            <w:tcW w:w="1134" w:type="dxa"/>
            <w:tcBorders>
              <w:top w:val="single" w:sz="4" w:space="0" w:color="auto"/>
              <w:bottom w:val="single" w:sz="4" w:space="0" w:color="auto"/>
            </w:tcBorders>
            <w:vAlign w:val="center"/>
          </w:tcPr>
          <w:p w14:paraId="00D92799" w14:textId="77777777" w:rsidR="00AE1A58" w:rsidRPr="00F66DD0" w:rsidRDefault="00AE1A58" w:rsidP="00AE1A58">
            <w:pPr>
              <w:spacing w:before="0" w:after="0"/>
              <w:jc w:val="center"/>
              <w:rPr>
                <w:rFonts w:eastAsia="Calibri" w:cs="Times New Roman"/>
                <w:sz w:val="20"/>
                <w:szCs w:val="20"/>
                <w:lang w:val="en-GB"/>
              </w:rPr>
            </w:pPr>
          </w:p>
        </w:tc>
        <w:tc>
          <w:tcPr>
            <w:tcW w:w="1134" w:type="dxa"/>
            <w:tcBorders>
              <w:top w:val="single" w:sz="4" w:space="0" w:color="auto"/>
              <w:bottom w:val="single" w:sz="4" w:space="0" w:color="auto"/>
            </w:tcBorders>
            <w:vAlign w:val="center"/>
          </w:tcPr>
          <w:p w14:paraId="25D0C970" w14:textId="77777777" w:rsidR="00AE1A58" w:rsidRPr="00F66DD0" w:rsidRDefault="00AE1A58" w:rsidP="00AE1A58">
            <w:pPr>
              <w:spacing w:before="0" w:after="0"/>
              <w:jc w:val="center"/>
              <w:rPr>
                <w:rFonts w:eastAsia="Calibri" w:cs="Times New Roman"/>
                <w:sz w:val="20"/>
                <w:szCs w:val="20"/>
                <w:lang w:val="en-GB"/>
              </w:rPr>
            </w:pPr>
          </w:p>
        </w:tc>
        <w:tc>
          <w:tcPr>
            <w:tcW w:w="850" w:type="dxa"/>
            <w:tcBorders>
              <w:top w:val="single" w:sz="4" w:space="0" w:color="auto"/>
              <w:bottom w:val="single" w:sz="4" w:space="0" w:color="auto"/>
            </w:tcBorders>
            <w:vAlign w:val="center"/>
          </w:tcPr>
          <w:p w14:paraId="55CC91A6" w14:textId="77777777" w:rsidR="00AE1A58" w:rsidRPr="00F66DD0" w:rsidRDefault="00AE1A58" w:rsidP="00AE1A58">
            <w:pPr>
              <w:spacing w:before="0" w:after="0"/>
              <w:jc w:val="center"/>
              <w:rPr>
                <w:rFonts w:eastAsia="Calibri" w:cs="Times New Roman"/>
                <w:sz w:val="20"/>
                <w:szCs w:val="20"/>
                <w:lang w:val="en-GB"/>
              </w:rPr>
            </w:pPr>
          </w:p>
        </w:tc>
        <w:tc>
          <w:tcPr>
            <w:tcW w:w="1276" w:type="dxa"/>
            <w:tcBorders>
              <w:top w:val="single" w:sz="4" w:space="0" w:color="auto"/>
              <w:bottom w:val="single" w:sz="4" w:space="0" w:color="auto"/>
            </w:tcBorders>
            <w:vAlign w:val="center"/>
          </w:tcPr>
          <w:p w14:paraId="23FC68FB" w14:textId="77777777" w:rsidR="00AE1A58" w:rsidRPr="00F66DD0" w:rsidRDefault="00AE1A58" w:rsidP="00AE1A58">
            <w:pPr>
              <w:spacing w:before="0" w:after="0"/>
              <w:jc w:val="center"/>
              <w:rPr>
                <w:rFonts w:eastAsia="Calibri" w:cs="Times New Roman"/>
                <w:sz w:val="20"/>
                <w:szCs w:val="20"/>
                <w:lang w:val="en-GB"/>
              </w:rPr>
            </w:pPr>
          </w:p>
        </w:tc>
        <w:tc>
          <w:tcPr>
            <w:tcW w:w="1134" w:type="dxa"/>
            <w:tcBorders>
              <w:top w:val="single" w:sz="4" w:space="0" w:color="auto"/>
              <w:left w:val="single" w:sz="4" w:space="0" w:color="auto"/>
              <w:bottom w:val="single" w:sz="4" w:space="0" w:color="auto"/>
              <w:right w:val="single" w:sz="4" w:space="0" w:color="auto"/>
            </w:tcBorders>
            <w:vAlign w:val="center"/>
          </w:tcPr>
          <w:p w14:paraId="255434E9" w14:textId="3F84096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b/>
                <w:bCs/>
                <w:sz w:val="20"/>
                <w:szCs w:val="20"/>
                <w:lang w:val="en-GB"/>
              </w:rPr>
              <w:t>GP (</w:t>
            </w:r>
            <w:r w:rsidR="00386AB1" w:rsidRPr="00F66DD0">
              <w:rPr>
                <w:rFonts w:eastAsia="Calibri" w:cs="Times New Roman"/>
                <w:b/>
                <w:bCs/>
                <w:sz w:val="20"/>
                <w:szCs w:val="20"/>
                <w:lang w:val="en-GB"/>
              </w:rPr>
              <w:t>min</w:t>
            </w:r>
            <w:r w:rsidRPr="00F66DD0">
              <w:rPr>
                <w:rFonts w:eastAsia="Calibri" w:cs="Times New Roman"/>
                <w:b/>
                <w:bCs/>
                <w:sz w:val="20"/>
                <w:szCs w:val="20"/>
                <w:lang w:val="en-GB"/>
              </w:rPr>
              <w:t>)</w:t>
            </w:r>
          </w:p>
        </w:tc>
        <w:tc>
          <w:tcPr>
            <w:tcW w:w="850" w:type="dxa"/>
            <w:tcBorders>
              <w:top w:val="single" w:sz="4" w:space="0" w:color="auto"/>
              <w:bottom w:val="single" w:sz="4" w:space="0" w:color="auto"/>
            </w:tcBorders>
            <w:vAlign w:val="center"/>
          </w:tcPr>
          <w:p w14:paraId="2A7E8C50" w14:textId="77777777" w:rsidR="00AE1A58" w:rsidRPr="00F66DD0" w:rsidRDefault="00AE1A58" w:rsidP="00AE1A58">
            <w:pPr>
              <w:spacing w:before="0" w:after="0"/>
              <w:jc w:val="center"/>
              <w:rPr>
                <w:rFonts w:eastAsia="Calibri" w:cs="Times New Roman"/>
                <w:sz w:val="20"/>
                <w:szCs w:val="20"/>
                <w:lang w:val="en-GB"/>
              </w:rPr>
            </w:pPr>
          </w:p>
        </w:tc>
        <w:tc>
          <w:tcPr>
            <w:tcW w:w="1134" w:type="dxa"/>
            <w:tcBorders>
              <w:top w:val="single" w:sz="4" w:space="0" w:color="auto"/>
              <w:bottom w:val="single" w:sz="4" w:space="0" w:color="auto"/>
            </w:tcBorders>
            <w:vAlign w:val="center"/>
          </w:tcPr>
          <w:p w14:paraId="53D99F58" w14:textId="77777777" w:rsidR="00AE1A58" w:rsidRPr="00F66DD0" w:rsidRDefault="00AE1A58" w:rsidP="00AE1A58">
            <w:pPr>
              <w:spacing w:before="0" w:after="0"/>
              <w:jc w:val="center"/>
              <w:rPr>
                <w:rFonts w:eastAsia="Calibri" w:cs="Times New Roman"/>
                <w:sz w:val="20"/>
                <w:szCs w:val="20"/>
                <w:lang w:val="en-GB"/>
              </w:rPr>
            </w:pPr>
          </w:p>
        </w:tc>
        <w:tc>
          <w:tcPr>
            <w:tcW w:w="851" w:type="dxa"/>
            <w:tcBorders>
              <w:top w:val="single" w:sz="4" w:space="0" w:color="auto"/>
              <w:bottom w:val="single" w:sz="4" w:space="0" w:color="auto"/>
              <w:right w:val="single" w:sz="4" w:space="0" w:color="auto"/>
            </w:tcBorders>
            <w:vAlign w:val="center"/>
          </w:tcPr>
          <w:p w14:paraId="5EC2DB58" w14:textId="77777777" w:rsidR="00AE1A58" w:rsidRPr="00F66DD0" w:rsidRDefault="00AE1A58" w:rsidP="00AE1A58">
            <w:pPr>
              <w:spacing w:before="0" w:after="0"/>
              <w:jc w:val="center"/>
              <w:rPr>
                <w:rFonts w:eastAsia="Calibri" w:cs="Times New Roman"/>
                <w:sz w:val="20"/>
                <w:szCs w:val="20"/>
                <w:lang w:val="en-GB"/>
              </w:rPr>
            </w:pPr>
          </w:p>
        </w:tc>
      </w:tr>
      <w:tr w:rsidR="00DC704B" w:rsidRPr="00F66DD0" w14:paraId="0CE83D73" w14:textId="77777777" w:rsidTr="00C01573">
        <w:trPr>
          <w:trHeight w:val="357"/>
        </w:trPr>
        <w:tc>
          <w:tcPr>
            <w:tcW w:w="465" w:type="dxa"/>
            <w:vMerge/>
            <w:tcBorders>
              <w:left w:val="single" w:sz="4" w:space="0" w:color="auto"/>
              <w:bottom w:val="single" w:sz="4" w:space="0" w:color="auto"/>
              <w:right w:val="single" w:sz="4" w:space="0" w:color="auto"/>
            </w:tcBorders>
          </w:tcPr>
          <w:p w14:paraId="78C96D30"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626EBB0E"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24</w:t>
            </w:r>
          </w:p>
        </w:tc>
        <w:tc>
          <w:tcPr>
            <w:tcW w:w="1134" w:type="dxa"/>
            <w:tcBorders>
              <w:top w:val="single" w:sz="4" w:space="0" w:color="auto"/>
              <w:bottom w:val="single" w:sz="4" w:space="0" w:color="auto"/>
            </w:tcBorders>
            <w:vAlign w:val="center"/>
          </w:tcPr>
          <w:p w14:paraId="4D0AE239" w14:textId="0478A6A3"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29.</w:t>
            </w:r>
            <w:r w:rsidR="00C01573">
              <w:rPr>
                <w:rFonts w:eastAsia="Calibri" w:cs="Times New Roman"/>
                <w:sz w:val="20"/>
                <w:szCs w:val="20"/>
                <w:lang w:val="en-GB"/>
              </w:rPr>
              <w:t>8</w:t>
            </w:r>
            <w:r w:rsidR="00DC704B" w:rsidRPr="00F66DD0">
              <w:rPr>
                <w:rFonts w:eastAsia="Calibri" w:cs="Times New Roman"/>
                <w:sz w:val="20"/>
                <w:szCs w:val="20"/>
                <w:lang w:val="en-GB"/>
              </w:rPr>
              <w:t xml:space="preserve"> ± </w:t>
            </w:r>
            <w:r w:rsidR="00C01573">
              <w:rPr>
                <w:rFonts w:eastAsia="Calibri" w:cs="Times New Roman"/>
                <w:sz w:val="20"/>
                <w:szCs w:val="20"/>
                <w:lang w:val="en-GB"/>
              </w:rPr>
              <w:t>0</w:t>
            </w:r>
            <w:r w:rsidR="00DC704B" w:rsidRPr="00F66DD0">
              <w:rPr>
                <w:rFonts w:eastAsia="Calibri" w:cs="Times New Roman"/>
                <w:sz w:val="20"/>
                <w:szCs w:val="20"/>
                <w:lang w:val="en-GB"/>
              </w:rPr>
              <w:t>.</w:t>
            </w:r>
            <w:r w:rsidR="00C01573">
              <w:rPr>
                <w:rFonts w:eastAsia="Calibri" w:cs="Times New Roman"/>
                <w:sz w:val="20"/>
                <w:szCs w:val="20"/>
                <w:lang w:val="en-GB"/>
              </w:rPr>
              <w:t>41</w:t>
            </w:r>
          </w:p>
        </w:tc>
        <w:tc>
          <w:tcPr>
            <w:tcW w:w="1134" w:type="dxa"/>
            <w:tcBorders>
              <w:top w:val="single" w:sz="4" w:space="0" w:color="auto"/>
              <w:bottom w:val="single" w:sz="4" w:space="0" w:color="auto"/>
            </w:tcBorders>
            <w:vAlign w:val="center"/>
          </w:tcPr>
          <w:p w14:paraId="35959241" w14:textId="2115FA08"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12.9</w:t>
            </w:r>
            <w:r w:rsidR="00DC704B" w:rsidRPr="00F66DD0">
              <w:rPr>
                <w:rFonts w:eastAsia="Calibri" w:cs="Times New Roman"/>
                <w:sz w:val="20"/>
                <w:szCs w:val="20"/>
                <w:lang w:val="en-GB"/>
              </w:rPr>
              <w:t xml:space="preserve"> ± 0.9</w:t>
            </w:r>
          </w:p>
        </w:tc>
        <w:tc>
          <w:tcPr>
            <w:tcW w:w="850" w:type="dxa"/>
            <w:tcBorders>
              <w:top w:val="single" w:sz="4" w:space="0" w:color="auto"/>
              <w:bottom w:val="single" w:sz="4" w:space="0" w:color="auto"/>
            </w:tcBorders>
            <w:vAlign w:val="center"/>
          </w:tcPr>
          <w:p w14:paraId="46189085"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0.004</w:t>
            </w:r>
          </w:p>
        </w:tc>
        <w:tc>
          <w:tcPr>
            <w:tcW w:w="1276" w:type="dxa"/>
            <w:tcBorders>
              <w:top w:val="single" w:sz="4" w:space="0" w:color="auto"/>
              <w:bottom w:val="single" w:sz="4" w:space="0" w:color="auto"/>
            </w:tcBorders>
            <w:vAlign w:val="center"/>
          </w:tcPr>
          <w:p w14:paraId="376D0E0A" w14:textId="6B59D491"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w:t>
            </w:r>
            <w:r w:rsidR="00960DA2" w:rsidRPr="00F66DD0">
              <w:rPr>
                <w:rFonts w:eastAsia="Calibri" w:cs="Times New Roman"/>
                <w:sz w:val="20"/>
                <w:szCs w:val="20"/>
                <w:lang w:val="en-GB"/>
              </w:rPr>
              <w:t>4</w:t>
            </w:r>
            <w:r w:rsidR="00C01573">
              <w:rPr>
                <w:rFonts w:eastAsia="Calibri" w:cs="Times New Roman"/>
                <w:sz w:val="20"/>
                <w:szCs w:val="20"/>
                <w:lang w:val="en-GB"/>
              </w:rPr>
              <w:t>9</w:t>
            </w:r>
            <w:r w:rsidR="00DC704B" w:rsidRPr="00F66DD0">
              <w:rPr>
                <w:rFonts w:eastAsia="Calibri" w:cs="Times New Roman"/>
                <w:sz w:val="20"/>
                <w:szCs w:val="20"/>
                <w:lang w:val="en-GB"/>
              </w:rPr>
              <w:t xml:space="preserve"> ± 0.03</w:t>
            </w:r>
          </w:p>
        </w:tc>
        <w:tc>
          <w:tcPr>
            <w:tcW w:w="1134" w:type="dxa"/>
            <w:tcBorders>
              <w:top w:val="single" w:sz="4" w:space="0" w:color="auto"/>
              <w:bottom w:val="single" w:sz="4" w:space="0" w:color="auto"/>
            </w:tcBorders>
            <w:vAlign w:val="center"/>
          </w:tcPr>
          <w:p w14:paraId="6DC079A9"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850" w:type="dxa"/>
            <w:tcBorders>
              <w:top w:val="single" w:sz="4" w:space="0" w:color="auto"/>
              <w:bottom w:val="single" w:sz="4" w:space="0" w:color="auto"/>
            </w:tcBorders>
            <w:vAlign w:val="center"/>
          </w:tcPr>
          <w:p w14:paraId="0C08350B"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134" w:type="dxa"/>
            <w:tcBorders>
              <w:top w:val="single" w:sz="4" w:space="0" w:color="auto"/>
              <w:bottom w:val="single" w:sz="4" w:space="0" w:color="auto"/>
            </w:tcBorders>
            <w:vAlign w:val="center"/>
          </w:tcPr>
          <w:p w14:paraId="31E7A929" w14:textId="7A0B9DD5"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0.6</w:t>
            </w:r>
            <w:r w:rsidR="00DC704B" w:rsidRPr="00F66DD0">
              <w:rPr>
                <w:rFonts w:eastAsia="Calibri" w:cs="Times New Roman"/>
                <w:sz w:val="20"/>
                <w:szCs w:val="20"/>
                <w:lang w:val="en-GB"/>
              </w:rPr>
              <w:t xml:space="preserve"> ± 0.02</w:t>
            </w:r>
          </w:p>
        </w:tc>
        <w:tc>
          <w:tcPr>
            <w:tcW w:w="851" w:type="dxa"/>
            <w:tcBorders>
              <w:top w:val="single" w:sz="4" w:space="0" w:color="auto"/>
              <w:bottom w:val="single" w:sz="4" w:space="0" w:color="auto"/>
              <w:right w:val="single" w:sz="4" w:space="0" w:color="auto"/>
            </w:tcBorders>
            <w:vAlign w:val="center"/>
          </w:tcPr>
          <w:p w14:paraId="1F514C49"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DC704B" w:rsidRPr="00F66DD0" w14:paraId="412F543E" w14:textId="77777777" w:rsidTr="00C01573">
        <w:trPr>
          <w:trHeight w:val="357"/>
        </w:trPr>
        <w:tc>
          <w:tcPr>
            <w:tcW w:w="465" w:type="dxa"/>
            <w:vMerge w:val="restart"/>
            <w:tcBorders>
              <w:top w:val="single" w:sz="4" w:space="0" w:color="auto"/>
              <w:left w:val="single" w:sz="4" w:space="0" w:color="auto"/>
              <w:bottom w:val="single" w:sz="4" w:space="0" w:color="auto"/>
              <w:right w:val="single" w:sz="4" w:space="0" w:color="auto"/>
            </w:tcBorders>
            <w:textDirection w:val="btLr"/>
          </w:tcPr>
          <w:p w14:paraId="448A2FB5" w14:textId="77777777" w:rsidR="00AE1A58" w:rsidRPr="00F66DD0" w:rsidRDefault="00AE1A58" w:rsidP="00AE1A58">
            <w:pPr>
              <w:spacing w:before="0" w:after="0"/>
              <w:ind w:left="113" w:right="113"/>
              <w:jc w:val="center"/>
              <w:rPr>
                <w:rFonts w:eastAsia="Calibri" w:cs="Times New Roman"/>
                <w:b/>
                <w:bCs/>
                <w:sz w:val="20"/>
                <w:szCs w:val="20"/>
                <w:lang w:val="en-GB"/>
              </w:rPr>
            </w:pPr>
            <w:r w:rsidRPr="00F66DD0">
              <w:rPr>
                <w:rFonts w:eastAsia="Calibri" w:cs="Times New Roman"/>
                <w:b/>
                <w:bCs/>
                <w:sz w:val="20"/>
                <w:szCs w:val="20"/>
                <w:lang w:val="en-GB"/>
              </w:rPr>
              <w:t>SM buffer</w:t>
            </w:r>
          </w:p>
        </w:tc>
        <w:tc>
          <w:tcPr>
            <w:tcW w:w="1095" w:type="dxa"/>
            <w:tcBorders>
              <w:top w:val="single" w:sz="4" w:space="0" w:color="auto"/>
              <w:left w:val="single" w:sz="4" w:space="0" w:color="auto"/>
              <w:bottom w:val="single" w:sz="4" w:space="0" w:color="auto"/>
            </w:tcBorders>
            <w:vAlign w:val="center"/>
          </w:tcPr>
          <w:p w14:paraId="0454FECF"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w:t>
            </w:r>
          </w:p>
        </w:tc>
        <w:tc>
          <w:tcPr>
            <w:tcW w:w="1134" w:type="dxa"/>
            <w:tcBorders>
              <w:top w:val="single" w:sz="4" w:space="0" w:color="auto"/>
              <w:bottom w:val="single" w:sz="4" w:space="0" w:color="auto"/>
            </w:tcBorders>
            <w:vAlign w:val="center"/>
          </w:tcPr>
          <w:p w14:paraId="4BC00CB0" w14:textId="432B0374"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5.</w:t>
            </w:r>
            <w:r w:rsidR="00386AB1" w:rsidRPr="00F66DD0">
              <w:rPr>
                <w:rFonts w:eastAsia="Calibri" w:cs="Times New Roman"/>
                <w:sz w:val="20"/>
                <w:szCs w:val="20"/>
                <w:lang w:val="en-GB"/>
              </w:rPr>
              <w:t>15</w:t>
            </w:r>
            <w:r w:rsidR="00DC704B" w:rsidRPr="00F66DD0">
              <w:rPr>
                <w:rFonts w:eastAsia="Calibri" w:cs="Times New Roman"/>
                <w:sz w:val="20"/>
                <w:szCs w:val="20"/>
                <w:lang w:val="en-GB"/>
              </w:rPr>
              <w:t xml:space="preserve"> ± 0.15</w:t>
            </w:r>
          </w:p>
        </w:tc>
        <w:tc>
          <w:tcPr>
            <w:tcW w:w="1134" w:type="dxa"/>
            <w:tcBorders>
              <w:top w:val="single" w:sz="4" w:space="0" w:color="auto"/>
              <w:bottom w:val="single" w:sz="4" w:space="0" w:color="auto"/>
            </w:tcBorders>
            <w:vAlign w:val="center"/>
          </w:tcPr>
          <w:p w14:paraId="21B38C56" w14:textId="0F754281"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5.03</w:t>
            </w:r>
            <w:r w:rsidR="00DC704B" w:rsidRPr="00F66DD0">
              <w:rPr>
                <w:rFonts w:eastAsia="Calibri" w:cs="Times New Roman"/>
                <w:sz w:val="20"/>
                <w:szCs w:val="20"/>
                <w:lang w:val="en-GB"/>
              </w:rPr>
              <w:t xml:space="preserve"> ± 0.7</w:t>
            </w:r>
          </w:p>
        </w:tc>
        <w:tc>
          <w:tcPr>
            <w:tcW w:w="850" w:type="dxa"/>
            <w:tcBorders>
              <w:top w:val="single" w:sz="4" w:space="0" w:color="auto"/>
              <w:bottom w:val="single" w:sz="4" w:space="0" w:color="auto"/>
            </w:tcBorders>
            <w:vAlign w:val="center"/>
          </w:tcPr>
          <w:p w14:paraId="001B9544"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276" w:type="dxa"/>
            <w:tcBorders>
              <w:top w:val="single" w:sz="4" w:space="0" w:color="auto"/>
              <w:bottom w:val="single" w:sz="4" w:space="0" w:color="auto"/>
            </w:tcBorders>
            <w:vAlign w:val="center"/>
          </w:tcPr>
          <w:p w14:paraId="3D39F2E6" w14:textId="5DE90162" w:rsidR="00AE1A58" w:rsidRPr="00F66DD0" w:rsidRDefault="00C01573" w:rsidP="00AE1A58">
            <w:pPr>
              <w:spacing w:before="0" w:after="0"/>
              <w:jc w:val="center"/>
              <w:rPr>
                <w:rFonts w:eastAsia="Calibri" w:cs="Times New Roman"/>
                <w:sz w:val="20"/>
                <w:szCs w:val="20"/>
                <w:lang w:val="en-GB"/>
              </w:rPr>
            </w:pPr>
            <w:r>
              <w:rPr>
                <w:rFonts w:eastAsia="Calibri" w:cs="Times New Roman"/>
                <w:sz w:val="20"/>
                <w:szCs w:val="20"/>
                <w:lang w:val="en-GB"/>
              </w:rPr>
              <w:t>1.37</w:t>
            </w:r>
            <w:r w:rsidR="00DC704B" w:rsidRPr="00F66DD0">
              <w:rPr>
                <w:rFonts w:eastAsia="Calibri" w:cs="Times New Roman"/>
                <w:sz w:val="20"/>
                <w:szCs w:val="20"/>
                <w:lang w:val="en-GB"/>
              </w:rPr>
              <w:t xml:space="preserve"> ± 0.03</w:t>
            </w:r>
          </w:p>
        </w:tc>
        <w:tc>
          <w:tcPr>
            <w:tcW w:w="1134" w:type="dxa"/>
            <w:tcBorders>
              <w:top w:val="single" w:sz="4" w:space="0" w:color="auto"/>
              <w:bottom w:val="single" w:sz="4" w:space="0" w:color="auto"/>
            </w:tcBorders>
            <w:vAlign w:val="center"/>
          </w:tcPr>
          <w:p w14:paraId="732826F0" w14:textId="01FEADEE" w:rsidR="00AE1A58" w:rsidRPr="00F66DD0" w:rsidRDefault="00386AB1" w:rsidP="00AE1A58">
            <w:pPr>
              <w:spacing w:before="0" w:after="0"/>
              <w:jc w:val="center"/>
              <w:rPr>
                <w:rFonts w:eastAsia="Calibri" w:cs="Times New Roman"/>
                <w:sz w:val="20"/>
                <w:szCs w:val="20"/>
                <w:lang w:val="en-GB"/>
              </w:rPr>
            </w:pPr>
            <w:r w:rsidRPr="00F66DD0">
              <w:rPr>
                <w:rFonts w:eastAsia="Calibri" w:cs="Times New Roman"/>
                <w:sz w:val="20"/>
                <w:szCs w:val="20"/>
                <w:lang w:val="en-GB"/>
              </w:rPr>
              <w:t>54</w:t>
            </w:r>
            <w:r w:rsidR="00DC704B" w:rsidRPr="00F66DD0">
              <w:rPr>
                <w:rFonts w:eastAsia="Calibri" w:cs="Times New Roman"/>
                <w:sz w:val="20"/>
                <w:szCs w:val="20"/>
                <w:lang w:val="en-GB"/>
              </w:rPr>
              <w:t xml:space="preserve"> ± 2.7</w:t>
            </w:r>
          </w:p>
        </w:tc>
        <w:tc>
          <w:tcPr>
            <w:tcW w:w="850" w:type="dxa"/>
            <w:tcBorders>
              <w:top w:val="single" w:sz="4" w:space="0" w:color="auto"/>
              <w:bottom w:val="single" w:sz="4" w:space="0" w:color="auto"/>
            </w:tcBorders>
            <w:vAlign w:val="center"/>
          </w:tcPr>
          <w:p w14:paraId="666AB50E"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134" w:type="dxa"/>
            <w:tcBorders>
              <w:top w:val="single" w:sz="4" w:space="0" w:color="auto"/>
              <w:bottom w:val="single" w:sz="4" w:space="0" w:color="auto"/>
            </w:tcBorders>
            <w:vAlign w:val="center"/>
          </w:tcPr>
          <w:p w14:paraId="26B0BB45" w14:textId="27000C7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1.26</w:t>
            </w:r>
            <w:r w:rsidR="00DC704B" w:rsidRPr="00F66DD0">
              <w:rPr>
                <w:rFonts w:eastAsia="Calibri" w:cs="Times New Roman"/>
                <w:sz w:val="20"/>
                <w:szCs w:val="20"/>
                <w:lang w:val="en-GB"/>
              </w:rPr>
              <w:t xml:space="preserve"> ± 0.1</w:t>
            </w:r>
          </w:p>
        </w:tc>
        <w:tc>
          <w:tcPr>
            <w:tcW w:w="851" w:type="dxa"/>
            <w:tcBorders>
              <w:top w:val="single" w:sz="4" w:space="0" w:color="auto"/>
              <w:bottom w:val="single" w:sz="4" w:space="0" w:color="auto"/>
              <w:right w:val="single" w:sz="4" w:space="0" w:color="auto"/>
            </w:tcBorders>
            <w:vAlign w:val="center"/>
          </w:tcPr>
          <w:p w14:paraId="650D1018"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DC704B" w:rsidRPr="00F66DD0" w14:paraId="6E2C3C1C" w14:textId="77777777" w:rsidTr="00C01573">
        <w:trPr>
          <w:trHeight w:val="368"/>
        </w:trPr>
        <w:tc>
          <w:tcPr>
            <w:tcW w:w="465" w:type="dxa"/>
            <w:vMerge/>
            <w:tcBorders>
              <w:top w:val="single" w:sz="4" w:space="0" w:color="auto"/>
              <w:left w:val="single" w:sz="4" w:space="0" w:color="auto"/>
              <w:bottom w:val="single" w:sz="4" w:space="0" w:color="auto"/>
              <w:right w:val="single" w:sz="4" w:space="0" w:color="auto"/>
            </w:tcBorders>
          </w:tcPr>
          <w:p w14:paraId="4FBF9B19"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04AE005A"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3</w:t>
            </w:r>
          </w:p>
        </w:tc>
        <w:tc>
          <w:tcPr>
            <w:tcW w:w="1134" w:type="dxa"/>
            <w:tcBorders>
              <w:top w:val="single" w:sz="4" w:space="0" w:color="auto"/>
              <w:bottom w:val="single" w:sz="4" w:space="0" w:color="auto"/>
            </w:tcBorders>
            <w:vAlign w:val="center"/>
          </w:tcPr>
          <w:p w14:paraId="22503040" w14:textId="499BDBD3"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15.5</w:t>
            </w:r>
            <w:r w:rsidR="00DC704B" w:rsidRPr="00F66DD0">
              <w:rPr>
                <w:rFonts w:eastAsia="Calibri" w:cs="Times New Roman"/>
                <w:sz w:val="20"/>
                <w:szCs w:val="20"/>
                <w:lang w:val="en-GB"/>
              </w:rPr>
              <w:t xml:space="preserve"> ± 1.</w:t>
            </w:r>
            <w:r w:rsidR="00C01573">
              <w:rPr>
                <w:rFonts w:eastAsia="Calibri" w:cs="Times New Roman"/>
                <w:sz w:val="20"/>
                <w:szCs w:val="20"/>
                <w:lang w:val="en-GB"/>
              </w:rPr>
              <w:t>00</w:t>
            </w:r>
          </w:p>
        </w:tc>
        <w:tc>
          <w:tcPr>
            <w:tcW w:w="1134" w:type="dxa"/>
            <w:tcBorders>
              <w:top w:val="single" w:sz="4" w:space="0" w:color="auto"/>
              <w:bottom w:val="single" w:sz="4" w:space="0" w:color="auto"/>
            </w:tcBorders>
            <w:vAlign w:val="center"/>
          </w:tcPr>
          <w:p w14:paraId="7957B986" w14:textId="2397953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2.75</w:t>
            </w:r>
            <w:r w:rsidR="00DC704B" w:rsidRPr="00F66DD0">
              <w:rPr>
                <w:rFonts w:eastAsia="Calibri" w:cs="Times New Roman"/>
                <w:sz w:val="20"/>
                <w:szCs w:val="20"/>
                <w:lang w:val="en-GB"/>
              </w:rPr>
              <w:t xml:space="preserve"> ± 0.41</w:t>
            </w:r>
          </w:p>
        </w:tc>
        <w:tc>
          <w:tcPr>
            <w:tcW w:w="850" w:type="dxa"/>
            <w:tcBorders>
              <w:top w:val="single" w:sz="4" w:space="0" w:color="auto"/>
              <w:bottom w:val="single" w:sz="4" w:space="0" w:color="auto"/>
            </w:tcBorders>
            <w:vAlign w:val="center"/>
          </w:tcPr>
          <w:p w14:paraId="35754550"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0.0004</w:t>
            </w:r>
          </w:p>
        </w:tc>
        <w:tc>
          <w:tcPr>
            <w:tcW w:w="1276" w:type="dxa"/>
            <w:tcBorders>
              <w:top w:val="single" w:sz="4" w:space="0" w:color="auto"/>
              <w:bottom w:val="single" w:sz="4" w:space="0" w:color="auto"/>
            </w:tcBorders>
            <w:vAlign w:val="center"/>
          </w:tcPr>
          <w:p w14:paraId="6EF0DCCF" w14:textId="037A9E0D"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w:t>
            </w:r>
            <w:r w:rsidR="00386AB1" w:rsidRPr="00F66DD0">
              <w:rPr>
                <w:rFonts w:eastAsia="Calibri" w:cs="Times New Roman"/>
                <w:sz w:val="20"/>
                <w:szCs w:val="20"/>
                <w:lang w:val="en-GB"/>
              </w:rPr>
              <w:t>24</w:t>
            </w:r>
            <w:r w:rsidR="00DC704B" w:rsidRPr="00F66DD0">
              <w:rPr>
                <w:rFonts w:eastAsia="Calibri" w:cs="Times New Roman"/>
                <w:sz w:val="20"/>
                <w:szCs w:val="20"/>
                <w:lang w:val="en-GB"/>
              </w:rPr>
              <w:t xml:space="preserve"> ± 0.</w:t>
            </w:r>
            <w:r w:rsidR="00C01573">
              <w:rPr>
                <w:rFonts w:eastAsia="Calibri" w:cs="Times New Roman"/>
                <w:sz w:val="20"/>
                <w:szCs w:val="20"/>
                <w:lang w:val="en-GB"/>
              </w:rPr>
              <w:t>11</w:t>
            </w:r>
          </w:p>
        </w:tc>
        <w:tc>
          <w:tcPr>
            <w:tcW w:w="1134" w:type="dxa"/>
            <w:tcBorders>
              <w:top w:val="single" w:sz="4" w:space="0" w:color="auto"/>
              <w:bottom w:val="single" w:sz="4" w:space="0" w:color="auto"/>
            </w:tcBorders>
            <w:vAlign w:val="center"/>
          </w:tcPr>
          <w:p w14:paraId="2953EDBB" w14:textId="69A766BB" w:rsidR="00AE1A58" w:rsidRPr="00F66DD0" w:rsidRDefault="00386AB1" w:rsidP="00AE1A58">
            <w:pPr>
              <w:spacing w:before="0" w:after="0"/>
              <w:jc w:val="center"/>
              <w:rPr>
                <w:rFonts w:eastAsia="Calibri" w:cs="Times New Roman"/>
                <w:sz w:val="20"/>
                <w:szCs w:val="20"/>
                <w:lang w:val="en-GB"/>
              </w:rPr>
            </w:pPr>
            <w:r w:rsidRPr="00F66DD0">
              <w:rPr>
                <w:rFonts w:eastAsia="Calibri" w:cs="Times New Roman"/>
                <w:sz w:val="20"/>
                <w:szCs w:val="20"/>
                <w:lang w:val="en-GB"/>
              </w:rPr>
              <w:t>60</w:t>
            </w:r>
            <w:r w:rsidR="00DC704B" w:rsidRPr="00F66DD0">
              <w:rPr>
                <w:rFonts w:eastAsia="Calibri" w:cs="Times New Roman"/>
                <w:sz w:val="20"/>
                <w:szCs w:val="20"/>
                <w:lang w:val="en-GB"/>
              </w:rPr>
              <w:t xml:space="preserve"> ± </w:t>
            </w:r>
            <w:r w:rsidR="00C01573">
              <w:rPr>
                <w:rFonts w:eastAsia="Calibri" w:cs="Times New Roman"/>
                <w:sz w:val="20"/>
                <w:szCs w:val="20"/>
                <w:lang w:val="en-GB"/>
              </w:rPr>
              <w:t>7.7</w:t>
            </w:r>
          </w:p>
        </w:tc>
        <w:tc>
          <w:tcPr>
            <w:tcW w:w="850" w:type="dxa"/>
            <w:tcBorders>
              <w:top w:val="single" w:sz="4" w:space="0" w:color="auto"/>
              <w:bottom w:val="single" w:sz="4" w:space="0" w:color="auto"/>
            </w:tcBorders>
            <w:vAlign w:val="center"/>
          </w:tcPr>
          <w:p w14:paraId="13D3F494"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134" w:type="dxa"/>
            <w:tcBorders>
              <w:top w:val="single" w:sz="4" w:space="0" w:color="auto"/>
              <w:bottom w:val="single" w:sz="4" w:space="0" w:color="auto"/>
            </w:tcBorders>
            <w:vAlign w:val="center"/>
          </w:tcPr>
          <w:p w14:paraId="455A9CD8" w14:textId="3DE3D9F2"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0.788</w:t>
            </w:r>
            <w:r w:rsidR="00DC704B" w:rsidRPr="00F66DD0">
              <w:rPr>
                <w:rFonts w:eastAsia="Calibri" w:cs="Times New Roman"/>
                <w:sz w:val="20"/>
                <w:szCs w:val="20"/>
                <w:lang w:val="en-GB"/>
              </w:rPr>
              <w:t xml:space="preserve"> ± 0.09</w:t>
            </w:r>
          </w:p>
        </w:tc>
        <w:tc>
          <w:tcPr>
            <w:tcW w:w="851" w:type="dxa"/>
            <w:tcBorders>
              <w:top w:val="single" w:sz="4" w:space="0" w:color="auto"/>
              <w:bottom w:val="single" w:sz="4" w:space="0" w:color="auto"/>
              <w:right w:val="single" w:sz="4" w:space="0" w:color="auto"/>
            </w:tcBorders>
            <w:vAlign w:val="center"/>
          </w:tcPr>
          <w:p w14:paraId="403FE475"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DC704B" w:rsidRPr="00F66DD0" w14:paraId="1FAD3B0A" w14:textId="77777777" w:rsidTr="00C01573">
        <w:trPr>
          <w:trHeight w:val="357"/>
        </w:trPr>
        <w:tc>
          <w:tcPr>
            <w:tcW w:w="465" w:type="dxa"/>
            <w:vMerge/>
            <w:tcBorders>
              <w:top w:val="single" w:sz="4" w:space="0" w:color="auto"/>
              <w:left w:val="single" w:sz="4" w:space="0" w:color="auto"/>
              <w:bottom w:val="single" w:sz="4" w:space="0" w:color="auto"/>
              <w:right w:val="single" w:sz="4" w:space="0" w:color="auto"/>
            </w:tcBorders>
          </w:tcPr>
          <w:p w14:paraId="320AF5AF"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6980099F"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24</w:t>
            </w:r>
          </w:p>
        </w:tc>
        <w:tc>
          <w:tcPr>
            <w:tcW w:w="1134" w:type="dxa"/>
            <w:tcBorders>
              <w:top w:val="single" w:sz="4" w:space="0" w:color="auto"/>
              <w:bottom w:val="single" w:sz="4" w:space="0" w:color="auto"/>
            </w:tcBorders>
            <w:vAlign w:val="center"/>
          </w:tcPr>
          <w:p w14:paraId="6FFE0ACD" w14:textId="51EB25FF"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16.7</w:t>
            </w:r>
            <w:r w:rsidR="00DC704B" w:rsidRPr="00F66DD0">
              <w:rPr>
                <w:rFonts w:eastAsia="Calibri" w:cs="Times New Roman"/>
                <w:sz w:val="20"/>
                <w:szCs w:val="20"/>
                <w:lang w:val="en-GB"/>
              </w:rPr>
              <w:t xml:space="preserve"> ± 2.5</w:t>
            </w:r>
            <w:r w:rsidR="00C01573">
              <w:rPr>
                <w:rFonts w:eastAsia="Calibri" w:cs="Times New Roman"/>
                <w:sz w:val="20"/>
                <w:szCs w:val="20"/>
                <w:lang w:val="en-GB"/>
              </w:rPr>
              <w:t>9</w:t>
            </w:r>
          </w:p>
        </w:tc>
        <w:tc>
          <w:tcPr>
            <w:tcW w:w="1134" w:type="dxa"/>
            <w:tcBorders>
              <w:top w:val="single" w:sz="4" w:space="0" w:color="auto"/>
              <w:bottom w:val="single" w:sz="4" w:space="0" w:color="auto"/>
            </w:tcBorders>
            <w:vAlign w:val="center"/>
          </w:tcPr>
          <w:p w14:paraId="7FF145D7" w14:textId="4D40A2E9"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2.9</w:t>
            </w:r>
            <w:r w:rsidR="00DC704B" w:rsidRPr="00F66DD0">
              <w:rPr>
                <w:rFonts w:eastAsia="Calibri" w:cs="Times New Roman"/>
                <w:sz w:val="20"/>
                <w:szCs w:val="20"/>
                <w:lang w:val="en-GB"/>
              </w:rPr>
              <w:t xml:space="preserve"> ± 0.41</w:t>
            </w:r>
          </w:p>
        </w:tc>
        <w:tc>
          <w:tcPr>
            <w:tcW w:w="850" w:type="dxa"/>
            <w:tcBorders>
              <w:top w:val="single" w:sz="4" w:space="0" w:color="auto"/>
              <w:bottom w:val="single" w:sz="4" w:space="0" w:color="auto"/>
            </w:tcBorders>
            <w:vAlign w:val="center"/>
          </w:tcPr>
          <w:p w14:paraId="6611548C"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0.002</w:t>
            </w:r>
          </w:p>
        </w:tc>
        <w:tc>
          <w:tcPr>
            <w:tcW w:w="1276" w:type="dxa"/>
            <w:tcBorders>
              <w:top w:val="single" w:sz="4" w:space="0" w:color="auto"/>
              <w:bottom w:val="single" w:sz="4" w:space="0" w:color="auto"/>
            </w:tcBorders>
            <w:vAlign w:val="center"/>
          </w:tcPr>
          <w:p w14:paraId="41E55A0C" w14:textId="2A62DE0E"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0.9</w:t>
            </w:r>
            <w:r w:rsidR="00C01573">
              <w:rPr>
                <w:rFonts w:eastAsia="Calibri" w:cs="Times New Roman"/>
                <w:sz w:val="20"/>
                <w:szCs w:val="20"/>
                <w:lang w:val="en-GB"/>
              </w:rPr>
              <w:t>74</w:t>
            </w:r>
            <w:r w:rsidR="00DC704B" w:rsidRPr="00F66DD0">
              <w:rPr>
                <w:rFonts w:eastAsia="Calibri" w:cs="Times New Roman"/>
                <w:sz w:val="20"/>
                <w:szCs w:val="20"/>
                <w:lang w:val="en-GB"/>
              </w:rPr>
              <w:t xml:space="preserve"> ± 0.02</w:t>
            </w:r>
          </w:p>
        </w:tc>
        <w:tc>
          <w:tcPr>
            <w:tcW w:w="1134" w:type="dxa"/>
            <w:tcBorders>
              <w:top w:val="single" w:sz="4" w:space="0" w:color="auto"/>
              <w:bottom w:val="single" w:sz="4" w:space="0" w:color="auto"/>
            </w:tcBorders>
            <w:vAlign w:val="center"/>
          </w:tcPr>
          <w:p w14:paraId="16BC5A60" w14:textId="440850BA" w:rsidR="00AE1A58" w:rsidRPr="00F66DD0" w:rsidRDefault="00386AB1" w:rsidP="00AE1A58">
            <w:pPr>
              <w:spacing w:before="0" w:after="0"/>
              <w:jc w:val="center"/>
              <w:rPr>
                <w:rFonts w:eastAsia="Calibri" w:cs="Times New Roman"/>
                <w:sz w:val="20"/>
                <w:szCs w:val="20"/>
                <w:lang w:val="en-GB"/>
              </w:rPr>
            </w:pPr>
            <w:r w:rsidRPr="00F66DD0">
              <w:rPr>
                <w:rFonts w:eastAsia="Calibri" w:cs="Times New Roman"/>
                <w:sz w:val="20"/>
                <w:szCs w:val="20"/>
                <w:lang w:val="en-GB"/>
              </w:rPr>
              <w:t>90</w:t>
            </w:r>
            <w:r w:rsidR="00DC704B" w:rsidRPr="00F66DD0">
              <w:rPr>
                <w:rFonts w:eastAsia="Calibri" w:cs="Times New Roman"/>
                <w:sz w:val="20"/>
                <w:szCs w:val="20"/>
                <w:lang w:val="en-GB"/>
              </w:rPr>
              <w:t xml:space="preserve"> ± 4.5</w:t>
            </w:r>
          </w:p>
        </w:tc>
        <w:tc>
          <w:tcPr>
            <w:tcW w:w="850" w:type="dxa"/>
            <w:tcBorders>
              <w:top w:val="single" w:sz="4" w:space="0" w:color="auto"/>
              <w:bottom w:val="single" w:sz="4" w:space="0" w:color="auto"/>
            </w:tcBorders>
            <w:vAlign w:val="center"/>
          </w:tcPr>
          <w:p w14:paraId="52E3CA73"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134" w:type="dxa"/>
            <w:tcBorders>
              <w:top w:val="single" w:sz="4" w:space="0" w:color="auto"/>
              <w:bottom w:val="single" w:sz="4" w:space="0" w:color="auto"/>
            </w:tcBorders>
            <w:vAlign w:val="center"/>
          </w:tcPr>
          <w:p w14:paraId="07DA72C0" w14:textId="555308E2"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0.655</w:t>
            </w:r>
            <w:r w:rsidR="00DC704B" w:rsidRPr="00F66DD0">
              <w:rPr>
                <w:rFonts w:eastAsia="Calibri" w:cs="Times New Roman"/>
                <w:sz w:val="20"/>
                <w:szCs w:val="20"/>
                <w:lang w:val="en-GB"/>
              </w:rPr>
              <w:t xml:space="preserve"> ± 0.06</w:t>
            </w:r>
          </w:p>
        </w:tc>
        <w:tc>
          <w:tcPr>
            <w:tcW w:w="851" w:type="dxa"/>
            <w:tcBorders>
              <w:top w:val="single" w:sz="4" w:space="0" w:color="auto"/>
              <w:bottom w:val="single" w:sz="4" w:space="0" w:color="auto"/>
              <w:right w:val="single" w:sz="4" w:space="0" w:color="auto"/>
            </w:tcBorders>
            <w:vAlign w:val="center"/>
          </w:tcPr>
          <w:p w14:paraId="6270E27A"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DC704B" w:rsidRPr="00F27A29" w14:paraId="62040B20" w14:textId="77777777" w:rsidTr="00C01573">
        <w:trPr>
          <w:trHeight w:val="357"/>
        </w:trPr>
        <w:tc>
          <w:tcPr>
            <w:tcW w:w="465" w:type="dxa"/>
            <w:vMerge/>
            <w:tcBorders>
              <w:top w:val="single" w:sz="4" w:space="0" w:color="auto"/>
              <w:left w:val="single" w:sz="4" w:space="0" w:color="auto"/>
              <w:bottom w:val="single" w:sz="4" w:space="0" w:color="auto"/>
              <w:right w:val="single" w:sz="4" w:space="0" w:color="auto"/>
            </w:tcBorders>
          </w:tcPr>
          <w:p w14:paraId="53BEA481" w14:textId="77777777" w:rsidR="00AE1A58" w:rsidRPr="00F66DD0" w:rsidRDefault="00AE1A58" w:rsidP="00AE1A58">
            <w:pPr>
              <w:spacing w:before="0" w:after="0"/>
              <w:jc w:val="center"/>
              <w:rPr>
                <w:rFonts w:eastAsia="Calibri" w:cs="Times New Roman"/>
                <w:sz w:val="20"/>
                <w:szCs w:val="20"/>
                <w:lang w:val="en-GB"/>
              </w:rPr>
            </w:pPr>
          </w:p>
        </w:tc>
        <w:tc>
          <w:tcPr>
            <w:tcW w:w="1095" w:type="dxa"/>
            <w:tcBorders>
              <w:top w:val="single" w:sz="4" w:space="0" w:color="auto"/>
              <w:left w:val="single" w:sz="4" w:space="0" w:color="auto"/>
              <w:bottom w:val="single" w:sz="4" w:space="0" w:color="auto"/>
            </w:tcBorders>
            <w:vAlign w:val="center"/>
          </w:tcPr>
          <w:p w14:paraId="53B9D9B4"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48</w:t>
            </w:r>
          </w:p>
        </w:tc>
        <w:tc>
          <w:tcPr>
            <w:tcW w:w="1134" w:type="dxa"/>
            <w:tcBorders>
              <w:top w:val="single" w:sz="4" w:space="0" w:color="auto"/>
              <w:bottom w:val="single" w:sz="4" w:space="0" w:color="auto"/>
            </w:tcBorders>
            <w:vAlign w:val="center"/>
          </w:tcPr>
          <w:p w14:paraId="1BE1BD5D" w14:textId="451D992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8.33</w:t>
            </w:r>
            <w:r w:rsidR="00DC704B" w:rsidRPr="00F66DD0">
              <w:rPr>
                <w:rFonts w:eastAsia="Calibri" w:cs="Times New Roman"/>
                <w:sz w:val="20"/>
                <w:szCs w:val="20"/>
                <w:lang w:val="en-GB"/>
              </w:rPr>
              <w:t xml:space="preserve"> ± 0.9</w:t>
            </w:r>
          </w:p>
        </w:tc>
        <w:tc>
          <w:tcPr>
            <w:tcW w:w="1134" w:type="dxa"/>
            <w:tcBorders>
              <w:top w:val="single" w:sz="4" w:space="0" w:color="auto"/>
              <w:bottom w:val="single" w:sz="4" w:space="0" w:color="auto"/>
            </w:tcBorders>
            <w:vAlign w:val="center"/>
          </w:tcPr>
          <w:p w14:paraId="3E2A4CA3" w14:textId="7C94E124"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1.68</w:t>
            </w:r>
            <w:r w:rsidR="00DC704B" w:rsidRPr="00F66DD0">
              <w:rPr>
                <w:rFonts w:eastAsia="Calibri" w:cs="Times New Roman"/>
                <w:sz w:val="20"/>
                <w:szCs w:val="20"/>
                <w:lang w:val="en-GB"/>
              </w:rPr>
              <w:t xml:space="preserve"> ± 0.18</w:t>
            </w:r>
          </w:p>
        </w:tc>
        <w:tc>
          <w:tcPr>
            <w:tcW w:w="850" w:type="dxa"/>
            <w:tcBorders>
              <w:top w:val="single" w:sz="4" w:space="0" w:color="auto"/>
              <w:bottom w:val="single" w:sz="4" w:space="0" w:color="auto"/>
            </w:tcBorders>
            <w:vAlign w:val="center"/>
          </w:tcPr>
          <w:p w14:paraId="77CAD75D"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0.01</w:t>
            </w:r>
          </w:p>
        </w:tc>
        <w:tc>
          <w:tcPr>
            <w:tcW w:w="1276" w:type="dxa"/>
            <w:tcBorders>
              <w:top w:val="single" w:sz="4" w:space="0" w:color="auto"/>
              <w:bottom w:val="single" w:sz="4" w:space="0" w:color="auto"/>
            </w:tcBorders>
            <w:vAlign w:val="center"/>
          </w:tcPr>
          <w:p w14:paraId="3BB4F5EF" w14:textId="3EA5B19B"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w:t>
            </w:r>
            <w:r w:rsidR="00E810CE" w:rsidRPr="00F66DD0">
              <w:rPr>
                <w:rFonts w:eastAsia="Calibri" w:cs="Times New Roman"/>
                <w:sz w:val="20"/>
                <w:szCs w:val="20"/>
                <w:lang w:val="en-GB"/>
              </w:rPr>
              <w:t>657</w:t>
            </w:r>
            <w:r w:rsidR="00DC704B" w:rsidRPr="00F66DD0">
              <w:rPr>
                <w:rFonts w:eastAsia="Calibri" w:cs="Times New Roman"/>
                <w:sz w:val="20"/>
                <w:szCs w:val="20"/>
                <w:lang w:val="en-GB"/>
              </w:rPr>
              <w:t xml:space="preserve"> ± 0.</w:t>
            </w:r>
            <w:r w:rsidR="00C01573">
              <w:rPr>
                <w:rFonts w:eastAsia="Calibri" w:cs="Times New Roman"/>
                <w:sz w:val="20"/>
                <w:szCs w:val="20"/>
                <w:lang w:val="en-GB"/>
              </w:rPr>
              <w:t>04</w:t>
            </w:r>
          </w:p>
        </w:tc>
        <w:tc>
          <w:tcPr>
            <w:tcW w:w="1134" w:type="dxa"/>
            <w:tcBorders>
              <w:top w:val="single" w:sz="4" w:space="0" w:color="auto"/>
              <w:bottom w:val="single" w:sz="4" w:space="0" w:color="auto"/>
            </w:tcBorders>
            <w:vAlign w:val="center"/>
          </w:tcPr>
          <w:p w14:paraId="284BA213" w14:textId="7089E211" w:rsidR="00AE1A58" w:rsidRPr="00F66DD0" w:rsidRDefault="00E810CE" w:rsidP="00AE1A58">
            <w:pPr>
              <w:spacing w:before="0" w:after="0"/>
              <w:jc w:val="center"/>
              <w:rPr>
                <w:rFonts w:eastAsia="Calibri" w:cs="Times New Roman"/>
                <w:sz w:val="20"/>
                <w:szCs w:val="20"/>
                <w:lang w:val="en-GB"/>
              </w:rPr>
            </w:pPr>
            <w:r w:rsidRPr="00F66DD0">
              <w:rPr>
                <w:rFonts w:eastAsia="Calibri" w:cs="Times New Roman"/>
                <w:sz w:val="20"/>
                <w:szCs w:val="20"/>
                <w:lang w:val="en-GB"/>
              </w:rPr>
              <w:t>100</w:t>
            </w:r>
            <w:r w:rsidR="00DC704B" w:rsidRPr="00F66DD0">
              <w:rPr>
                <w:rFonts w:eastAsia="Calibri" w:cs="Times New Roman"/>
                <w:sz w:val="20"/>
                <w:szCs w:val="20"/>
                <w:lang w:val="en-GB"/>
              </w:rPr>
              <w:t xml:space="preserve"> ± 7.07</w:t>
            </w:r>
          </w:p>
        </w:tc>
        <w:tc>
          <w:tcPr>
            <w:tcW w:w="850" w:type="dxa"/>
            <w:tcBorders>
              <w:top w:val="single" w:sz="4" w:space="0" w:color="auto"/>
              <w:bottom w:val="single" w:sz="4" w:space="0" w:color="auto"/>
            </w:tcBorders>
            <w:vAlign w:val="center"/>
          </w:tcPr>
          <w:p w14:paraId="78957AFB" w14:textId="77777777"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c>
          <w:tcPr>
            <w:tcW w:w="1134" w:type="dxa"/>
            <w:tcBorders>
              <w:top w:val="single" w:sz="4" w:space="0" w:color="auto"/>
              <w:bottom w:val="single" w:sz="4" w:space="0" w:color="auto"/>
            </w:tcBorders>
            <w:vAlign w:val="center"/>
          </w:tcPr>
          <w:p w14:paraId="199BE559" w14:textId="4BF9339F" w:rsidR="00AE1A58" w:rsidRPr="00F66DD0"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0.947</w:t>
            </w:r>
            <w:r w:rsidR="00DC704B" w:rsidRPr="00F66DD0">
              <w:rPr>
                <w:rFonts w:eastAsia="Calibri" w:cs="Times New Roman"/>
                <w:sz w:val="20"/>
                <w:szCs w:val="20"/>
                <w:lang w:val="en-GB"/>
              </w:rPr>
              <w:t xml:space="preserve"> ± 0.1</w:t>
            </w:r>
          </w:p>
        </w:tc>
        <w:tc>
          <w:tcPr>
            <w:tcW w:w="851" w:type="dxa"/>
            <w:tcBorders>
              <w:top w:val="single" w:sz="4" w:space="0" w:color="auto"/>
              <w:bottom w:val="single" w:sz="4" w:space="0" w:color="auto"/>
              <w:right w:val="single" w:sz="4" w:space="0" w:color="auto"/>
            </w:tcBorders>
            <w:vAlign w:val="center"/>
          </w:tcPr>
          <w:p w14:paraId="0CBA4C0B" w14:textId="77777777" w:rsidR="00AE1A58" w:rsidRPr="00F27A29" w:rsidRDefault="00AE1A58" w:rsidP="00AE1A58">
            <w:pPr>
              <w:spacing w:before="0" w:after="0"/>
              <w:jc w:val="center"/>
              <w:rPr>
                <w:rFonts w:eastAsia="Calibri" w:cs="Times New Roman"/>
                <w:sz w:val="20"/>
                <w:szCs w:val="20"/>
                <w:lang w:val="en-GB"/>
              </w:rPr>
            </w:pPr>
            <w:r w:rsidRPr="00F66DD0">
              <w:rPr>
                <w:rFonts w:eastAsia="Calibri" w:cs="Times New Roman"/>
                <w:sz w:val="20"/>
                <w:szCs w:val="20"/>
                <w:lang w:val="en-GB"/>
              </w:rPr>
              <w:t>/</w:t>
            </w:r>
          </w:p>
        </w:tc>
      </w:tr>
      <w:tr w:rsidR="00DC704B" w:rsidRPr="00F27A29" w14:paraId="26DD7254" w14:textId="77777777" w:rsidTr="00C01573">
        <w:trPr>
          <w:trHeight w:val="357"/>
        </w:trPr>
        <w:tc>
          <w:tcPr>
            <w:tcW w:w="465" w:type="dxa"/>
            <w:tcBorders>
              <w:top w:val="single" w:sz="4" w:space="0" w:color="auto"/>
            </w:tcBorders>
          </w:tcPr>
          <w:p w14:paraId="502BAF41" w14:textId="77777777" w:rsidR="00AE1A58" w:rsidRPr="00F27A29" w:rsidRDefault="00AE1A58" w:rsidP="00AE1A58">
            <w:pPr>
              <w:spacing w:before="0" w:after="0"/>
              <w:jc w:val="center"/>
              <w:rPr>
                <w:rFonts w:eastAsia="Calibri" w:cs="Times New Roman"/>
                <w:sz w:val="20"/>
                <w:szCs w:val="20"/>
                <w:lang w:val="en-GB"/>
              </w:rPr>
            </w:pPr>
          </w:p>
        </w:tc>
        <w:tc>
          <w:tcPr>
            <w:tcW w:w="1095" w:type="dxa"/>
            <w:tcBorders>
              <w:top w:val="single" w:sz="4" w:space="0" w:color="auto"/>
            </w:tcBorders>
            <w:vAlign w:val="center"/>
          </w:tcPr>
          <w:p w14:paraId="36EF2848" w14:textId="77777777" w:rsidR="00AE1A58" w:rsidRPr="00F27A29" w:rsidRDefault="00AE1A58" w:rsidP="00AE1A58">
            <w:pPr>
              <w:spacing w:before="0" w:after="0"/>
              <w:jc w:val="center"/>
              <w:rPr>
                <w:rFonts w:eastAsia="Calibri" w:cs="Times New Roman"/>
                <w:sz w:val="20"/>
                <w:szCs w:val="20"/>
                <w:lang w:val="en-GB"/>
              </w:rPr>
            </w:pPr>
          </w:p>
        </w:tc>
        <w:tc>
          <w:tcPr>
            <w:tcW w:w="1134" w:type="dxa"/>
            <w:tcBorders>
              <w:top w:val="single" w:sz="4" w:space="0" w:color="auto"/>
            </w:tcBorders>
            <w:vAlign w:val="center"/>
          </w:tcPr>
          <w:p w14:paraId="0FE91991" w14:textId="77777777" w:rsidR="00AE1A58" w:rsidRPr="00F27A29" w:rsidRDefault="00AE1A58" w:rsidP="00AE1A58">
            <w:pPr>
              <w:spacing w:before="0" w:after="0"/>
              <w:jc w:val="center"/>
              <w:rPr>
                <w:rFonts w:eastAsia="Calibri" w:cs="Times New Roman"/>
                <w:sz w:val="20"/>
                <w:szCs w:val="20"/>
                <w:lang w:val="en-GB"/>
              </w:rPr>
            </w:pPr>
          </w:p>
        </w:tc>
        <w:tc>
          <w:tcPr>
            <w:tcW w:w="1134" w:type="dxa"/>
            <w:tcBorders>
              <w:top w:val="single" w:sz="4" w:space="0" w:color="auto"/>
            </w:tcBorders>
            <w:vAlign w:val="center"/>
          </w:tcPr>
          <w:p w14:paraId="7C86871F" w14:textId="77777777" w:rsidR="00AE1A58" w:rsidRPr="00F27A29" w:rsidRDefault="00AE1A58" w:rsidP="00AE1A58">
            <w:pPr>
              <w:spacing w:before="0" w:after="0"/>
              <w:jc w:val="center"/>
              <w:rPr>
                <w:rFonts w:eastAsia="Calibri" w:cs="Times New Roman"/>
                <w:sz w:val="20"/>
                <w:szCs w:val="20"/>
                <w:lang w:val="en-GB"/>
              </w:rPr>
            </w:pPr>
          </w:p>
        </w:tc>
        <w:tc>
          <w:tcPr>
            <w:tcW w:w="850" w:type="dxa"/>
            <w:tcBorders>
              <w:top w:val="single" w:sz="4" w:space="0" w:color="auto"/>
            </w:tcBorders>
            <w:vAlign w:val="center"/>
          </w:tcPr>
          <w:p w14:paraId="4FFA99FC" w14:textId="77777777" w:rsidR="00AE1A58" w:rsidRPr="00F27A29" w:rsidRDefault="00AE1A58" w:rsidP="00AE1A58">
            <w:pPr>
              <w:spacing w:before="0" w:after="0"/>
              <w:jc w:val="center"/>
              <w:rPr>
                <w:rFonts w:eastAsia="Calibri" w:cs="Times New Roman"/>
                <w:sz w:val="20"/>
                <w:szCs w:val="20"/>
                <w:lang w:val="en-GB"/>
              </w:rPr>
            </w:pPr>
          </w:p>
        </w:tc>
        <w:tc>
          <w:tcPr>
            <w:tcW w:w="1276" w:type="dxa"/>
            <w:tcBorders>
              <w:top w:val="single" w:sz="4" w:space="0" w:color="auto"/>
            </w:tcBorders>
            <w:vAlign w:val="center"/>
          </w:tcPr>
          <w:p w14:paraId="5BF23DC6" w14:textId="77777777" w:rsidR="00AE1A58" w:rsidRPr="00F27A29" w:rsidRDefault="00AE1A58" w:rsidP="00AE1A58">
            <w:pPr>
              <w:spacing w:before="0" w:after="0"/>
              <w:jc w:val="center"/>
              <w:rPr>
                <w:rFonts w:eastAsia="Calibri" w:cs="Times New Roman"/>
                <w:sz w:val="20"/>
                <w:szCs w:val="20"/>
                <w:lang w:val="en-GB"/>
              </w:rPr>
            </w:pPr>
          </w:p>
        </w:tc>
        <w:tc>
          <w:tcPr>
            <w:tcW w:w="1134" w:type="dxa"/>
            <w:tcBorders>
              <w:top w:val="single" w:sz="4" w:space="0" w:color="auto"/>
            </w:tcBorders>
            <w:vAlign w:val="center"/>
          </w:tcPr>
          <w:p w14:paraId="7738BDFA" w14:textId="77777777" w:rsidR="00AE1A58" w:rsidRPr="00F27A29" w:rsidRDefault="00AE1A58" w:rsidP="00AE1A58">
            <w:pPr>
              <w:spacing w:before="0" w:after="0"/>
              <w:jc w:val="center"/>
              <w:rPr>
                <w:rFonts w:eastAsia="Calibri" w:cs="Times New Roman"/>
                <w:sz w:val="20"/>
                <w:szCs w:val="20"/>
                <w:lang w:val="en-GB"/>
              </w:rPr>
            </w:pPr>
          </w:p>
        </w:tc>
        <w:tc>
          <w:tcPr>
            <w:tcW w:w="850" w:type="dxa"/>
            <w:tcBorders>
              <w:top w:val="single" w:sz="4" w:space="0" w:color="auto"/>
            </w:tcBorders>
            <w:vAlign w:val="center"/>
          </w:tcPr>
          <w:p w14:paraId="56DD12FC" w14:textId="77777777" w:rsidR="00AE1A58" w:rsidRPr="00F27A29" w:rsidRDefault="00AE1A58" w:rsidP="00AE1A58">
            <w:pPr>
              <w:spacing w:before="0" w:after="0"/>
              <w:jc w:val="center"/>
              <w:rPr>
                <w:rFonts w:eastAsia="Calibri" w:cs="Times New Roman"/>
                <w:sz w:val="20"/>
                <w:szCs w:val="20"/>
                <w:lang w:val="en-GB"/>
              </w:rPr>
            </w:pPr>
          </w:p>
        </w:tc>
        <w:tc>
          <w:tcPr>
            <w:tcW w:w="1134" w:type="dxa"/>
            <w:tcBorders>
              <w:top w:val="single" w:sz="4" w:space="0" w:color="auto"/>
            </w:tcBorders>
            <w:vAlign w:val="center"/>
          </w:tcPr>
          <w:p w14:paraId="7A2E2E6D" w14:textId="77777777" w:rsidR="00AE1A58" w:rsidRPr="00F27A29" w:rsidRDefault="00AE1A58" w:rsidP="00AE1A58">
            <w:pPr>
              <w:spacing w:before="0" w:after="0"/>
              <w:jc w:val="center"/>
              <w:rPr>
                <w:rFonts w:eastAsia="Calibri" w:cs="Times New Roman"/>
                <w:sz w:val="20"/>
                <w:szCs w:val="20"/>
                <w:lang w:val="en-GB"/>
              </w:rPr>
            </w:pPr>
          </w:p>
        </w:tc>
        <w:tc>
          <w:tcPr>
            <w:tcW w:w="851" w:type="dxa"/>
            <w:tcBorders>
              <w:top w:val="single" w:sz="4" w:space="0" w:color="auto"/>
            </w:tcBorders>
            <w:vAlign w:val="center"/>
          </w:tcPr>
          <w:p w14:paraId="58B8067B" w14:textId="77777777" w:rsidR="00AE1A58" w:rsidRPr="00F27A29" w:rsidRDefault="00AE1A58" w:rsidP="00AE1A58">
            <w:pPr>
              <w:spacing w:before="0" w:after="0"/>
              <w:jc w:val="center"/>
              <w:rPr>
                <w:rFonts w:eastAsia="Calibri" w:cs="Times New Roman"/>
                <w:sz w:val="20"/>
                <w:szCs w:val="20"/>
                <w:lang w:val="en-GB"/>
              </w:rPr>
            </w:pPr>
          </w:p>
        </w:tc>
      </w:tr>
    </w:tbl>
    <w:p w14:paraId="20AF6D4D" w14:textId="7B372ECD" w:rsidR="00146654" w:rsidRDefault="00146654" w:rsidP="00A87583">
      <w:pPr>
        <w:spacing w:before="0" w:after="160" w:line="259" w:lineRule="auto"/>
      </w:pPr>
    </w:p>
    <w:sectPr w:rsidR="00146654" w:rsidSect="00C108EB">
      <w:footerReference w:type="default" r:id="rId12"/>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D8F85" w14:textId="77777777" w:rsidR="00E42E13" w:rsidRDefault="00E42E13" w:rsidP="00AE1A58">
      <w:pPr>
        <w:spacing w:before="0" w:after="0"/>
      </w:pPr>
      <w:r>
        <w:separator/>
      </w:r>
    </w:p>
  </w:endnote>
  <w:endnote w:type="continuationSeparator" w:id="0">
    <w:p w14:paraId="3C7FC75E" w14:textId="77777777" w:rsidR="00E42E13" w:rsidRDefault="00E42E13" w:rsidP="00AE1A5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196023"/>
      <w:docPartObj>
        <w:docPartGallery w:val="Page Numbers (Bottom of Page)"/>
        <w:docPartUnique/>
      </w:docPartObj>
    </w:sdtPr>
    <w:sdtEndPr>
      <w:rPr>
        <w:noProof/>
      </w:rPr>
    </w:sdtEndPr>
    <w:sdtContent>
      <w:p w14:paraId="1508487F" w14:textId="2DFA2B79" w:rsidR="00AE1A58" w:rsidRDefault="00AE1A58">
        <w:pPr>
          <w:pStyle w:val="Footer"/>
          <w:jc w:val="center"/>
        </w:pPr>
        <w:r>
          <w:t>S</w:t>
        </w:r>
        <w:r>
          <w:fldChar w:fldCharType="begin"/>
        </w:r>
        <w:r>
          <w:instrText xml:space="preserve"> PAGE   \* MERGEFORMAT </w:instrText>
        </w:r>
        <w:r>
          <w:fldChar w:fldCharType="separate"/>
        </w:r>
        <w:r>
          <w:rPr>
            <w:noProof/>
          </w:rPr>
          <w:t>2</w:t>
        </w:r>
        <w:r>
          <w:rPr>
            <w:noProof/>
          </w:rPr>
          <w:fldChar w:fldCharType="end"/>
        </w:r>
      </w:p>
    </w:sdtContent>
  </w:sdt>
  <w:p w14:paraId="0893CC5B" w14:textId="77777777" w:rsidR="00AE1A58" w:rsidRDefault="00AE1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F800B" w14:textId="77777777" w:rsidR="00E42E13" w:rsidRDefault="00E42E13" w:rsidP="00AE1A58">
      <w:pPr>
        <w:spacing w:before="0" w:after="0"/>
      </w:pPr>
      <w:r>
        <w:separator/>
      </w:r>
    </w:p>
  </w:footnote>
  <w:footnote w:type="continuationSeparator" w:id="0">
    <w:p w14:paraId="3600BC45" w14:textId="77777777" w:rsidR="00E42E13" w:rsidRDefault="00E42E13" w:rsidP="00AE1A5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39A11FA"/>
    <w:multiLevelType w:val="hybridMultilevel"/>
    <w:tmpl w:val="C5E09C4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F371BD3"/>
    <w:multiLevelType w:val="hybridMultilevel"/>
    <w:tmpl w:val="4496B9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95525FA"/>
    <w:multiLevelType w:val="hybridMultilevel"/>
    <w:tmpl w:val="4574D3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4DE29E4"/>
    <w:multiLevelType w:val="hybridMultilevel"/>
    <w:tmpl w:val="9D24005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B663B63"/>
    <w:multiLevelType w:val="hybridMultilevel"/>
    <w:tmpl w:val="FBA466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6F"/>
    <w:rsid w:val="0001558B"/>
    <w:rsid w:val="00026482"/>
    <w:rsid w:val="0002778C"/>
    <w:rsid w:val="00040F06"/>
    <w:rsid w:val="00063360"/>
    <w:rsid w:val="00076531"/>
    <w:rsid w:val="000B7635"/>
    <w:rsid w:val="0010410C"/>
    <w:rsid w:val="00146654"/>
    <w:rsid w:val="00160089"/>
    <w:rsid w:val="00166B6C"/>
    <w:rsid w:val="00174FB2"/>
    <w:rsid w:val="0019527D"/>
    <w:rsid w:val="001E0515"/>
    <w:rsid w:val="00201996"/>
    <w:rsid w:val="00235413"/>
    <w:rsid w:val="00244ED0"/>
    <w:rsid w:val="00270716"/>
    <w:rsid w:val="0027399A"/>
    <w:rsid w:val="002749FF"/>
    <w:rsid w:val="002804EB"/>
    <w:rsid w:val="002A4F54"/>
    <w:rsid w:val="002B59B7"/>
    <w:rsid w:val="002C6C52"/>
    <w:rsid w:val="00314614"/>
    <w:rsid w:val="003148C5"/>
    <w:rsid w:val="00331831"/>
    <w:rsid w:val="0035794A"/>
    <w:rsid w:val="00386AB1"/>
    <w:rsid w:val="0039270D"/>
    <w:rsid w:val="003A1130"/>
    <w:rsid w:val="003B64F8"/>
    <w:rsid w:val="0040705B"/>
    <w:rsid w:val="00421B90"/>
    <w:rsid w:val="004259E1"/>
    <w:rsid w:val="004334B5"/>
    <w:rsid w:val="004653E7"/>
    <w:rsid w:val="0047276F"/>
    <w:rsid w:val="0047297F"/>
    <w:rsid w:val="00485217"/>
    <w:rsid w:val="0048536C"/>
    <w:rsid w:val="004A1DE0"/>
    <w:rsid w:val="004A52B9"/>
    <w:rsid w:val="004E1870"/>
    <w:rsid w:val="004F3AB3"/>
    <w:rsid w:val="00501289"/>
    <w:rsid w:val="005057CD"/>
    <w:rsid w:val="00507054"/>
    <w:rsid w:val="00517CE1"/>
    <w:rsid w:val="00531A6E"/>
    <w:rsid w:val="0055169D"/>
    <w:rsid w:val="00551911"/>
    <w:rsid w:val="0056475C"/>
    <w:rsid w:val="00575445"/>
    <w:rsid w:val="005B3B87"/>
    <w:rsid w:val="00611BF4"/>
    <w:rsid w:val="00642C1F"/>
    <w:rsid w:val="00643A76"/>
    <w:rsid w:val="006460C0"/>
    <w:rsid w:val="00687847"/>
    <w:rsid w:val="006B49A0"/>
    <w:rsid w:val="006F2131"/>
    <w:rsid w:val="00712CAE"/>
    <w:rsid w:val="00720FDB"/>
    <w:rsid w:val="00726031"/>
    <w:rsid w:val="00727BB6"/>
    <w:rsid w:val="00773474"/>
    <w:rsid w:val="007A2C52"/>
    <w:rsid w:val="007A7A88"/>
    <w:rsid w:val="007B004E"/>
    <w:rsid w:val="007F51CA"/>
    <w:rsid w:val="008068AF"/>
    <w:rsid w:val="008152B8"/>
    <w:rsid w:val="008409FF"/>
    <w:rsid w:val="0088418A"/>
    <w:rsid w:val="008936B3"/>
    <w:rsid w:val="00945A00"/>
    <w:rsid w:val="00953B5B"/>
    <w:rsid w:val="00960DA2"/>
    <w:rsid w:val="00963CC9"/>
    <w:rsid w:val="00983E9F"/>
    <w:rsid w:val="009A4279"/>
    <w:rsid w:val="009A5451"/>
    <w:rsid w:val="00A06331"/>
    <w:rsid w:val="00A21A1C"/>
    <w:rsid w:val="00A46502"/>
    <w:rsid w:val="00A54B6F"/>
    <w:rsid w:val="00A853D5"/>
    <w:rsid w:val="00A87583"/>
    <w:rsid w:val="00AC105C"/>
    <w:rsid w:val="00AE1A58"/>
    <w:rsid w:val="00B00470"/>
    <w:rsid w:val="00B22A5D"/>
    <w:rsid w:val="00B24283"/>
    <w:rsid w:val="00B346DD"/>
    <w:rsid w:val="00B56B2A"/>
    <w:rsid w:val="00B61F4E"/>
    <w:rsid w:val="00BA59A0"/>
    <w:rsid w:val="00BB14ED"/>
    <w:rsid w:val="00BD50A0"/>
    <w:rsid w:val="00BD7E50"/>
    <w:rsid w:val="00C01573"/>
    <w:rsid w:val="00C10067"/>
    <w:rsid w:val="00C108EB"/>
    <w:rsid w:val="00C26B41"/>
    <w:rsid w:val="00C3254D"/>
    <w:rsid w:val="00CC4B57"/>
    <w:rsid w:val="00CD7BE4"/>
    <w:rsid w:val="00D35611"/>
    <w:rsid w:val="00D6371D"/>
    <w:rsid w:val="00D90853"/>
    <w:rsid w:val="00DC704B"/>
    <w:rsid w:val="00DD2C41"/>
    <w:rsid w:val="00E2668D"/>
    <w:rsid w:val="00E278C2"/>
    <w:rsid w:val="00E37494"/>
    <w:rsid w:val="00E42E13"/>
    <w:rsid w:val="00E67070"/>
    <w:rsid w:val="00E8033F"/>
    <w:rsid w:val="00E810CE"/>
    <w:rsid w:val="00EB3F1D"/>
    <w:rsid w:val="00EC443E"/>
    <w:rsid w:val="00F23FC6"/>
    <w:rsid w:val="00F2719A"/>
    <w:rsid w:val="00F27A29"/>
    <w:rsid w:val="00F36B2B"/>
    <w:rsid w:val="00F46B96"/>
    <w:rsid w:val="00F5634A"/>
    <w:rsid w:val="00F66DD0"/>
    <w:rsid w:val="00F743F9"/>
    <w:rsid w:val="00F74F12"/>
    <w:rsid w:val="00F7727A"/>
    <w:rsid w:val="00F87021"/>
    <w:rsid w:val="00FA5D9A"/>
    <w:rsid w:val="00FD08F7"/>
    <w:rsid w:val="00FE1A0E"/>
  </w:rsids>
  <m:mathPr>
    <m:mathFont m:val="Cambria Math"/>
    <m:brkBin m:val="before"/>
    <m:brkBinSub m:val="--"/>
    <m:smallFrac m:val="0"/>
    <m:dispDef/>
    <m:lMargin m:val="0"/>
    <m:rMargin m:val="0"/>
    <m:defJc m:val="centerGroup"/>
    <m:wrapIndent m:val="1440"/>
    <m:intLim m:val="subSup"/>
    <m:naryLim m:val="undOvr"/>
  </m:mathPr>
  <w:themeFontLang w:val="en-S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91D0C"/>
  <w15:chartTrackingRefBased/>
  <w15:docId w15:val="{F470DEED-EF4D-44A9-9646-83C4C401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C9"/>
    <w:pPr>
      <w:spacing w:before="120" w:after="240" w:line="240" w:lineRule="auto"/>
    </w:pPr>
    <w:rPr>
      <w:rFonts w:ascii="Times New Roman" w:hAnsi="Times New Roman"/>
      <w:sz w:val="24"/>
      <w:lang w:val="en-US"/>
    </w:rPr>
  </w:style>
  <w:style w:type="paragraph" w:styleId="Heading1">
    <w:name w:val="heading 1"/>
    <w:basedOn w:val="ListParagraph"/>
    <w:next w:val="Normal"/>
    <w:link w:val="Heading1Char"/>
    <w:uiPriority w:val="2"/>
    <w:qFormat/>
    <w:rsid w:val="00963CC9"/>
    <w:pPr>
      <w:numPr>
        <w:numId w:val="1"/>
      </w:numPr>
      <w:spacing w:before="240"/>
      <w:contextualSpacing w:val="0"/>
      <w:outlineLvl w:val="0"/>
    </w:pPr>
    <w:rPr>
      <w:rFonts w:eastAsia="Cambria" w:cs="Times New Roman"/>
      <w:b/>
      <w:szCs w:val="24"/>
    </w:rPr>
  </w:style>
  <w:style w:type="paragraph" w:styleId="Heading2">
    <w:name w:val="heading 2"/>
    <w:basedOn w:val="Heading1"/>
    <w:next w:val="Normal"/>
    <w:link w:val="Heading2Char"/>
    <w:uiPriority w:val="2"/>
    <w:qFormat/>
    <w:rsid w:val="00963CC9"/>
    <w:pPr>
      <w:numPr>
        <w:ilvl w:val="1"/>
      </w:numPr>
      <w:spacing w:after="200"/>
      <w:outlineLvl w:val="1"/>
    </w:pPr>
  </w:style>
  <w:style w:type="paragraph" w:styleId="Heading3">
    <w:name w:val="heading 3"/>
    <w:basedOn w:val="Normal"/>
    <w:next w:val="Normal"/>
    <w:link w:val="Heading3Char"/>
    <w:uiPriority w:val="2"/>
    <w:qFormat/>
    <w:rsid w:val="00963CC9"/>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963CC9"/>
    <w:pPr>
      <w:numPr>
        <w:ilvl w:val="3"/>
      </w:numPr>
      <w:outlineLvl w:val="3"/>
    </w:pPr>
    <w:rPr>
      <w:iCs/>
    </w:rPr>
  </w:style>
  <w:style w:type="paragraph" w:styleId="Heading5">
    <w:name w:val="heading 5"/>
    <w:basedOn w:val="Heading4"/>
    <w:next w:val="Normal"/>
    <w:link w:val="Heading5Char"/>
    <w:uiPriority w:val="2"/>
    <w:qFormat/>
    <w:rsid w:val="00963CC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63CC9"/>
    <w:rPr>
      <w:rFonts w:ascii="Times New Roman" w:eastAsia="Cambria" w:hAnsi="Times New Roman" w:cs="Times New Roman"/>
      <w:b/>
      <w:sz w:val="24"/>
      <w:szCs w:val="24"/>
      <w:lang w:val="en-US"/>
    </w:rPr>
  </w:style>
  <w:style w:type="character" w:customStyle="1" w:styleId="Heading2Char">
    <w:name w:val="Heading 2 Char"/>
    <w:basedOn w:val="DefaultParagraphFont"/>
    <w:link w:val="Heading2"/>
    <w:uiPriority w:val="2"/>
    <w:rsid w:val="00963CC9"/>
    <w:rPr>
      <w:rFonts w:ascii="Times New Roman" w:eastAsia="Cambria" w:hAnsi="Times New Roman" w:cs="Times New Roman"/>
      <w:b/>
      <w:sz w:val="24"/>
      <w:szCs w:val="24"/>
      <w:lang w:val="en-US"/>
    </w:rPr>
  </w:style>
  <w:style w:type="character" w:customStyle="1" w:styleId="Heading3Char">
    <w:name w:val="Heading 3 Char"/>
    <w:basedOn w:val="DefaultParagraphFont"/>
    <w:link w:val="Heading3"/>
    <w:uiPriority w:val="2"/>
    <w:rsid w:val="00963CC9"/>
    <w:rPr>
      <w:rFonts w:ascii="Times New Roman" w:eastAsiaTheme="majorEastAsia" w:hAnsi="Times New Roman" w:cstheme="majorBidi"/>
      <w:b/>
      <w:sz w:val="24"/>
      <w:szCs w:val="24"/>
      <w:lang w:val="en-US"/>
    </w:rPr>
  </w:style>
  <w:style w:type="character" w:customStyle="1" w:styleId="Heading4Char">
    <w:name w:val="Heading 4 Char"/>
    <w:basedOn w:val="DefaultParagraphFont"/>
    <w:link w:val="Heading4"/>
    <w:uiPriority w:val="2"/>
    <w:rsid w:val="00963CC9"/>
    <w:rPr>
      <w:rFonts w:ascii="Times New Roman" w:eastAsiaTheme="majorEastAsia" w:hAnsi="Times New Roman" w:cstheme="majorBidi"/>
      <w:b/>
      <w:iCs/>
      <w:sz w:val="24"/>
      <w:szCs w:val="24"/>
      <w:lang w:val="en-US"/>
    </w:rPr>
  </w:style>
  <w:style w:type="character" w:customStyle="1" w:styleId="Heading5Char">
    <w:name w:val="Heading 5 Char"/>
    <w:basedOn w:val="DefaultParagraphFont"/>
    <w:link w:val="Heading5"/>
    <w:uiPriority w:val="2"/>
    <w:rsid w:val="00963CC9"/>
    <w:rPr>
      <w:rFonts w:ascii="Times New Roman" w:eastAsiaTheme="majorEastAsia" w:hAnsi="Times New Roman" w:cstheme="majorBidi"/>
      <w:b/>
      <w:iCs/>
      <w:sz w:val="24"/>
      <w:szCs w:val="24"/>
      <w:lang w:val="en-US"/>
    </w:rPr>
  </w:style>
  <w:style w:type="numbering" w:customStyle="1" w:styleId="Headings">
    <w:name w:val="Headings"/>
    <w:uiPriority w:val="99"/>
    <w:rsid w:val="00963CC9"/>
    <w:pPr>
      <w:numPr>
        <w:numId w:val="1"/>
      </w:numPr>
    </w:pPr>
  </w:style>
  <w:style w:type="paragraph" w:styleId="ListParagraph">
    <w:name w:val="List Paragraph"/>
    <w:basedOn w:val="Normal"/>
    <w:uiPriority w:val="34"/>
    <w:qFormat/>
    <w:rsid w:val="00963CC9"/>
    <w:pPr>
      <w:ind w:left="720"/>
      <w:contextualSpacing/>
    </w:pPr>
  </w:style>
  <w:style w:type="character" w:styleId="PlaceholderText">
    <w:name w:val="Placeholder Text"/>
    <w:basedOn w:val="DefaultParagraphFont"/>
    <w:uiPriority w:val="99"/>
    <w:semiHidden/>
    <w:rsid w:val="00963CC9"/>
    <w:rPr>
      <w:color w:val="808080"/>
    </w:rPr>
  </w:style>
  <w:style w:type="paragraph" w:styleId="Caption">
    <w:name w:val="caption"/>
    <w:basedOn w:val="Normal"/>
    <w:next w:val="Normal"/>
    <w:uiPriority w:val="35"/>
    <w:unhideWhenUsed/>
    <w:qFormat/>
    <w:rsid w:val="00C108EB"/>
    <w:pPr>
      <w:spacing w:before="0" w:after="200"/>
    </w:pPr>
    <w:rPr>
      <w:i/>
      <w:iCs/>
      <w:color w:val="44546A" w:themeColor="text2"/>
      <w:sz w:val="18"/>
      <w:szCs w:val="18"/>
    </w:rPr>
  </w:style>
  <w:style w:type="character" w:styleId="LineNumber">
    <w:name w:val="line number"/>
    <w:basedOn w:val="DefaultParagraphFont"/>
    <w:uiPriority w:val="99"/>
    <w:semiHidden/>
    <w:unhideWhenUsed/>
    <w:rsid w:val="00C108EB"/>
  </w:style>
  <w:style w:type="table" w:customStyle="1" w:styleId="TableGrid1">
    <w:name w:val="Table Grid1"/>
    <w:basedOn w:val="TableNormal"/>
    <w:next w:val="TableGrid"/>
    <w:uiPriority w:val="39"/>
    <w:rsid w:val="00AE1A58"/>
    <w:pPr>
      <w:spacing w:after="0" w:line="240" w:lineRule="auto"/>
    </w:pPr>
    <w:rPr>
      <w:rFonts w:ascii="Calibri" w:hAnsi="Calibri"/>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E1A58"/>
    <w:pPr>
      <w:spacing w:after="0" w:line="240" w:lineRule="auto"/>
    </w:pPr>
    <w:rPr>
      <w:rFonts w:ascii="Calibri" w:hAnsi="Calibri"/>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E1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1A58"/>
    <w:rPr>
      <w:color w:val="0563C1" w:themeColor="hyperlink"/>
      <w:u w:val="single"/>
    </w:rPr>
  </w:style>
  <w:style w:type="paragraph" w:styleId="Header">
    <w:name w:val="header"/>
    <w:basedOn w:val="Normal"/>
    <w:link w:val="HeaderChar"/>
    <w:uiPriority w:val="99"/>
    <w:unhideWhenUsed/>
    <w:rsid w:val="00AE1A58"/>
    <w:pPr>
      <w:tabs>
        <w:tab w:val="center" w:pos="4513"/>
        <w:tab w:val="right" w:pos="9026"/>
      </w:tabs>
      <w:spacing w:before="0" w:after="0"/>
    </w:pPr>
  </w:style>
  <w:style w:type="character" w:customStyle="1" w:styleId="HeaderChar">
    <w:name w:val="Header Char"/>
    <w:basedOn w:val="DefaultParagraphFont"/>
    <w:link w:val="Header"/>
    <w:uiPriority w:val="99"/>
    <w:rsid w:val="00AE1A58"/>
    <w:rPr>
      <w:rFonts w:ascii="Times New Roman" w:hAnsi="Times New Roman"/>
      <w:sz w:val="24"/>
      <w:lang w:val="en-US"/>
    </w:rPr>
  </w:style>
  <w:style w:type="paragraph" w:styleId="Footer">
    <w:name w:val="footer"/>
    <w:basedOn w:val="Normal"/>
    <w:link w:val="FooterChar"/>
    <w:uiPriority w:val="99"/>
    <w:unhideWhenUsed/>
    <w:rsid w:val="00AE1A58"/>
    <w:pPr>
      <w:tabs>
        <w:tab w:val="center" w:pos="4513"/>
        <w:tab w:val="right" w:pos="9026"/>
      </w:tabs>
      <w:spacing w:before="0" w:after="0"/>
    </w:pPr>
  </w:style>
  <w:style w:type="character" w:customStyle="1" w:styleId="FooterChar">
    <w:name w:val="Footer Char"/>
    <w:basedOn w:val="DefaultParagraphFont"/>
    <w:link w:val="Footer"/>
    <w:uiPriority w:val="99"/>
    <w:rsid w:val="00AE1A58"/>
    <w:rPr>
      <w:rFonts w:ascii="Times New Roman" w:hAnsi="Times New Roman"/>
      <w:sz w:val="24"/>
      <w:lang w:val="en-US"/>
    </w:rPr>
  </w:style>
  <w:style w:type="character" w:styleId="CommentReference">
    <w:name w:val="annotation reference"/>
    <w:basedOn w:val="DefaultParagraphFont"/>
    <w:uiPriority w:val="99"/>
    <w:semiHidden/>
    <w:unhideWhenUsed/>
    <w:rsid w:val="003A1130"/>
    <w:rPr>
      <w:sz w:val="16"/>
      <w:szCs w:val="16"/>
    </w:rPr>
  </w:style>
  <w:style w:type="paragraph" w:styleId="CommentText">
    <w:name w:val="annotation text"/>
    <w:basedOn w:val="Normal"/>
    <w:link w:val="CommentTextChar"/>
    <w:uiPriority w:val="99"/>
    <w:unhideWhenUsed/>
    <w:rsid w:val="003A1130"/>
    <w:rPr>
      <w:sz w:val="20"/>
      <w:szCs w:val="20"/>
    </w:rPr>
  </w:style>
  <w:style w:type="character" w:customStyle="1" w:styleId="CommentTextChar">
    <w:name w:val="Comment Text Char"/>
    <w:basedOn w:val="DefaultParagraphFont"/>
    <w:link w:val="CommentText"/>
    <w:uiPriority w:val="99"/>
    <w:rsid w:val="003A1130"/>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3A1130"/>
    <w:rPr>
      <w:b/>
      <w:bCs/>
    </w:rPr>
  </w:style>
  <w:style w:type="character" w:customStyle="1" w:styleId="CommentSubjectChar">
    <w:name w:val="Comment Subject Char"/>
    <w:basedOn w:val="CommentTextChar"/>
    <w:link w:val="CommentSubject"/>
    <w:uiPriority w:val="99"/>
    <w:semiHidden/>
    <w:rsid w:val="003A1130"/>
    <w:rPr>
      <w:rFonts w:ascii="Times New Roman" w:hAnsi="Times New Roman"/>
      <w:b/>
      <w:bCs/>
      <w:sz w:val="20"/>
      <w:szCs w:val="20"/>
      <w:lang w:val="en-US"/>
    </w:rPr>
  </w:style>
  <w:style w:type="paragraph" w:styleId="Revision">
    <w:name w:val="Revision"/>
    <w:hidden/>
    <w:uiPriority w:val="99"/>
    <w:semiHidden/>
    <w:rsid w:val="00E2668D"/>
    <w:pPr>
      <w:spacing w:after="0" w:line="240" w:lineRule="auto"/>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8185">
      <w:bodyDiv w:val="1"/>
      <w:marLeft w:val="0"/>
      <w:marRight w:val="0"/>
      <w:marTop w:val="0"/>
      <w:marBottom w:val="0"/>
      <w:divBdr>
        <w:top w:val="none" w:sz="0" w:space="0" w:color="auto"/>
        <w:left w:val="none" w:sz="0" w:space="0" w:color="auto"/>
        <w:bottom w:val="none" w:sz="0" w:space="0" w:color="auto"/>
        <w:right w:val="none" w:sz="0" w:space="0" w:color="auto"/>
      </w:divBdr>
      <w:divsChild>
        <w:div w:id="1998147626">
          <w:marLeft w:val="640"/>
          <w:marRight w:val="0"/>
          <w:marTop w:val="0"/>
          <w:marBottom w:val="0"/>
          <w:divBdr>
            <w:top w:val="none" w:sz="0" w:space="0" w:color="auto"/>
            <w:left w:val="none" w:sz="0" w:space="0" w:color="auto"/>
            <w:bottom w:val="none" w:sz="0" w:space="0" w:color="auto"/>
            <w:right w:val="none" w:sz="0" w:space="0" w:color="auto"/>
          </w:divBdr>
        </w:div>
        <w:div w:id="1747142781">
          <w:marLeft w:val="640"/>
          <w:marRight w:val="0"/>
          <w:marTop w:val="0"/>
          <w:marBottom w:val="0"/>
          <w:divBdr>
            <w:top w:val="none" w:sz="0" w:space="0" w:color="auto"/>
            <w:left w:val="none" w:sz="0" w:space="0" w:color="auto"/>
            <w:bottom w:val="none" w:sz="0" w:space="0" w:color="auto"/>
            <w:right w:val="none" w:sz="0" w:space="0" w:color="auto"/>
          </w:divBdr>
        </w:div>
        <w:div w:id="155460200">
          <w:marLeft w:val="640"/>
          <w:marRight w:val="0"/>
          <w:marTop w:val="0"/>
          <w:marBottom w:val="0"/>
          <w:divBdr>
            <w:top w:val="none" w:sz="0" w:space="0" w:color="auto"/>
            <w:left w:val="none" w:sz="0" w:space="0" w:color="auto"/>
            <w:bottom w:val="none" w:sz="0" w:space="0" w:color="auto"/>
            <w:right w:val="none" w:sz="0" w:space="0" w:color="auto"/>
          </w:divBdr>
        </w:div>
      </w:divsChild>
    </w:div>
    <w:div w:id="260380908">
      <w:bodyDiv w:val="1"/>
      <w:marLeft w:val="0"/>
      <w:marRight w:val="0"/>
      <w:marTop w:val="0"/>
      <w:marBottom w:val="0"/>
      <w:divBdr>
        <w:top w:val="none" w:sz="0" w:space="0" w:color="auto"/>
        <w:left w:val="none" w:sz="0" w:space="0" w:color="auto"/>
        <w:bottom w:val="none" w:sz="0" w:space="0" w:color="auto"/>
        <w:right w:val="none" w:sz="0" w:space="0" w:color="auto"/>
      </w:divBdr>
      <w:divsChild>
        <w:div w:id="787434740">
          <w:marLeft w:val="480"/>
          <w:marRight w:val="0"/>
          <w:marTop w:val="0"/>
          <w:marBottom w:val="0"/>
          <w:divBdr>
            <w:top w:val="none" w:sz="0" w:space="0" w:color="auto"/>
            <w:left w:val="none" w:sz="0" w:space="0" w:color="auto"/>
            <w:bottom w:val="none" w:sz="0" w:space="0" w:color="auto"/>
            <w:right w:val="none" w:sz="0" w:space="0" w:color="auto"/>
          </w:divBdr>
        </w:div>
        <w:div w:id="1196121099">
          <w:marLeft w:val="480"/>
          <w:marRight w:val="0"/>
          <w:marTop w:val="0"/>
          <w:marBottom w:val="0"/>
          <w:divBdr>
            <w:top w:val="none" w:sz="0" w:space="0" w:color="auto"/>
            <w:left w:val="none" w:sz="0" w:space="0" w:color="auto"/>
            <w:bottom w:val="none" w:sz="0" w:space="0" w:color="auto"/>
            <w:right w:val="none" w:sz="0" w:space="0" w:color="auto"/>
          </w:divBdr>
        </w:div>
        <w:div w:id="988249601">
          <w:marLeft w:val="480"/>
          <w:marRight w:val="0"/>
          <w:marTop w:val="0"/>
          <w:marBottom w:val="0"/>
          <w:divBdr>
            <w:top w:val="none" w:sz="0" w:space="0" w:color="auto"/>
            <w:left w:val="none" w:sz="0" w:space="0" w:color="auto"/>
            <w:bottom w:val="none" w:sz="0" w:space="0" w:color="auto"/>
            <w:right w:val="none" w:sz="0" w:space="0" w:color="auto"/>
          </w:divBdr>
        </w:div>
      </w:divsChild>
    </w:div>
    <w:div w:id="608009409">
      <w:bodyDiv w:val="1"/>
      <w:marLeft w:val="0"/>
      <w:marRight w:val="0"/>
      <w:marTop w:val="0"/>
      <w:marBottom w:val="0"/>
      <w:divBdr>
        <w:top w:val="none" w:sz="0" w:space="0" w:color="auto"/>
        <w:left w:val="none" w:sz="0" w:space="0" w:color="auto"/>
        <w:bottom w:val="none" w:sz="0" w:space="0" w:color="auto"/>
        <w:right w:val="none" w:sz="0" w:space="0" w:color="auto"/>
      </w:divBdr>
      <w:divsChild>
        <w:div w:id="1965114823">
          <w:marLeft w:val="640"/>
          <w:marRight w:val="0"/>
          <w:marTop w:val="0"/>
          <w:marBottom w:val="0"/>
          <w:divBdr>
            <w:top w:val="none" w:sz="0" w:space="0" w:color="auto"/>
            <w:left w:val="none" w:sz="0" w:space="0" w:color="auto"/>
            <w:bottom w:val="none" w:sz="0" w:space="0" w:color="auto"/>
            <w:right w:val="none" w:sz="0" w:space="0" w:color="auto"/>
          </w:divBdr>
        </w:div>
        <w:div w:id="1990598811">
          <w:marLeft w:val="640"/>
          <w:marRight w:val="0"/>
          <w:marTop w:val="0"/>
          <w:marBottom w:val="0"/>
          <w:divBdr>
            <w:top w:val="none" w:sz="0" w:space="0" w:color="auto"/>
            <w:left w:val="none" w:sz="0" w:space="0" w:color="auto"/>
            <w:bottom w:val="none" w:sz="0" w:space="0" w:color="auto"/>
            <w:right w:val="none" w:sz="0" w:space="0" w:color="auto"/>
          </w:divBdr>
        </w:div>
        <w:div w:id="1723098447">
          <w:marLeft w:val="640"/>
          <w:marRight w:val="0"/>
          <w:marTop w:val="0"/>
          <w:marBottom w:val="0"/>
          <w:divBdr>
            <w:top w:val="none" w:sz="0" w:space="0" w:color="auto"/>
            <w:left w:val="none" w:sz="0" w:space="0" w:color="auto"/>
            <w:bottom w:val="none" w:sz="0" w:space="0" w:color="auto"/>
            <w:right w:val="none" w:sz="0" w:space="0" w:color="auto"/>
          </w:divBdr>
        </w:div>
      </w:divsChild>
    </w:div>
    <w:div w:id="892695001">
      <w:bodyDiv w:val="1"/>
      <w:marLeft w:val="0"/>
      <w:marRight w:val="0"/>
      <w:marTop w:val="0"/>
      <w:marBottom w:val="0"/>
      <w:divBdr>
        <w:top w:val="none" w:sz="0" w:space="0" w:color="auto"/>
        <w:left w:val="none" w:sz="0" w:space="0" w:color="auto"/>
        <w:bottom w:val="none" w:sz="0" w:space="0" w:color="auto"/>
        <w:right w:val="none" w:sz="0" w:space="0" w:color="auto"/>
      </w:divBdr>
      <w:divsChild>
        <w:div w:id="943344667">
          <w:marLeft w:val="640"/>
          <w:marRight w:val="0"/>
          <w:marTop w:val="0"/>
          <w:marBottom w:val="0"/>
          <w:divBdr>
            <w:top w:val="none" w:sz="0" w:space="0" w:color="auto"/>
            <w:left w:val="none" w:sz="0" w:space="0" w:color="auto"/>
            <w:bottom w:val="none" w:sz="0" w:space="0" w:color="auto"/>
            <w:right w:val="none" w:sz="0" w:space="0" w:color="auto"/>
          </w:divBdr>
        </w:div>
        <w:div w:id="1492677089">
          <w:marLeft w:val="640"/>
          <w:marRight w:val="0"/>
          <w:marTop w:val="0"/>
          <w:marBottom w:val="0"/>
          <w:divBdr>
            <w:top w:val="none" w:sz="0" w:space="0" w:color="auto"/>
            <w:left w:val="none" w:sz="0" w:space="0" w:color="auto"/>
            <w:bottom w:val="none" w:sz="0" w:space="0" w:color="auto"/>
            <w:right w:val="none" w:sz="0" w:space="0" w:color="auto"/>
          </w:divBdr>
        </w:div>
        <w:div w:id="1997494473">
          <w:marLeft w:val="640"/>
          <w:marRight w:val="0"/>
          <w:marTop w:val="0"/>
          <w:marBottom w:val="0"/>
          <w:divBdr>
            <w:top w:val="none" w:sz="0" w:space="0" w:color="auto"/>
            <w:left w:val="none" w:sz="0" w:space="0" w:color="auto"/>
            <w:bottom w:val="none" w:sz="0" w:space="0" w:color="auto"/>
            <w:right w:val="none" w:sz="0" w:space="0" w:color="auto"/>
          </w:divBdr>
        </w:div>
      </w:divsChild>
    </w:div>
    <w:div w:id="1168324661">
      <w:bodyDiv w:val="1"/>
      <w:marLeft w:val="0"/>
      <w:marRight w:val="0"/>
      <w:marTop w:val="0"/>
      <w:marBottom w:val="0"/>
      <w:divBdr>
        <w:top w:val="none" w:sz="0" w:space="0" w:color="auto"/>
        <w:left w:val="none" w:sz="0" w:space="0" w:color="auto"/>
        <w:bottom w:val="none" w:sz="0" w:space="0" w:color="auto"/>
        <w:right w:val="none" w:sz="0" w:space="0" w:color="auto"/>
      </w:divBdr>
    </w:div>
    <w:div w:id="1249384659">
      <w:bodyDiv w:val="1"/>
      <w:marLeft w:val="0"/>
      <w:marRight w:val="0"/>
      <w:marTop w:val="0"/>
      <w:marBottom w:val="0"/>
      <w:divBdr>
        <w:top w:val="none" w:sz="0" w:space="0" w:color="auto"/>
        <w:left w:val="none" w:sz="0" w:space="0" w:color="auto"/>
        <w:bottom w:val="none" w:sz="0" w:space="0" w:color="auto"/>
        <w:right w:val="none" w:sz="0" w:space="0" w:color="auto"/>
      </w:divBdr>
    </w:div>
    <w:div w:id="1283222135">
      <w:bodyDiv w:val="1"/>
      <w:marLeft w:val="0"/>
      <w:marRight w:val="0"/>
      <w:marTop w:val="0"/>
      <w:marBottom w:val="0"/>
      <w:divBdr>
        <w:top w:val="none" w:sz="0" w:space="0" w:color="auto"/>
        <w:left w:val="none" w:sz="0" w:space="0" w:color="auto"/>
        <w:bottom w:val="none" w:sz="0" w:space="0" w:color="auto"/>
        <w:right w:val="none" w:sz="0" w:space="0" w:color="auto"/>
      </w:divBdr>
    </w:div>
    <w:div w:id="1420710790">
      <w:bodyDiv w:val="1"/>
      <w:marLeft w:val="0"/>
      <w:marRight w:val="0"/>
      <w:marTop w:val="0"/>
      <w:marBottom w:val="0"/>
      <w:divBdr>
        <w:top w:val="none" w:sz="0" w:space="0" w:color="auto"/>
        <w:left w:val="none" w:sz="0" w:space="0" w:color="auto"/>
        <w:bottom w:val="none" w:sz="0" w:space="0" w:color="auto"/>
        <w:right w:val="none" w:sz="0" w:space="0" w:color="auto"/>
      </w:divBdr>
      <w:divsChild>
        <w:div w:id="573664197">
          <w:marLeft w:val="640"/>
          <w:marRight w:val="0"/>
          <w:marTop w:val="0"/>
          <w:marBottom w:val="0"/>
          <w:divBdr>
            <w:top w:val="none" w:sz="0" w:space="0" w:color="auto"/>
            <w:left w:val="none" w:sz="0" w:space="0" w:color="auto"/>
            <w:bottom w:val="none" w:sz="0" w:space="0" w:color="auto"/>
            <w:right w:val="none" w:sz="0" w:space="0" w:color="auto"/>
          </w:divBdr>
        </w:div>
        <w:div w:id="109399153">
          <w:marLeft w:val="640"/>
          <w:marRight w:val="0"/>
          <w:marTop w:val="0"/>
          <w:marBottom w:val="0"/>
          <w:divBdr>
            <w:top w:val="none" w:sz="0" w:space="0" w:color="auto"/>
            <w:left w:val="none" w:sz="0" w:space="0" w:color="auto"/>
            <w:bottom w:val="none" w:sz="0" w:space="0" w:color="auto"/>
            <w:right w:val="none" w:sz="0" w:space="0" w:color="auto"/>
          </w:divBdr>
        </w:div>
        <w:div w:id="611284365">
          <w:marLeft w:val="640"/>
          <w:marRight w:val="0"/>
          <w:marTop w:val="0"/>
          <w:marBottom w:val="0"/>
          <w:divBdr>
            <w:top w:val="none" w:sz="0" w:space="0" w:color="auto"/>
            <w:left w:val="none" w:sz="0" w:space="0" w:color="auto"/>
            <w:bottom w:val="none" w:sz="0" w:space="0" w:color="auto"/>
            <w:right w:val="none" w:sz="0" w:space="0" w:color="auto"/>
          </w:divBdr>
        </w:div>
      </w:divsChild>
    </w:div>
    <w:div w:id="1459294290">
      <w:bodyDiv w:val="1"/>
      <w:marLeft w:val="0"/>
      <w:marRight w:val="0"/>
      <w:marTop w:val="0"/>
      <w:marBottom w:val="0"/>
      <w:divBdr>
        <w:top w:val="none" w:sz="0" w:space="0" w:color="auto"/>
        <w:left w:val="none" w:sz="0" w:space="0" w:color="auto"/>
        <w:bottom w:val="none" w:sz="0" w:space="0" w:color="auto"/>
        <w:right w:val="none" w:sz="0" w:space="0" w:color="auto"/>
      </w:divBdr>
      <w:divsChild>
        <w:div w:id="1094477635">
          <w:marLeft w:val="480"/>
          <w:marRight w:val="0"/>
          <w:marTop w:val="0"/>
          <w:marBottom w:val="0"/>
          <w:divBdr>
            <w:top w:val="none" w:sz="0" w:space="0" w:color="auto"/>
            <w:left w:val="none" w:sz="0" w:space="0" w:color="auto"/>
            <w:bottom w:val="none" w:sz="0" w:space="0" w:color="auto"/>
            <w:right w:val="none" w:sz="0" w:space="0" w:color="auto"/>
          </w:divBdr>
        </w:div>
        <w:div w:id="519705675">
          <w:marLeft w:val="480"/>
          <w:marRight w:val="0"/>
          <w:marTop w:val="0"/>
          <w:marBottom w:val="0"/>
          <w:divBdr>
            <w:top w:val="none" w:sz="0" w:space="0" w:color="auto"/>
            <w:left w:val="none" w:sz="0" w:space="0" w:color="auto"/>
            <w:bottom w:val="none" w:sz="0" w:space="0" w:color="auto"/>
            <w:right w:val="none" w:sz="0" w:space="0" w:color="auto"/>
          </w:divBdr>
        </w:div>
        <w:div w:id="2118744008">
          <w:marLeft w:val="480"/>
          <w:marRight w:val="0"/>
          <w:marTop w:val="0"/>
          <w:marBottom w:val="0"/>
          <w:divBdr>
            <w:top w:val="none" w:sz="0" w:space="0" w:color="auto"/>
            <w:left w:val="none" w:sz="0" w:space="0" w:color="auto"/>
            <w:bottom w:val="none" w:sz="0" w:space="0" w:color="auto"/>
            <w:right w:val="none" w:sz="0" w:space="0" w:color="auto"/>
          </w:divBdr>
        </w:div>
      </w:divsChild>
    </w:div>
    <w:div w:id="1499269709">
      <w:bodyDiv w:val="1"/>
      <w:marLeft w:val="0"/>
      <w:marRight w:val="0"/>
      <w:marTop w:val="0"/>
      <w:marBottom w:val="0"/>
      <w:divBdr>
        <w:top w:val="none" w:sz="0" w:space="0" w:color="auto"/>
        <w:left w:val="none" w:sz="0" w:space="0" w:color="auto"/>
        <w:bottom w:val="none" w:sz="0" w:space="0" w:color="auto"/>
        <w:right w:val="none" w:sz="0" w:space="0" w:color="auto"/>
      </w:divBdr>
      <w:divsChild>
        <w:div w:id="1009219401">
          <w:marLeft w:val="640"/>
          <w:marRight w:val="0"/>
          <w:marTop w:val="0"/>
          <w:marBottom w:val="0"/>
          <w:divBdr>
            <w:top w:val="none" w:sz="0" w:space="0" w:color="auto"/>
            <w:left w:val="none" w:sz="0" w:space="0" w:color="auto"/>
            <w:bottom w:val="none" w:sz="0" w:space="0" w:color="auto"/>
            <w:right w:val="none" w:sz="0" w:space="0" w:color="auto"/>
          </w:divBdr>
        </w:div>
        <w:div w:id="1408839977">
          <w:marLeft w:val="640"/>
          <w:marRight w:val="0"/>
          <w:marTop w:val="0"/>
          <w:marBottom w:val="0"/>
          <w:divBdr>
            <w:top w:val="none" w:sz="0" w:space="0" w:color="auto"/>
            <w:left w:val="none" w:sz="0" w:space="0" w:color="auto"/>
            <w:bottom w:val="none" w:sz="0" w:space="0" w:color="auto"/>
            <w:right w:val="none" w:sz="0" w:space="0" w:color="auto"/>
          </w:divBdr>
        </w:div>
        <w:div w:id="197546172">
          <w:marLeft w:val="640"/>
          <w:marRight w:val="0"/>
          <w:marTop w:val="0"/>
          <w:marBottom w:val="0"/>
          <w:divBdr>
            <w:top w:val="none" w:sz="0" w:space="0" w:color="auto"/>
            <w:left w:val="none" w:sz="0" w:space="0" w:color="auto"/>
            <w:bottom w:val="none" w:sz="0" w:space="0" w:color="auto"/>
            <w:right w:val="none" w:sz="0" w:space="0" w:color="auto"/>
          </w:divBdr>
          <w:divsChild>
            <w:div w:id="852955348">
              <w:marLeft w:val="0"/>
              <w:marRight w:val="0"/>
              <w:marTop w:val="0"/>
              <w:marBottom w:val="0"/>
              <w:divBdr>
                <w:top w:val="none" w:sz="0" w:space="0" w:color="auto"/>
                <w:left w:val="none" w:sz="0" w:space="0" w:color="auto"/>
                <w:bottom w:val="none" w:sz="0" w:space="0" w:color="auto"/>
                <w:right w:val="none" w:sz="0" w:space="0" w:color="auto"/>
              </w:divBdr>
              <w:divsChild>
                <w:div w:id="601188017">
                  <w:marLeft w:val="640"/>
                  <w:marRight w:val="0"/>
                  <w:marTop w:val="0"/>
                  <w:marBottom w:val="0"/>
                  <w:divBdr>
                    <w:top w:val="none" w:sz="0" w:space="0" w:color="auto"/>
                    <w:left w:val="none" w:sz="0" w:space="0" w:color="auto"/>
                    <w:bottom w:val="none" w:sz="0" w:space="0" w:color="auto"/>
                    <w:right w:val="none" w:sz="0" w:space="0" w:color="auto"/>
                  </w:divBdr>
                </w:div>
                <w:div w:id="921792961">
                  <w:marLeft w:val="640"/>
                  <w:marRight w:val="0"/>
                  <w:marTop w:val="0"/>
                  <w:marBottom w:val="0"/>
                  <w:divBdr>
                    <w:top w:val="none" w:sz="0" w:space="0" w:color="auto"/>
                    <w:left w:val="none" w:sz="0" w:space="0" w:color="auto"/>
                    <w:bottom w:val="none" w:sz="0" w:space="0" w:color="auto"/>
                    <w:right w:val="none" w:sz="0" w:space="0" w:color="auto"/>
                  </w:divBdr>
                </w:div>
                <w:div w:id="359093072">
                  <w:marLeft w:val="640"/>
                  <w:marRight w:val="0"/>
                  <w:marTop w:val="0"/>
                  <w:marBottom w:val="0"/>
                  <w:divBdr>
                    <w:top w:val="none" w:sz="0" w:space="0" w:color="auto"/>
                    <w:left w:val="none" w:sz="0" w:space="0" w:color="auto"/>
                    <w:bottom w:val="none" w:sz="0" w:space="0" w:color="auto"/>
                    <w:right w:val="none" w:sz="0" w:space="0" w:color="auto"/>
                  </w:divBdr>
                </w:div>
              </w:divsChild>
            </w:div>
            <w:div w:id="199511747">
              <w:marLeft w:val="0"/>
              <w:marRight w:val="0"/>
              <w:marTop w:val="0"/>
              <w:marBottom w:val="0"/>
              <w:divBdr>
                <w:top w:val="none" w:sz="0" w:space="0" w:color="auto"/>
                <w:left w:val="none" w:sz="0" w:space="0" w:color="auto"/>
                <w:bottom w:val="none" w:sz="0" w:space="0" w:color="auto"/>
                <w:right w:val="none" w:sz="0" w:space="0" w:color="auto"/>
              </w:divBdr>
              <w:divsChild>
                <w:div w:id="2076469404">
                  <w:marLeft w:val="640"/>
                  <w:marRight w:val="0"/>
                  <w:marTop w:val="0"/>
                  <w:marBottom w:val="0"/>
                  <w:divBdr>
                    <w:top w:val="none" w:sz="0" w:space="0" w:color="auto"/>
                    <w:left w:val="none" w:sz="0" w:space="0" w:color="auto"/>
                    <w:bottom w:val="none" w:sz="0" w:space="0" w:color="auto"/>
                    <w:right w:val="none" w:sz="0" w:space="0" w:color="auto"/>
                  </w:divBdr>
                </w:div>
                <w:div w:id="1294293463">
                  <w:marLeft w:val="640"/>
                  <w:marRight w:val="0"/>
                  <w:marTop w:val="0"/>
                  <w:marBottom w:val="0"/>
                  <w:divBdr>
                    <w:top w:val="none" w:sz="0" w:space="0" w:color="auto"/>
                    <w:left w:val="none" w:sz="0" w:space="0" w:color="auto"/>
                    <w:bottom w:val="none" w:sz="0" w:space="0" w:color="auto"/>
                    <w:right w:val="none" w:sz="0" w:space="0" w:color="auto"/>
                  </w:divBdr>
                </w:div>
                <w:div w:id="1083643552">
                  <w:marLeft w:val="640"/>
                  <w:marRight w:val="0"/>
                  <w:marTop w:val="0"/>
                  <w:marBottom w:val="0"/>
                  <w:divBdr>
                    <w:top w:val="none" w:sz="0" w:space="0" w:color="auto"/>
                    <w:left w:val="none" w:sz="0" w:space="0" w:color="auto"/>
                    <w:bottom w:val="none" w:sz="0" w:space="0" w:color="auto"/>
                    <w:right w:val="none" w:sz="0" w:space="0" w:color="auto"/>
                  </w:divBdr>
                </w:div>
              </w:divsChild>
            </w:div>
            <w:div w:id="1894273622">
              <w:marLeft w:val="0"/>
              <w:marRight w:val="0"/>
              <w:marTop w:val="0"/>
              <w:marBottom w:val="0"/>
              <w:divBdr>
                <w:top w:val="none" w:sz="0" w:space="0" w:color="auto"/>
                <w:left w:val="none" w:sz="0" w:space="0" w:color="auto"/>
                <w:bottom w:val="none" w:sz="0" w:space="0" w:color="auto"/>
                <w:right w:val="none" w:sz="0" w:space="0" w:color="auto"/>
              </w:divBdr>
              <w:divsChild>
                <w:div w:id="641538664">
                  <w:marLeft w:val="640"/>
                  <w:marRight w:val="0"/>
                  <w:marTop w:val="0"/>
                  <w:marBottom w:val="0"/>
                  <w:divBdr>
                    <w:top w:val="none" w:sz="0" w:space="0" w:color="auto"/>
                    <w:left w:val="none" w:sz="0" w:space="0" w:color="auto"/>
                    <w:bottom w:val="none" w:sz="0" w:space="0" w:color="auto"/>
                    <w:right w:val="none" w:sz="0" w:space="0" w:color="auto"/>
                  </w:divBdr>
                </w:div>
                <w:div w:id="274215997">
                  <w:marLeft w:val="640"/>
                  <w:marRight w:val="0"/>
                  <w:marTop w:val="0"/>
                  <w:marBottom w:val="0"/>
                  <w:divBdr>
                    <w:top w:val="none" w:sz="0" w:space="0" w:color="auto"/>
                    <w:left w:val="none" w:sz="0" w:space="0" w:color="auto"/>
                    <w:bottom w:val="none" w:sz="0" w:space="0" w:color="auto"/>
                    <w:right w:val="none" w:sz="0" w:space="0" w:color="auto"/>
                  </w:divBdr>
                </w:div>
                <w:div w:id="824980276">
                  <w:marLeft w:val="640"/>
                  <w:marRight w:val="0"/>
                  <w:marTop w:val="0"/>
                  <w:marBottom w:val="0"/>
                  <w:divBdr>
                    <w:top w:val="none" w:sz="0" w:space="0" w:color="auto"/>
                    <w:left w:val="none" w:sz="0" w:space="0" w:color="auto"/>
                    <w:bottom w:val="none" w:sz="0" w:space="0" w:color="auto"/>
                    <w:right w:val="none" w:sz="0" w:space="0" w:color="auto"/>
                  </w:divBdr>
                </w:div>
              </w:divsChild>
            </w:div>
            <w:div w:id="2099517341">
              <w:marLeft w:val="0"/>
              <w:marRight w:val="0"/>
              <w:marTop w:val="0"/>
              <w:marBottom w:val="0"/>
              <w:divBdr>
                <w:top w:val="none" w:sz="0" w:space="0" w:color="auto"/>
                <w:left w:val="none" w:sz="0" w:space="0" w:color="auto"/>
                <w:bottom w:val="none" w:sz="0" w:space="0" w:color="auto"/>
                <w:right w:val="none" w:sz="0" w:space="0" w:color="auto"/>
              </w:divBdr>
              <w:divsChild>
                <w:div w:id="1748763262">
                  <w:marLeft w:val="640"/>
                  <w:marRight w:val="0"/>
                  <w:marTop w:val="0"/>
                  <w:marBottom w:val="0"/>
                  <w:divBdr>
                    <w:top w:val="none" w:sz="0" w:space="0" w:color="auto"/>
                    <w:left w:val="none" w:sz="0" w:space="0" w:color="auto"/>
                    <w:bottom w:val="none" w:sz="0" w:space="0" w:color="auto"/>
                    <w:right w:val="none" w:sz="0" w:space="0" w:color="auto"/>
                  </w:divBdr>
                </w:div>
                <w:div w:id="368917680">
                  <w:marLeft w:val="640"/>
                  <w:marRight w:val="0"/>
                  <w:marTop w:val="0"/>
                  <w:marBottom w:val="0"/>
                  <w:divBdr>
                    <w:top w:val="none" w:sz="0" w:space="0" w:color="auto"/>
                    <w:left w:val="none" w:sz="0" w:space="0" w:color="auto"/>
                    <w:bottom w:val="none" w:sz="0" w:space="0" w:color="auto"/>
                    <w:right w:val="none" w:sz="0" w:space="0" w:color="auto"/>
                  </w:divBdr>
                </w:div>
                <w:div w:id="1468936719">
                  <w:marLeft w:val="640"/>
                  <w:marRight w:val="0"/>
                  <w:marTop w:val="0"/>
                  <w:marBottom w:val="0"/>
                  <w:divBdr>
                    <w:top w:val="none" w:sz="0" w:space="0" w:color="auto"/>
                    <w:left w:val="none" w:sz="0" w:space="0" w:color="auto"/>
                    <w:bottom w:val="none" w:sz="0" w:space="0" w:color="auto"/>
                    <w:right w:val="none" w:sz="0" w:space="0" w:color="auto"/>
                  </w:divBdr>
                </w:div>
              </w:divsChild>
            </w:div>
            <w:div w:id="846405024">
              <w:marLeft w:val="0"/>
              <w:marRight w:val="0"/>
              <w:marTop w:val="0"/>
              <w:marBottom w:val="0"/>
              <w:divBdr>
                <w:top w:val="none" w:sz="0" w:space="0" w:color="auto"/>
                <w:left w:val="none" w:sz="0" w:space="0" w:color="auto"/>
                <w:bottom w:val="none" w:sz="0" w:space="0" w:color="auto"/>
                <w:right w:val="none" w:sz="0" w:space="0" w:color="auto"/>
              </w:divBdr>
              <w:divsChild>
                <w:div w:id="2109616127">
                  <w:marLeft w:val="640"/>
                  <w:marRight w:val="0"/>
                  <w:marTop w:val="0"/>
                  <w:marBottom w:val="0"/>
                  <w:divBdr>
                    <w:top w:val="none" w:sz="0" w:space="0" w:color="auto"/>
                    <w:left w:val="none" w:sz="0" w:space="0" w:color="auto"/>
                    <w:bottom w:val="none" w:sz="0" w:space="0" w:color="auto"/>
                    <w:right w:val="none" w:sz="0" w:space="0" w:color="auto"/>
                  </w:divBdr>
                </w:div>
                <w:div w:id="1795905963">
                  <w:marLeft w:val="640"/>
                  <w:marRight w:val="0"/>
                  <w:marTop w:val="0"/>
                  <w:marBottom w:val="0"/>
                  <w:divBdr>
                    <w:top w:val="none" w:sz="0" w:space="0" w:color="auto"/>
                    <w:left w:val="none" w:sz="0" w:space="0" w:color="auto"/>
                    <w:bottom w:val="none" w:sz="0" w:space="0" w:color="auto"/>
                    <w:right w:val="none" w:sz="0" w:space="0" w:color="auto"/>
                  </w:divBdr>
                </w:div>
                <w:div w:id="642005467">
                  <w:marLeft w:val="640"/>
                  <w:marRight w:val="0"/>
                  <w:marTop w:val="0"/>
                  <w:marBottom w:val="0"/>
                  <w:divBdr>
                    <w:top w:val="none" w:sz="0" w:space="0" w:color="auto"/>
                    <w:left w:val="none" w:sz="0" w:space="0" w:color="auto"/>
                    <w:bottom w:val="none" w:sz="0" w:space="0" w:color="auto"/>
                    <w:right w:val="none" w:sz="0" w:space="0" w:color="auto"/>
                  </w:divBdr>
                </w:div>
              </w:divsChild>
            </w:div>
            <w:div w:id="2042322300">
              <w:marLeft w:val="0"/>
              <w:marRight w:val="0"/>
              <w:marTop w:val="0"/>
              <w:marBottom w:val="0"/>
              <w:divBdr>
                <w:top w:val="none" w:sz="0" w:space="0" w:color="auto"/>
                <w:left w:val="none" w:sz="0" w:space="0" w:color="auto"/>
                <w:bottom w:val="none" w:sz="0" w:space="0" w:color="auto"/>
                <w:right w:val="none" w:sz="0" w:space="0" w:color="auto"/>
              </w:divBdr>
              <w:divsChild>
                <w:div w:id="604115178">
                  <w:marLeft w:val="640"/>
                  <w:marRight w:val="0"/>
                  <w:marTop w:val="0"/>
                  <w:marBottom w:val="0"/>
                  <w:divBdr>
                    <w:top w:val="none" w:sz="0" w:space="0" w:color="auto"/>
                    <w:left w:val="none" w:sz="0" w:space="0" w:color="auto"/>
                    <w:bottom w:val="none" w:sz="0" w:space="0" w:color="auto"/>
                    <w:right w:val="none" w:sz="0" w:space="0" w:color="auto"/>
                  </w:divBdr>
                </w:div>
                <w:div w:id="1759399347">
                  <w:marLeft w:val="640"/>
                  <w:marRight w:val="0"/>
                  <w:marTop w:val="0"/>
                  <w:marBottom w:val="0"/>
                  <w:divBdr>
                    <w:top w:val="none" w:sz="0" w:space="0" w:color="auto"/>
                    <w:left w:val="none" w:sz="0" w:space="0" w:color="auto"/>
                    <w:bottom w:val="none" w:sz="0" w:space="0" w:color="auto"/>
                    <w:right w:val="none" w:sz="0" w:space="0" w:color="auto"/>
                  </w:divBdr>
                </w:div>
                <w:div w:id="1547986787">
                  <w:marLeft w:val="640"/>
                  <w:marRight w:val="0"/>
                  <w:marTop w:val="0"/>
                  <w:marBottom w:val="0"/>
                  <w:divBdr>
                    <w:top w:val="none" w:sz="0" w:space="0" w:color="auto"/>
                    <w:left w:val="none" w:sz="0" w:space="0" w:color="auto"/>
                    <w:bottom w:val="none" w:sz="0" w:space="0" w:color="auto"/>
                    <w:right w:val="none" w:sz="0" w:space="0" w:color="auto"/>
                  </w:divBdr>
                </w:div>
              </w:divsChild>
            </w:div>
            <w:div w:id="2042976898">
              <w:marLeft w:val="0"/>
              <w:marRight w:val="0"/>
              <w:marTop w:val="0"/>
              <w:marBottom w:val="0"/>
              <w:divBdr>
                <w:top w:val="none" w:sz="0" w:space="0" w:color="auto"/>
                <w:left w:val="none" w:sz="0" w:space="0" w:color="auto"/>
                <w:bottom w:val="none" w:sz="0" w:space="0" w:color="auto"/>
                <w:right w:val="none" w:sz="0" w:space="0" w:color="auto"/>
              </w:divBdr>
              <w:divsChild>
                <w:div w:id="1301960473">
                  <w:marLeft w:val="640"/>
                  <w:marRight w:val="0"/>
                  <w:marTop w:val="0"/>
                  <w:marBottom w:val="0"/>
                  <w:divBdr>
                    <w:top w:val="none" w:sz="0" w:space="0" w:color="auto"/>
                    <w:left w:val="none" w:sz="0" w:space="0" w:color="auto"/>
                    <w:bottom w:val="none" w:sz="0" w:space="0" w:color="auto"/>
                    <w:right w:val="none" w:sz="0" w:space="0" w:color="auto"/>
                  </w:divBdr>
                </w:div>
                <w:div w:id="138421969">
                  <w:marLeft w:val="640"/>
                  <w:marRight w:val="0"/>
                  <w:marTop w:val="0"/>
                  <w:marBottom w:val="0"/>
                  <w:divBdr>
                    <w:top w:val="none" w:sz="0" w:space="0" w:color="auto"/>
                    <w:left w:val="none" w:sz="0" w:space="0" w:color="auto"/>
                    <w:bottom w:val="none" w:sz="0" w:space="0" w:color="auto"/>
                    <w:right w:val="none" w:sz="0" w:space="0" w:color="auto"/>
                  </w:divBdr>
                </w:div>
                <w:div w:id="846990140">
                  <w:marLeft w:val="640"/>
                  <w:marRight w:val="0"/>
                  <w:marTop w:val="0"/>
                  <w:marBottom w:val="0"/>
                  <w:divBdr>
                    <w:top w:val="none" w:sz="0" w:space="0" w:color="auto"/>
                    <w:left w:val="none" w:sz="0" w:space="0" w:color="auto"/>
                    <w:bottom w:val="none" w:sz="0" w:space="0" w:color="auto"/>
                    <w:right w:val="none" w:sz="0" w:space="0" w:color="auto"/>
                  </w:divBdr>
                </w:div>
              </w:divsChild>
            </w:div>
            <w:div w:id="2111049872">
              <w:marLeft w:val="0"/>
              <w:marRight w:val="0"/>
              <w:marTop w:val="0"/>
              <w:marBottom w:val="0"/>
              <w:divBdr>
                <w:top w:val="none" w:sz="0" w:space="0" w:color="auto"/>
                <w:left w:val="none" w:sz="0" w:space="0" w:color="auto"/>
                <w:bottom w:val="none" w:sz="0" w:space="0" w:color="auto"/>
                <w:right w:val="none" w:sz="0" w:space="0" w:color="auto"/>
              </w:divBdr>
              <w:divsChild>
                <w:div w:id="706218336">
                  <w:marLeft w:val="640"/>
                  <w:marRight w:val="0"/>
                  <w:marTop w:val="0"/>
                  <w:marBottom w:val="0"/>
                  <w:divBdr>
                    <w:top w:val="none" w:sz="0" w:space="0" w:color="auto"/>
                    <w:left w:val="none" w:sz="0" w:space="0" w:color="auto"/>
                    <w:bottom w:val="none" w:sz="0" w:space="0" w:color="auto"/>
                    <w:right w:val="none" w:sz="0" w:space="0" w:color="auto"/>
                  </w:divBdr>
                </w:div>
                <w:div w:id="536820087">
                  <w:marLeft w:val="640"/>
                  <w:marRight w:val="0"/>
                  <w:marTop w:val="0"/>
                  <w:marBottom w:val="0"/>
                  <w:divBdr>
                    <w:top w:val="none" w:sz="0" w:space="0" w:color="auto"/>
                    <w:left w:val="none" w:sz="0" w:space="0" w:color="auto"/>
                    <w:bottom w:val="none" w:sz="0" w:space="0" w:color="auto"/>
                    <w:right w:val="none" w:sz="0" w:space="0" w:color="auto"/>
                  </w:divBdr>
                </w:div>
                <w:div w:id="783622390">
                  <w:marLeft w:val="640"/>
                  <w:marRight w:val="0"/>
                  <w:marTop w:val="0"/>
                  <w:marBottom w:val="0"/>
                  <w:divBdr>
                    <w:top w:val="none" w:sz="0" w:space="0" w:color="auto"/>
                    <w:left w:val="none" w:sz="0" w:space="0" w:color="auto"/>
                    <w:bottom w:val="none" w:sz="0" w:space="0" w:color="auto"/>
                    <w:right w:val="none" w:sz="0" w:space="0" w:color="auto"/>
                  </w:divBdr>
                </w:div>
              </w:divsChild>
            </w:div>
            <w:div w:id="1765226677">
              <w:marLeft w:val="0"/>
              <w:marRight w:val="0"/>
              <w:marTop w:val="0"/>
              <w:marBottom w:val="0"/>
              <w:divBdr>
                <w:top w:val="none" w:sz="0" w:space="0" w:color="auto"/>
                <w:left w:val="none" w:sz="0" w:space="0" w:color="auto"/>
                <w:bottom w:val="none" w:sz="0" w:space="0" w:color="auto"/>
                <w:right w:val="none" w:sz="0" w:space="0" w:color="auto"/>
              </w:divBdr>
              <w:divsChild>
                <w:div w:id="1478457417">
                  <w:marLeft w:val="640"/>
                  <w:marRight w:val="0"/>
                  <w:marTop w:val="0"/>
                  <w:marBottom w:val="0"/>
                  <w:divBdr>
                    <w:top w:val="none" w:sz="0" w:space="0" w:color="auto"/>
                    <w:left w:val="none" w:sz="0" w:space="0" w:color="auto"/>
                    <w:bottom w:val="none" w:sz="0" w:space="0" w:color="auto"/>
                    <w:right w:val="none" w:sz="0" w:space="0" w:color="auto"/>
                  </w:divBdr>
                </w:div>
                <w:div w:id="1028291273">
                  <w:marLeft w:val="640"/>
                  <w:marRight w:val="0"/>
                  <w:marTop w:val="0"/>
                  <w:marBottom w:val="0"/>
                  <w:divBdr>
                    <w:top w:val="none" w:sz="0" w:space="0" w:color="auto"/>
                    <w:left w:val="none" w:sz="0" w:space="0" w:color="auto"/>
                    <w:bottom w:val="none" w:sz="0" w:space="0" w:color="auto"/>
                    <w:right w:val="none" w:sz="0" w:space="0" w:color="auto"/>
                  </w:divBdr>
                </w:div>
                <w:div w:id="750930725">
                  <w:marLeft w:val="640"/>
                  <w:marRight w:val="0"/>
                  <w:marTop w:val="0"/>
                  <w:marBottom w:val="0"/>
                  <w:divBdr>
                    <w:top w:val="none" w:sz="0" w:space="0" w:color="auto"/>
                    <w:left w:val="none" w:sz="0" w:space="0" w:color="auto"/>
                    <w:bottom w:val="none" w:sz="0" w:space="0" w:color="auto"/>
                    <w:right w:val="none" w:sz="0" w:space="0" w:color="auto"/>
                  </w:divBdr>
                </w:div>
              </w:divsChild>
            </w:div>
            <w:div w:id="836307803">
              <w:marLeft w:val="0"/>
              <w:marRight w:val="0"/>
              <w:marTop w:val="0"/>
              <w:marBottom w:val="0"/>
              <w:divBdr>
                <w:top w:val="none" w:sz="0" w:space="0" w:color="auto"/>
                <w:left w:val="none" w:sz="0" w:space="0" w:color="auto"/>
                <w:bottom w:val="none" w:sz="0" w:space="0" w:color="auto"/>
                <w:right w:val="none" w:sz="0" w:space="0" w:color="auto"/>
              </w:divBdr>
              <w:divsChild>
                <w:div w:id="946276813">
                  <w:marLeft w:val="640"/>
                  <w:marRight w:val="0"/>
                  <w:marTop w:val="0"/>
                  <w:marBottom w:val="0"/>
                  <w:divBdr>
                    <w:top w:val="none" w:sz="0" w:space="0" w:color="auto"/>
                    <w:left w:val="none" w:sz="0" w:space="0" w:color="auto"/>
                    <w:bottom w:val="none" w:sz="0" w:space="0" w:color="auto"/>
                    <w:right w:val="none" w:sz="0" w:space="0" w:color="auto"/>
                  </w:divBdr>
                </w:div>
                <w:div w:id="306278404">
                  <w:marLeft w:val="640"/>
                  <w:marRight w:val="0"/>
                  <w:marTop w:val="0"/>
                  <w:marBottom w:val="0"/>
                  <w:divBdr>
                    <w:top w:val="none" w:sz="0" w:space="0" w:color="auto"/>
                    <w:left w:val="none" w:sz="0" w:space="0" w:color="auto"/>
                    <w:bottom w:val="none" w:sz="0" w:space="0" w:color="auto"/>
                    <w:right w:val="none" w:sz="0" w:space="0" w:color="auto"/>
                  </w:divBdr>
                </w:div>
                <w:div w:id="1917519610">
                  <w:marLeft w:val="640"/>
                  <w:marRight w:val="0"/>
                  <w:marTop w:val="0"/>
                  <w:marBottom w:val="0"/>
                  <w:divBdr>
                    <w:top w:val="none" w:sz="0" w:space="0" w:color="auto"/>
                    <w:left w:val="none" w:sz="0" w:space="0" w:color="auto"/>
                    <w:bottom w:val="none" w:sz="0" w:space="0" w:color="auto"/>
                    <w:right w:val="none" w:sz="0" w:space="0" w:color="auto"/>
                  </w:divBdr>
                </w:div>
              </w:divsChild>
            </w:div>
            <w:div w:id="132454457">
              <w:marLeft w:val="0"/>
              <w:marRight w:val="0"/>
              <w:marTop w:val="0"/>
              <w:marBottom w:val="0"/>
              <w:divBdr>
                <w:top w:val="none" w:sz="0" w:space="0" w:color="auto"/>
                <w:left w:val="none" w:sz="0" w:space="0" w:color="auto"/>
                <w:bottom w:val="none" w:sz="0" w:space="0" w:color="auto"/>
                <w:right w:val="none" w:sz="0" w:space="0" w:color="auto"/>
              </w:divBdr>
              <w:divsChild>
                <w:div w:id="510415086">
                  <w:marLeft w:val="640"/>
                  <w:marRight w:val="0"/>
                  <w:marTop w:val="0"/>
                  <w:marBottom w:val="0"/>
                  <w:divBdr>
                    <w:top w:val="none" w:sz="0" w:space="0" w:color="auto"/>
                    <w:left w:val="none" w:sz="0" w:space="0" w:color="auto"/>
                    <w:bottom w:val="none" w:sz="0" w:space="0" w:color="auto"/>
                    <w:right w:val="none" w:sz="0" w:space="0" w:color="auto"/>
                  </w:divBdr>
                </w:div>
                <w:div w:id="1299068104">
                  <w:marLeft w:val="640"/>
                  <w:marRight w:val="0"/>
                  <w:marTop w:val="0"/>
                  <w:marBottom w:val="0"/>
                  <w:divBdr>
                    <w:top w:val="none" w:sz="0" w:space="0" w:color="auto"/>
                    <w:left w:val="none" w:sz="0" w:space="0" w:color="auto"/>
                    <w:bottom w:val="none" w:sz="0" w:space="0" w:color="auto"/>
                    <w:right w:val="none" w:sz="0" w:space="0" w:color="auto"/>
                  </w:divBdr>
                </w:div>
                <w:div w:id="49379797">
                  <w:marLeft w:val="640"/>
                  <w:marRight w:val="0"/>
                  <w:marTop w:val="0"/>
                  <w:marBottom w:val="0"/>
                  <w:divBdr>
                    <w:top w:val="none" w:sz="0" w:space="0" w:color="auto"/>
                    <w:left w:val="none" w:sz="0" w:space="0" w:color="auto"/>
                    <w:bottom w:val="none" w:sz="0" w:space="0" w:color="auto"/>
                    <w:right w:val="none" w:sz="0" w:space="0" w:color="auto"/>
                  </w:divBdr>
                </w:div>
              </w:divsChild>
            </w:div>
            <w:div w:id="1583174279">
              <w:marLeft w:val="0"/>
              <w:marRight w:val="0"/>
              <w:marTop w:val="0"/>
              <w:marBottom w:val="0"/>
              <w:divBdr>
                <w:top w:val="none" w:sz="0" w:space="0" w:color="auto"/>
                <w:left w:val="none" w:sz="0" w:space="0" w:color="auto"/>
                <w:bottom w:val="none" w:sz="0" w:space="0" w:color="auto"/>
                <w:right w:val="none" w:sz="0" w:space="0" w:color="auto"/>
              </w:divBdr>
              <w:divsChild>
                <w:div w:id="72817718">
                  <w:marLeft w:val="0"/>
                  <w:marRight w:val="0"/>
                  <w:marTop w:val="0"/>
                  <w:marBottom w:val="0"/>
                  <w:divBdr>
                    <w:top w:val="none" w:sz="0" w:space="0" w:color="auto"/>
                    <w:left w:val="none" w:sz="0" w:space="0" w:color="auto"/>
                    <w:bottom w:val="none" w:sz="0" w:space="0" w:color="auto"/>
                    <w:right w:val="none" w:sz="0" w:space="0" w:color="auto"/>
                  </w:divBdr>
                </w:div>
                <w:div w:id="1505393884">
                  <w:marLeft w:val="0"/>
                  <w:marRight w:val="0"/>
                  <w:marTop w:val="0"/>
                  <w:marBottom w:val="0"/>
                  <w:divBdr>
                    <w:top w:val="none" w:sz="0" w:space="0" w:color="auto"/>
                    <w:left w:val="none" w:sz="0" w:space="0" w:color="auto"/>
                    <w:bottom w:val="none" w:sz="0" w:space="0" w:color="auto"/>
                    <w:right w:val="none" w:sz="0" w:space="0" w:color="auto"/>
                  </w:divBdr>
                </w:div>
                <w:div w:id="897127675">
                  <w:marLeft w:val="0"/>
                  <w:marRight w:val="0"/>
                  <w:marTop w:val="0"/>
                  <w:marBottom w:val="0"/>
                  <w:divBdr>
                    <w:top w:val="none" w:sz="0" w:space="0" w:color="auto"/>
                    <w:left w:val="none" w:sz="0" w:space="0" w:color="auto"/>
                    <w:bottom w:val="none" w:sz="0" w:space="0" w:color="auto"/>
                    <w:right w:val="none" w:sz="0" w:space="0" w:color="auto"/>
                  </w:divBdr>
                </w:div>
              </w:divsChild>
            </w:div>
            <w:div w:id="1246184201">
              <w:marLeft w:val="0"/>
              <w:marRight w:val="0"/>
              <w:marTop w:val="0"/>
              <w:marBottom w:val="0"/>
              <w:divBdr>
                <w:top w:val="none" w:sz="0" w:space="0" w:color="auto"/>
                <w:left w:val="none" w:sz="0" w:space="0" w:color="auto"/>
                <w:bottom w:val="none" w:sz="0" w:space="0" w:color="auto"/>
                <w:right w:val="none" w:sz="0" w:space="0" w:color="auto"/>
              </w:divBdr>
              <w:divsChild>
                <w:div w:id="955214377">
                  <w:marLeft w:val="0"/>
                  <w:marRight w:val="0"/>
                  <w:marTop w:val="0"/>
                  <w:marBottom w:val="0"/>
                  <w:divBdr>
                    <w:top w:val="none" w:sz="0" w:space="0" w:color="auto"/>
                    <w:left w:val="none" w:sz="0" w:space="0" w:color="auto"/>
                    <w:bottom w:val="none" w:sz="0" w:space="0" w:color="auto"/>
                    <w:right w:val="none" w:sz="0" w:space="0" w:color="auto"/>
                  </w:divBdr>
                  <w:divsChild>
                    <w:div w:id="589244384">
                      <w:marLeft w:val="0"/>
                      <w:marRight w:val="0"/>
                      <w:marTop w:val="0"/>
                      <w:marBottom w:val="0"/>
                      <w:divBdr>
                        <w:top w:val="none" w:sz="0" w:space="0" w:color="auto"/>
                        <w:left w:val="none" w:sz="0" w:space="0" w:color="auto"/>
                        <w:bottom w:val="none" w:sz="0" w:space="0" w:color="auto"/>
                        <w:right w:val="none" w:sz="0" w:space="0" w:color="auto"/>
                      </w:divBdr>
                      <w:divsChild>
                        <w:div w:id="565651795">
                          <w:marLeft w:val="0"/>
                          <w:marRight w:val="0"/>
                          <w:marTop w:val="0"/>
                          <w:marBottom w:val="0"/>
                          <w:divBdr>
                            <w:top w:val="none" w:sz="0" w:space="0" w:color="auto"/>
                            <w:left w:val="none" w:sz="0" w:space="0" w:color="auto"/>
                            <w:bottom w:val="none" w:sz="0" w:space="0" w:color="auto"/>
                            <w:right w:val="none" w:sz="0" w:space="0" w:color="auto"/>
                          </w:divBdr>
                        </w:div>
                        <w:div w:id="2070154433">
                          <w:marLeft w:val="0"/>
                          <w:marRight w:val="0"/>
                          <w:marTop w:val="0"/>
                          <w:marBottom w:val="0"/>
                          <w:divBdr>
                            <w:top w:val="none" w:sz="0" w:space="0" w:color="auto"/>
                            <w:left w:val="none" w:sz="0" w:space="0" w:color="auto"/>
                            <w:bottom w:val="none" w:sz="0" w:space="0" w:color="auto"/>
                            <w:right w:val="none" w:sz="0" w:space="0" w:color="auto"/>
                          </w:divBdr>
                        </w:div>
                        <w:div w:id="1146317102">
                          <w:marLeft w:val="0"/>
                          <w:marRight w:val="0"/>
                          <w:marTop w:val="0"/>
                          <w:marBottom w:val="0"/>
                          <w:divBdr>
                            <w:top w:val="none" w:sz="0" w:space="0" w:color="auto"/>
                            <w:left w:val="none" w:sz="0" w:space="0" w:color="auto"/>
                            <w:bottom w:val="none" w:sz="0" w:space="0" w:color="auto"/>
                            <w:right w:val="none" w:sz="0" w:space="0" w:color="auto"/>
                          </w:divBdr>
                        </w:div>
                      </w:divsChild>
                    </w:div>
                    <w:div w:id="577175928">
                      <w:marLeft w:val="0"/>
                      <w:marRight w:val="0"/>
                      <w:marTop w:val="0"/>
                      <w:marBottom w:val="0"/>
                      <w:divBdr>
                        <w:top w:val="none" w:sz="0" w:space="0" w:color="auto"/>
                        <w:left w:val="none" w:sz="0" w:space="0" w:color="auto"/>
                        <w:bottom w:val="none" w:sz="0" w:space="0" w:color="auto"/>
                        <w:right w:val="none" w:sz="0" w:space="0" w:color="auto"/>
                      </w:divBdr>
                      <w:divsChild>
                        <w:div w:id="294721863">
                          <w:marLeft w:val="0"/>
                          <w:marRight w:val="0"/>
                          <w:marTop w:val="0"/>
                          <w:marBottom w:val="0"/>
                          <w:divBdr>
                            <w:top w:val="none" w:sz="0" w:space="0" w:color="auto"/>
                            <w:left w:val="none" w:sz="0" w:space="0" w:color="auto"/>
                            <w:bottom w:val="none" w:sz="0" w:space="0" w:color="auto"/>
                            <w:right w:val="none" w:sz="0" w:space="0" w:color="auto"/>
                          </w:divBdr>
                        </w:div>
                        <w:div w:id="1243031850">
                          <w:marLeft w:val="0"/>
                          <w:marRight w:val="0"/>
                          <w:marTop w:val="0"/>
                          <w:marBottom w:val="0"/>
                          <w:divBdr>
                            <w:top w:val="none" w:sz="0" w:space="0" w:color="auto"/>
                            <w:left w:val="none" w:sz="0" w:space="0" w:color="auto"/>
                            <w:bottom w:val="none" w:sz="0" w:space="0" w:color="auto"/>
                            <w:right w:val="none" w:sz="0" w:space="0" w:color="auto"/>
                          </w:divBdr>
                        </w:div>
                        <w:div w:id="98967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83497">
                  <w:marLeft w:val="0"/>
                  <w:marRight w:val="0"/>
                  <w:marTop w:val="0"/>
                  <w:marBottom w:val="0"/>
                  <w:divBdr>
                    <w:top w:val="none" w:sz="0" w:space="0" w:color="auto"/>
                    <w:left w:val="none" w:sz="0" w:space="0" w:color="auto"/>
                    <w:bottom w:val="none" w:sz="0" w:space="0" w:color="auto"/>
                    <w:right w:val="none" w:sz="0" w:space="0" w:color="auto"/>
                  </w:divBdr>
                </w:div>
                <w:div w:id="37939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850345">
      <w:bodyDiv w:val="1"/>
      <w:marLeft w:val="0"/>
      <w:marRight w:val="0"/>
      <w:marTop w:val="0"/>
      <w:marBottom w:val="0"/>
      <w:divBdr>
        <w:top w:val="none" w:sz="0" w:space="0" w:color="auto"/>
        <w:left w:val="none" w:sz="0" w:space="0" w:color="auto"/>
        <w:bottom w:val="none" w:sz="0" w:space="0" w:color="auto"/>
        <w:right w:val="none" w:sz="0" w:space="0" w:color="auto"/>
      </w:divBdr>
      <w:divsChild>
        <w:div w:id="1878807796">
          <w:marLeft w:val="640"/>
          <w:marRight w:val="0"/>
          <w:marTop w:val="0"/>
          <w:marBottom w:val="0"/>
          <w:divBdr>
            <w:top w:val="none" w:sz="0" w:space="0" w:color="auto"/>
            <w:left w:val="none" w:sz="0" w:space="0" w:color="auto"/>
            <w:bottom w:val="none" w:sz="0" w:space="0" w:color="auto"/>
            <w:right w:val="none" w:sz="0" w:space="0" w:color="auto"/>
          </w:divBdr>
        </w:div>
        <w:div w:id="843974919">
          <w:marLeft w:val="640"/>
          <w:marRight w:val="0"/>
          <w:marTop w:val="0"/>
          <w:marBottom w:val="0"/>
          <w:divBdr>
            <w:top w:val="none" w:sz="0" w:space="0" w:color="auto"/>
            <w:left w:val="none" w:sz="0" w:space="0" w:color="auto"/>
            <w:bottom w:val="none" w:sz="0" w:space="0" w:color="auto"/>
            <w:right w:val="none" w:sz="0" w:space="0" w:color="auto"/>
          </w:divBdr>
        </w:div>
        <w:div w:id="1524783703">
          <w:marLeft w:val="640"/>
          <w:marRight w:val="0"/>
          <w:marTop w:val="0"/>
          <w:marBottom w:val="0"/>
          <w:divBdr>
            <w:top w:val="none" w:sz="0" w:space="0" w:color="auto"/>
            <w:left w:val="none" w:sz="0" w:space="0" w:color="auto"/>
            <w:bottom w:val="none" w:sz="0" w:space="0" w:color="auto"/>
            <w:right w:val="none" w:sz="0" w:space="0" w:color="auto"/>
          </w:divBdr>
        </w:div>
      </w:divsChild>
    </w:div>
    <w:div w:id="1746756206">
      <w:bodyDiv w:val="1"/>
      <w:marLeft w:val="0"/>
      <w:marRight w:val="0"/>
      <w:marTop w:val="0"/>
      <w:marBottom w:val="0"/>
      <w:divBdr>
        <w:top w:val="none" w:sz="0" w:space="0" w:color="auto"/>
        <w:left w:val="none" w:sz="0" w:space="0" w:color="auto"/>
        <w:bottom w:val="none" w:sz="0" w:space="0" w:color="auto"/>
        <w:right w:val="none" w:sz="0" w:space="0" w:color="auto"/>
      </w:divBdr>
      <w:divsChild>
        <w:div w:id="1009991564">
          <w:marLeft w:val="480"/>
          <w:marRight w:val="0"/>
          <w:marTop w:val="0"/>
          <w:marBottom w:val="0"/>
          <w:divBdr>
            <w:top w:val="none" w:sz="0" w:space="0" w:color="auto"/>
            <w:left w:val="none" w:sz="0" w:space="0" w:color="auto"/>
            <w:bottom w:val="none" w:sz="0" w:space="0" w:color="auto"/>
            <w:right w:val="none" w:sz="0" w:space="0" w:color="auto"/>
          </w:divBdr>
        </w:div>
        <w:div w:id="1962104170">
          <w:marLeft w:val="480"/>
          <w:marRight w:val="0"/>
          <w:marTop w:val="0"/>
          <w:marBottom w:val="0"/>
          <w:divBdr>
            <w:top w:val="none" w:sz="0" w:space="0" w:color="auto"/>
            <w:left w:val="none" w:sz="0" w:space="0" w:color="auto"/>
            <w:bottom w:val="none" w:sz="0" w:space="0" w:color="auto"/>
            <w:right w:val="none" w:sz="0" w:space="0" w:color="auto"/>
          </w:divBdr>
        </w:div>
        <w:div w:id="1852598575">
          <w:marLeft w:val="480"/>
          <w:marRight w:val="0"/>
          <w:marTop w:val="0"/>
          <w:marBottom w:val="0"/>
          <w:divBdr>
            <w:top w:val="none" w:sz="0" w:space="0" w:color="auto"/>
            <w:left w:val="none" w:sz="0" w:space="0" w:color="auto"/>
            <w:bottom w:val="none" w:sz="0" w:space="0" w:color="auto"/>
            <w:right w:val="none" w:sz="0" w:space="0" w:color="auto"/>
          </w:divBdr>
        </w:div>
      </w:divsChild>
    </w:div>
    <w:div w:id="211794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lisac@fkkt.uni-lj.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2342ECAD074ACEB1B2E17E48C1D0ED"/>
        <w:category>
          <w:name w:val="General"/>
          <w:gallery w:val="placeholder"/>
        </w:category>
        <w:types>
          <w:type w:val="bbPlcHdr"/>
        </w:types>
        <w:behaviors>
          <w:behavior w:val="content"/>
        </w:behaviors>
        <w:guid w:val="{5FDB49F6-0192-4E18-88E4-ED46E93DFB76}"/>
      </w:docPartPr>
      <w:docPartBody>
        <w:p w:rsidR="00A12062" w:rsidRDefault="00516931" w:rsidP="00516931">
          <w:pPr>
            <w:pStyle w:val="B42342ECAD074ACEB1B2E17E48C1D0ED"/>
          </w:pPr>
          <w:r w:rsidRPr="00B2353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449618A-9150-4FEE-8498-CFAE24B5A7B8}"/>
      </w:docPartPr>
      <w:docPartBody>
        <w:p w:rsidR="00A12062" w:rsidRDefault="00516931">
          <w:r w:rsidRPr="002F1D9E">
            <w:rPr>
              <w:rStyle w:val="PlaceholderText"/>
            </w:rPr>
            <w:t>Click or tap here to enter text.</w:t>
          </w:r>
        </w:p>
      </w:docPartBody>
    </w:docPart>
    <w:docPart>
      <w:docPartPr>
        <w:name w:val="DA4F8160E4484AC183CF6525077B3F03"/>
        <w:category>
          <w:name w:val="General"/>
          <w:gallery w:val="placeholder"/>
        </w:category>
        <w:types>
          <w:type w:val="bbPlcHdr"/>
        </w:types>
        <w:behaviors>
          <w:behavior w:val="content"/>
        </w:behaviors>
        <w:guid w:val="{DA8D5D88-B13F-4B5F-89A3-8820C457FA5B}"/>
      </w:docPartPr>
      <w:docPartBody>
        <w:p w:rsidR="004F45D0" w:rsidRDefault="00494675" w:rsidP="00494675">
          <w:pPr>
            <w:pStyle w:val="DA4F8160E4484AC183CF6525077B3F03"/>
          </w:pPr>
          <w:r w:rsidRPr="002F1D9E">
            <w:rPr>
              <w:rStyle w:val="PlaceholderText"/>
            </w:rPr>
            <w:t>Click or tap here to enter text.</w:t>
          </w:r>
        </w:p>
      </w:docPartBody>
    </w:docPart>
    <w:docPart>
      <w:docPartPr>
        <w:name w:val="3BF2C0D237484800BE960DDF261B501A"/>
        <w:category>
          <w:name w:val="General"/>
          <w:gallery w:val="placeholder"/>
        </w:category>
        <w:types>
          <w:type w:val="bbPlcHdr"/>
        </w:types>
        <w:behaviors>
          <w:behavior w:val="content"/>
        </w:behaviors>
        <w:guid w:val="{D8D8986B-3FB7-4501-BF33-0F3F79EFA6C4}"/>
      </w:docPartPr>
      <w:docPartBody>
        <w:p w:rsidR="004F45D0" w:rsidRDefault="00494675" w:rsidP="00494675">
          <w:pPr>
            <w:pStyle w:val="3BF2C0D237484800BE960DDF261B501A"/>
          </w:pPr>
          <w:r w:rsidRPr="002F1D9E">
            <w:rPr>
              <w:rStyle w:val="PlaceholderText"/>
            </w:rPr>
            <w:t>Click or tap here to enter text.</w:t>
          </w:r>
        </w:p>
      </w:docPartBody>
    </w:docPart>
    <w:docPart>
      <w:docPartPr>
        <w:name w:val="F795DA3620A6422191CE5185489D2E4E"/>
        <w:category>
          <w:name w:val="General"/>
          <w:gallery w:val="placeholder"/>
        </w:category>
        <w:types>
          <w:type w:val="bbPlcHdr"/>
        </w:types>
        <w:behaviors>
          <w:behavior w:val="content"/>
        </w:behaviors>
        <w:guid w:val="{BC240ADD-D2C3-46B8-981D-400F28ECB83E}"/>
      </w:docPartPr>
      <w:docPartBody>
        <w:p w:rsidR="004F45D0" w:rsidRDefault="00494675" w:rsidP="00494675">
          <w:pPr>
            <w:pStyle w:val="F795DA3620A6422191CE5185489D2E4E"/>
          </w:pPr>
          <w:r w:rsidRPr="00A214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31"/>
    <w:rsid w:val="00033401"/>
    <w:rsid w:val="0010424B"/>
    <w:rsid w:val="001117A9"/>
    <w:rsid w:val="00161BF7"/>
    <w:rsid w:val="001D7BB5"/>
    <w:rsid w:val="002753A1"/>
    <w:rsid w:val="003772C9"/>
    <w:rsid w:val="003B72BD"/>
    <w:rsid w:val="003F7878"/>
    <w:rsid w:val="00494675"/>
    <w:rsid w:val="004A57B2"/>
    <w:rsid w:val="004F45D0"/>
    <w:rsid w:val="004F78DD"/>
    <w:rsid w:val="00516931"/>
    <w:rsid w:val="00551911"/>
    <w:rsid w:val="005536A6"/>
    <w:rsid w:val="005B3299"/>
    <w:rsid w:val="005E77D1"/>
    <w:rsid w:val="00614B1E"/>
    <w:rsid w:val="006D20D6"/>
    <w:rsid w:val="00826733"/>
    <w:rsid w:val="008A269C"/>
    <w:rsid w:val="00915A0F"/>
    <w:rsid w:val="00A12062"/>
    <w:rsid w:val="00A1603A"/>
    <w:rsid w:val="00AA5B2D"/>
    <w:rsid w:val="00AB7F37"/>
    <w:rsid w:val="00AE429F"/>
    <w:rsid w:val="00B01D01"/>
    <w:rsid w:val="00B8536A"/>
    <w:rsid w:val="00BA7738"/>
    <w:rsid w:val="00BD61F9"/>
    <w:rsid w:val="00C62ED7"/>
    <w:rsid w:val="00D63B25"/>
    <w:rsid w:val="00D76100"/>
    <w:rsid w:val="00DB7A28"/>
    <w:rsid w:val="00DF1A2A"/>
    <w:rsid w:val="00E460EC"/>
    <w:rsid w:val="00F03A63"/>
  </w:rsids>
  <m:mathPr>
    <m:mathFont m:val="Cambria Math"/>
    <m:brkBin m:val="before"/>
    <m:brkBinSub m:val="--"/>
    <m:smallFrac m:val="0"/>
    <m:dispDef/>
    <m:lMargin m:val="0"/>
    <m:rMargin m:val="0"/>
    <m:defJc m:val="centerGroup"/>
    <m:wrapIndent m:val="1440"/>
    <m:intLim m:val="subSup"/>
    <m:naryLim m:val="undOvr"/>
  </m:mathPr>
  <w:themeFontLang w:val="en-SI"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I" w:eastAsia="en-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4675"/>
    <w:rPr>
      <w:color w:val="808080"/>
    </w:rPr>
  </w:style>
  <w:style w:type="paragraph" w:customStyle="1" w:styleId="B42342ECAD074ACEB1B2E17E48C1D0ED">
    <w:name w:val="B42342ECAD074ACEB1B2E17E48C1D0ED"/>
    <w:rsid w:val="00516931"/>
  </w:style>
  <w:style w:type="paragraph" w:customStyle="1" w:styleId="DA4F8160E4484AC183CF6525077B3F03">
    <w:name w:val="DA4F8160E4484AC183CF6525077B3F03"/>
    <w:rsid w:val="00494675"/>
  </w:style>
  <w:style w:type="paragraph" w:customStyle="1" w:styleId="3BF2C0D237484800BE960DDF261B501A">
    <w:name w:val="3BF2C0D237484800BE960DDF261B501A"/>
    <w:rsid w:val="00494675"/>
  </w:style>
  <w:style w:type="paragraph" w:customStyle="1" w:styleId="F795DA3620A6422191CE5185489D2E4E">
    <w:name w:val="F795DA3620A6422191CE5185489D2E4E"/>
    <w:rsid w:val="004946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292CAF-719A-4A75-AEFD-F837833455ED}">
  <we:reference id="wa104382081" version="1.55.1.0" store="sl-SI" storeType="OMEX"/>
  <we:alternateReferences>
    <we:reference id="WA104382081" version="1.55.1.0" store="" storeType="OMEX"/>
  </we:alternateReferences>
  <we:properties>
    <we:property name="MENDELEY_CITATIONS" value="[{&quot;citationID&quot;:&quot;MENDELEY_CITATION_aa2195df-0fb0-4e74-9436-dcc3e714a4a6&quot;,&quot;properties&quot;:{&quot;noteIndex&quot;:0},&quot;isEdited&quot;:false,&quot;manualOverride&quot;:{&quot;isManuallyOverridden&quot;:false,&quot;citeprocText&quot;:&quot;[1]&quot;,&quot;manualOverrideText&quot;:&quot;&quot;},&quot;citationTag&quot;:&quot;MENDELEY_CITATION_v3_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&quot;,&quot;citationItems&quot;:[{&quot;id&quot;:&quot;cff710d8-73af-34da-99b5-52d9ff1d3e16&quot;,&quot;itemData&quot;:{&quot;type&quot;:&quot;article-journal&quot;,&quot;id&quot;:&quot;cff710d8-73af-34da-99b5-52d9ff1d3e16&quot;,&quot;title&quot;:&quot;Evolutionary feedback mediated through population density, illustrated with viruses in chemostats.&quot;,&quot;author&quot;:[{&quot;family&quot;:&quot;Bull&quot;,&quot;given&quot;:&quot;J. J.&quot;,&quot;parse-names&quot;:false,&quot;dropping-particle&quot;:&quot;&quot;,&quot;non-dropping-particle&quot;:&quot;&quot;},{&quot;family&quot;:&quot;Millstein&quot;,&quot;given&quot;:&quot;J.&quot;,&quot;parse-names&quot;:false,&quot;dropping-particle&quot;:&quot;&quot;,&quot;non-dropping-particle&quot;:&quot;&quot;},{&quot;family&quot;:&quot;Orcutt&quot;,&quot;given&quot;:&quot;J.&quot;,&quot;parse-names&quot;:false,&quot;dropping-particle&quot;:&quot;&quot;,&quot;non-dropping-particle&quot;:&quot;&quot;},{&quot;family&quot;:&quot;Wichman&quot;,&quot;given&quot;:&quot;H. A.&quot;,&quot;parse-names&quot;:false,&quot;dropping-particle&quot;:&quot;&quot;,&quot;non-dropping-particle&quot;:&quot;&quot;}],&quot;container-title&quot;:&quot;The American naturalist&quot;,&quot;container-title-short&quot;:&quot;Am Nat&quot;,&quot;DOI&quot;:&quot;10.1086/499374&quot;,&quot;ISSN&quot;:&quot;15375323&quot;,&quot;issued&quot;:{&quot;date-parts&quot;:[[2006]]},&quot;page&quot;:&quot;39-51&quot;,&quot;abstract&quot;:&quot;A cornerstone of evolutionary ecology is that population density affects adaptation: r and K selection is the obvious example. The reverse is also appreciated: adaptation impacts population density. Yet, empirically demonstrating a direct connection between population density and adaptation is challenging. Here, we address both evolution and ecology of population density in models of viral (bacteriophage) chemostats. Chemostats supply nutrients for host cell growth, and the hosts are prey for viral reproduction. Two different chemostat designs have profoundly different consequences for viral evolution. If host and virus are confined to the same chamber, as in a predator-prey system, viral regulation of hosts feeds back to maintain low viral density (measured as infections per cell). Viral adaptation impacts host density but has a small effect on equilibrium viral density. More interesting are chemostats that supply the viral population with hosts from a virus-free refuge. Here, a type of evolutionary succession operates: adaptation at low viral density leads to higher density, but high density then favors competitive ability. Experiments support these models with both phenotypic and molecular data. Parallels to these designs exist in many natural systems, so these experimental systems may yield insights to the evolution and regulation of natural populations.&quot;,&quot;issue&quot;:&quot;2&quot;,&quot;volume&quot;:&quot;167&quot;},&quot;isTemporary&quot;:false}]},{&quot;citationID&quot;:&quot;MENDELEY_CITATION_8f7870a3-1ef7-4b0b-b231-379e95cb9161&quot;,&quot;properties&quot;:{&quot;noteIndex&quot;:0},&quot;isEdited&quot;:false,&quot;manualOverride&quot;:{&quot;isManuallyOverridden&quot;:false,&quot;citeprocText&quot;:&quot;[2]&quot;,&quot;manualOverrideText&quot;:&quot;&quot;},&quot;citationTag&quot;:&quot;MENDELEY_CITATION_v3_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&quot;,&quot;citationItems&quot;:[{&quot;id&quot;:&quot;7d572099-efd3-317c-93fb-8ae3fcf1bfd0&quot;,&quot;itemData&quot;:{&quot;type&quot;:&quot;article-journal&quot;,&quot;id&quot;:&quot;7d572099-efd3-317c-93fb-8ae3fcf1bfd0&quot;,&quot;title&quot;:&quot;Bacteriophage Latent-Period Evolution as a Response to Resource Availability&quot;,&quot;author&quot;:[{&quot;family&quot;:&quot;Abedon&quot;,&quot;given&quot;:&quot;Stephen T.&quot;,&quot;parse-names&quot;:false,&quot;dropping-particle&quot;:&quot;&quot;,&quot;non-dropping-particle&quot;:&quot;&quot;},{&quot;family&quot;:&quot;Herschler&quot;,&quot;given&quot;:&quot;Troy D.&quot;,&quot;parse-names&quot;:false,&quot;dropping-particle&quot;:&quot;&quot;,&quot;non-dropping-particle&quot;:&quot;&quot;},{&quot;family&quot;:&quot;Stopar&quot;,&quot;given&quot;:&quot;David&quot;,&quot;parse-names&quot;:false,&quot;dropping-particle&quot;:&quot;&quot;,&quot;non-dropping-particle&quot;:&quot;&quot;}],&quot;container-title&quot;:&quot;Applied and Environmental Microbiology&quot;,&quot;container-title-short&quot;:&quot;Appl Environ Microbiol&quot;,&quot;DOI&quot;:&quot;10.1128/AEM.67.9.4233-4241.2001&quot;,&quot;ISSN&quot;:&quot;00992240&quot;,&quot;PMID&quot;:&quot;11526028&quot;,&quot;issued&quot;:{&quot;date-parts&quot;:[[2001]]},&quot;page&quot;:&quot;4233-4241&quot;,&quot;abstract&quot;:&quot;Bacteriophages (phages) modify microbial communities by lysing hosts, transferring genetic material, and effecting lysogenic conversion. To understand how natural communities are affected it is important to develop predictive models. Here we consider how variation between models - in eclipse period, latent period, adsorption constant, burst size, the handling of differences in host quantity and host quality, and in modeling strategy - can affect predictions. First we compare two published models of phage growth, which differ primarily in terms of how they model the kinetics of phage adsorption; one is a computer simulation and the other is an explicit calculation. At higher host quantities (∼108 cells/ml), both models closely predict experimentally determined phage population growth rates. At lower host quantities (107 cells/ml), the computer simulation continues to closely predict phage growth rates, but the explicit model does not. Next we concentrate on predictions of latent-period optima. A latent-period optimum is the latent period that maximizes the population growth of a specific phage growing in the presence of a specific quantity and quality of host cells. Both models predict similar latent-period optima at higher host densities (e.g., 17 min at 108 cells/ml). At lower host densities, however, the computer simulation predicts latent-period optima that are much shorter than those suggested by explicit calculations (e.g., 90 versus 1,250 min at 105 cells/ml). Finally, we consider the impact of host quality on phage latent-period evolution. By taking care to differentiate latent-period phenotypic plasticity from latent-period evolution, we argue that the impact of host quality on phage latent-period evolution may be relatively small.&quot;,&quot;issue&quot;:&quot;9&quot;,&quot;volume&quot;:&quot;67&quot;},&quot;isTemporary&quot;:false}]},{&quot;citationID&quot;:&quot;MENDELEY_CITATION_7e7758b2-6817-4721-9732-7347718cd40b&quot;,&quot;properties&quot;:{&quot;noteIndex&quot;:0},&quot;isEdited&quot;:false,&quot;manualOverride&quot;:{&quot;isManuallyOverridden&quot;:false,&quot;citeprocText&quot;:&quot;[3]&quot;,&quot;manualOverrideText&quot;:&quot;&quot;},&quot;citationTag&quot;:&quot;MENDELEY_CITATION_v3_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&quot;,&quot;citationItems&quot;:[{&quot;id&quot;:&quot;ac37ffa8-2ba3-308e-b4f1-73171b55f6f1&quot;,&quot;itemData&quot;:{&quot;type&quot;:&quot;book&quot;,&quot;id&quot;:&quot;ac37ffa8-2ba3-308e-b4f1-73171b55f6f1&quot;,&quot;title&quot;:&quot;Perry's Chemical Engineers' Handbook&quot;,&quot;editor&quot;:[{&quot;family&quot;:&quot;Green&quot;,&quot;given&quot;:&quot;Don W.&quot;,&quot;parse-names&quot;:false,&quot;dropping-particle&quot;:&quot;&quot;,&quot;non-dropping-particle&quot;:&quot;&quot;},{&quot;family&quot;:&quot;Southard&quot;,&quot;given&quot;:&quot;Marylee Z.&quot;,&quot;parse-names&quot;:false,&quot;dropping-particle&quot;:&quot;&quot;,&quot;non-dropping-particle&quot;:&quot;&quot;}],&quot;ISBN&quot;:&quot;978-0-07-183408-7,&quot;,&quot;issued&quot;:{&quot;date-parts&quot;:[[2019]]},&quot;publisher-place&quot;:&quot;New York&quot;,&quot;edition&quot;:&quot;9th ed.&quot;,&quot;publisher&quot;:&quot;McGraw-Hill Education&quot;,&quot;container-title-short&quot;:&quot;&quot;},&quot;isTemporary&quot;:false}]}]"/>
    <we:property name="MENDELEY_CITATIONS_LOCALE_CODE" value="&quot;en-US&quot;"/>
    <we:property name="MENDELEY_CITATIONS_STYLE" value="{&quot;id&quot;:&quot;https://www.zotero.org/styles/virology-journal&quot;,&quot;title&quot;:&quot;Virology Journal&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3FBDC-CA06-4FFB-957A-4CFE30744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1840</Words>
  <Characters>10491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UL FKKT</Company>
  <LinksUpToDate>false</LinksUpToDate>
  <CharactersWithSpaces>12307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Lisac, Ana</dc:creator>
  <cp:keywords/>
  <dc:description/>
  <cp:lastModifiedBy>Lisac, Ana</cp:lastModifiedBy>
  <cp:revision>2</cp:revision>
  <cp:lastPrinted>2025-07-22T08:50:00Z</cp:lastPrinted>
  <dcterms:created xsi:type="dcterms:W3CDTF">2025-08-19T07:46:00Z</dcterms:created>
  <dcterms:modified xsi:type="dcterms:W3CDTF">2025-08-19T07:46:00Z</dcterms:modified>
</cp:coreProperties>
</file>