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2BBF98">
      <w:pPr>
        <w:widowControl/>
        <w:jc w:val="left"/>
        <w:rPr>
          <w:rFonts w:ascii="Times New Roman" w:hAnsi="Times New Roman" w:eastAsia="等线" w:cs="Times New Roman"/>
          <w:b/>
          <w:bCs/>
          <w:sz w:val="28"/>
          <w:szCs w:val="28"/>
          <w14:ligatures w14:val="standardContextual"/>
        </w:rPr>
      </w:pPr>
      <w:r>
        <w:rPr>
          <w:rFonts w:hint="eastAsia" w:ascii="Times New Roman" w:hAnsi="Times New Roman" w:eastAsia="等线" w:cs="Times New Roman"/>
          <w:b/>
          <w:bCs/>
          <w:sz w:val="28"/>
          <w:szCs w:val="28"/>
          <w14:ligatures w14:val="standardContextual"/>
        </w:rPr>
        <w:t>Figure legends</w:t>
      </w:r>
    </w:p>
    <w:p w14:paraId="2A620E06">
      <w:r>
        <w:rPr>
          <w:rFonts w:hint="eastAsia"/>
        </w:rPr>
        <w:drawing>
          <wp:inline distT="0" distB="0" distL="114300" distR="114300">
            <wp:extent cx="5266690" cy="3394710"/>
            <wp:effectExtent l="0" t="0" r="3810" b="8890"/>
            <wp:docPr id="1" name="图片 1" descr="in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nfection"/>
                    <pic:cNvPicPr>
                      <a:picLocks noChangeAspect="1"/>
                    </pic:cNvPicPr>
                  </pic:nvPicPr>
                  <pic:blipFill>
                    <a:blip r:embed="rId4"/>
                    <a:stretch>
                      <a:fillRect/>
                    </a:stretch>
                  </pic:blipFill>
                  <pic:spPr>
                    <a:xfrm>
                      <a:off x="0" y="0"/>
                      <a:ext cx="5266690" cy="3394710"/>
                    </a:xfrm>
                    <a:prstGeom prst="rect">
                      <a:avLst/>
                    </a:prstGeom>
                  </pic:spPr>
                </pic:pic>
              </a:graphicData>
            </a:graphic>
          </wp:inline>
        </w:drawing>
      </w:r>
    </w:p>
    <w:p w14:paraId="0EC0D3ED">
      <w:pPr>
        <w:rPr>
          <w:rFonts w:ascii="Times New Roman" w:hAnsi="Times New Roman" w:cs="Times New Roman"/>
          <w:sz w:val="24"/>
          <w:szCs w:val="28"/>
        </w:rPr>
      </w:pPr>
      <w:r>
        <w:rPr>
          <w:rFonts w:ascii="Times New Roman" w:hAnsi="Times New Roman" w:cs="Times New Roman"/>
          <w:b/>
          <w:bCs/>
          <w:sz w:val="24"/>
          <w:szCs w:val="32"/>
        </w:rPr>
        <w:t>Fig.1</w:t>
      </w:r>
      <w:r>
        <w:rPr>
          <w:rFonts w:hint="eastAsia" w:ascii="Times New Roman" w:hAnsi="Times New Roman" w:cs="Times New Roman"/>
          <w:b/>
          <w:bCs/>
          <w:sz w:val="24"/>
          <w:szCs w:val="32"/>
        </w:rPr>
        <w:t xml:space="preserve"> </w:t>
      </w:r>
      <w:r>
        <w:rPr>
          <w:rFonts w:hint="eastAsia" w:ascii="Times New Roman" w:hAnsi="Times New Roman" w:cs="Times New Roman"/>
          <w:b/>
          <w:bCs/>
          <w:sz w:val="24"/>
          <w:szCs w:val="28"/>
        </w:rPr>
        <w:t>Flow diagram of ZIKV infection</w:t>
      </w:r>
      <w:r>
        <w:rPr>
          <w:rFonts w:ascii="Times New Roman" w:hAnsi="Times New Roman" w:cs="Times New Roman"/>
          <w:b/>
          <w:bCs/>
          <w:sz w:val="24"/>
          <w:szCs w:val="28"/>
        </w:rPr>
        <w:t xml:space="preserve"> of</w:t>
      </w:r>
      <w:r>
        <w:rPr>
          <w:rFonts w:hint="eastAsia" w:ascii="Times New Roman" w:hAnsi="Times New Roman" w:cs="Times New Roman"/>
          <w:b/>
          <w:bCs/>
          <w:sz w:val="24"/>
          <w:szCs w:val="28"/>
        </w:rPr>
        <w:t xml:space="preserve"> host cells.</w:t>
      </w:r>
    </w:p>
    <w:p w14:paraId="168ED31D">
      <w:pPr>
        <w:rPr>
          <w:rFonts w:ascii="Times New Roman" w:hAnsi="Times New Roman" w:cs="Times New Roman"/>
          <w:sz w:val="24"/>
          <w:szCs w:val="28"/>
        </w:rPr>
      </w:pPr>
      <w:r>
        <w:rPr>
          <w:rFonts w:hint="eastAsia" w:ascii="Times New Roman" w:hAnsi="Times New Roman" w:cs="Times New Roman"/>
          <w:sz w:val="24"/>
          <w:szCs w:val="28"/>
        </w:rPr>
        <w:t xml:space="preserve">Swarms of ZIKV particles exist </w:t>
      </w:r>
      <w:r>
        <w:rPr>
          <w:rFonts w:ascii="Times New Roman" w:hAnsi="Times New Roman" w:cs="Times New Roman"/>
          <w:sz w:val="24"/>
          <w:szCs w:val="28"/>
        </w:rPr>
        <w:t>in the process of</w:t>
      </w:r>
      <w:r>
        <w:rPr>
          <w:rFonts w:hint="eastAsia" w:ascii="Times New Roman" w:hAnsi="Times New Roman" w:cs="Times New Roman"/>
          <w:sz w:val="24"/>
          <w:szCs w:val="28"/>
        </w:rPr>
        <w:t xml:space="preserve"> entry, replication, assembly, maturity and release. ZIKV first entered the host through various interactions or molecular modifications. After being translated by EMC, various ZIKV proteins were assembled and matured by Atlastin, AKRIC3</w:t>
      </w:r>
      <w:r>
        <w:rPr>
          <w:rFonts w:ascii="Times New Roman" w:hAnsi="Times New Roman" w:cs="Times New Roman"/>
          <w:sz w:val="24"/>
          <w:szCs w:val="28"/>
        </w:rPr>
        <w:t>β</w:t>
      </w:r>
      <w:r>
        <w:rPr>
          <w:rFonts w:hint="eastAsia" w:ascii="Times New Roman" w:hAnsi="Times New Roman" w:cs="Times New Roman"/>
          <w:sz w:val="24"/>
          <w:szCs w:val="28"/>
        </w:rPr>
        <w:t>, BLVRB, TXNRD1, Furin and other molecules. After the formation of virulence, the progeny ZIKV is released by EVs or directly through the membrane.</w:t>
      </w:r>
    </w:p>
    <w:p w14:paraId="0045B2DE">
      <w:pPr>
        <w:widowControl/>
        <w:spacing w:after="160"/>
        <w:jc w:val="left"/>
        <w:rPr>
          <w:rFonts w:ascii="Times New Roman" w:hAnsi="Times New Roman" w:cs="Times New Roman"/>
          <w:sz w:val="24"/>
          <w:szCs w:val="28"/>
          <w14:ligatures w14:val="standardContextual"/>
        </w:rPr>
      </w:pPr>
    </w:p>
    <w:p w14:paraId="0CEB8C06">
      <w:pPr>
        <w:rPr>
          <w:rFonts w:ascii="Times New Roman" w:hAnsi="Times New Roman" w:cs="Times New Roman"/>
          <w:b/>
          <w:bCs/>
          <w:sz w:val="24"/>
          <w:szCs w:val="32"/>
        </w:rPr>
      </w:pPr>
      <w:r>
        <w:rPr>
          <w:rFonts w:ascii="Times New Roman" w:hAnsi="Times New Roman" w:cs="Times New Roman"/>
          <w:b/>
          <w:bCs/>
          <w:sz w:val="24"/>
          <w:szCs w:val="32"/>
        </w:rPr>
        <w:drawing>
          <wp:inline distT="0" distB="0" distL="114300" distR="114300">
            <wp:extent cx="5266690" cy="4300220"/>
            <wp:effectExtent l="0" t="0" r="3810" b="5080"/>
            <wp:docPr id="2" name="图片 2" descr="autopha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utophagy"/>
                    <pic:cNvPicPr>
                      <a:picLocks noChangeAspect="1"/>
                    </pic:cNvPicPr>
                  </pic:nvPicPr>
                  <pic:blipFill>
                    <a:blip r:embed="rId5"/>
                    <a:stretch>
                      <a:fillRect/>
                    </a:stretch>
                  </pic:blipFill>
                  <pic:spPr>
                    <a:xfrm>
                      <a:off x="0" y="0"/>
                      <a:ext cx="5266690" cy="4300220"/>
                    </a:xfrm>
                    <a:prstGeom prst="rect">
                      <a:avLst/>
                    </a:prstGeom>
                  </pic:spPr>
                </pic:pic>
              </a:graphicData>
            </a:graphic>
          </wp:inline>
        </w:drawing>
      </w:r>
    </w:p>
    <w:p w14:paraId="43677D73">
      <w:pPr>
        <w:rPr>
          <w:rFonts w:ascii="Times New Roman" w:hAnsi="Times New Roman" w:cs="Times New Roman"/>
          <w:sz w:val="24"/>
          <w:szCs w:val="28"/>
        </w:rPr>
      </w:pPr>
      <w:r>
        <w:rPr>
          <w:rFonts w:hint="eastAsia" w:ascii="Times New Roman" w:hAnsi="Times New Roman" w:cs="Times New Roman"/>
          <w:b/>
          <w:bCs/>
          <w:sz w:val="24"/>
          <w:szCs w:val="32"/>
        </w:rPr>
        <w:t xml:space="preserve">Fig.2 </w:t>
      </w:r>
      <w:r>
        <w:rPr>
          <w:rFonts w:ascii="Times New Roman" w:hAnsi="Times New Roman" w:cs="Times New Roman"/>
          <w:b/>
          <w:bCs/>
          <w:sz w:val="24"/>
          <w:szCs w:val="28"/>
        </w:rPr>
        <w:t>Role of autophagy in ZIKV invasion of host cells.</w:t>
      </w:r>
    </w:p>
    <w:p w14:paraId="1953D86D">
      <w:pPr>
        <w:widowControl/>
        <w:numPr>
          <w:ilvl w:val="-1"/>
          <w:numId w:val="0"/>
        </w:numPr>
        <w:jc w:val="both"/>
        <w:rPr>
          <w:rFonts w:ascii="Times New Roman" w:hAnsi="Times New Roman" w:cs="Times New Roman"/>
          <w:sz w:val="24"/>
          <w:szCs w:val="28"/>
        </w:rPr>
      </w:pPr>
      <w:r>
        <w:rPr>
          <w:rFonts w:ascii="Times New Roman" w:hAnsi="Times New Roman" w:cs="Times New Roman"/>
          <w:sz w:val="24"/>
          <w:szCs w:val="28"/>
        </w:rPr>
        <w:t>ZIKV invasion upregulates LRPPRC expression, which further leads to negative regulation of Beclin-1, and inhibits downstream autophagosome formation. (B) As a results of ZIKV infection, up-regulation of AXL activity facilitates the ROS-AMPK-mTOR-ULK1/2 pathway, and ROS stimulates AMPK to regulate mTOR inactivation and initiate subsequent autophagy. (C) STING is not only a regulatory factor, but is also recognized by the host as a substance to be degraded.</w:t>
      </w:r>
      <w:r>
        <w:rPr>
          <w:rFonts w:hint="default" w:ascii="Times New Roman" w:hAnsi="Times New Roman" w:cs="Times New Roman"/>
          <w:sz w:val="24"/>
          <w:szCs w:val="28"/>
          <w:lang w:val="en-US" w:eastAsia="zh-CN"/>
        </w:rPr>
        <w:t xml:space="preserve"> </w:t>
      </w:r>
      <w:r>
        <w:rPr>
          <w:rFonts w:ascii="Times New Roman" w:hAnsi="Times New Roman" w:cs="Times New Roman" w:eastAsiaTheme="minorEastAsia"/>
          <w:kern w:val="2"/>
          <w:sz w:val="24"/>
          <w:szCs w:val="28"/>
          <w:lang w:val="en-US" w:eastAsia="zh-CN" w:bidi="ar"/>
        </w:rPr>
        <w:t>Following ZIKV infection, exists an increase in the protein transcribed by STING</w:t>
      </w:r>
      <w:r>
        <w:rPr>
          <w:rFonts w:hint="eastAsia" w:ascii="Times New Roman" w:hAnsi="Times New Roman" w:cs="Times New Roman"/>
          <w:kern w:val="2"/>
          <w:sz w:val="24"/>
          <w:szCs w:val="28"/>
          <w:lang w:val="en-US" w:eastAsia="zh-CN" w:bidi="ar"/>
        </w:rPr>
        <w:t xml:space="preserve">. </w:t>
      </w:r>
      <w:r>
        <w:rPr>
          <w:rFonts w:ascii="Times New Roman" w:hAnsi="Times New Roman" w:cs="Times New Roman"/>
          <w:sz w:val="24"/>
          <w:szCs w:val="28"/>
        </w:rPr>
        <w:t>The NF-κB pathway promotes the synthesis of LC3-I to enhance autophagy flux</w:t>
      </w:r>
      <w:r>
        <w:rPr>
          <w:rFonts w:hint="eastAsia" w:ascii="Times New Roman" w:hAnsi="Times New Roman" w:cs="Times New Roman"/>
          <w:sz w:val="24"/>
          <w:szCs w:val="28"/>
        </w:rPr>
        <w:t>,</w:t>
      </w:r>
      <w:r>
        <w:rPr>
          <w:rFonts w:ascii="Times New Roman" w:hAnsi="Times New Roman" w:cs="Times New Roman"/>
          <w:sz w:val="24"/>
          <w:szCs w:val="28"/>
        </w:rPr>
        <w:t xml:space="preserve"> while blocking the formation of microtube and cutting off the transport route of STING to autophagolysosome. (D) ZIKV NS5 protein and PINK1 compete to bind Ajuba, reducing parkin recruitment to the membrane and weakening the intensity of mitophagy.</w:t>
      </w:r>
    </w:p>
    <w:p w14:paraId="03078592">
      <w:pPr>
        <w:rPr>
          <w:rFonts w:ascii="Times New Roman" w:hAnsi="Times New Roman" w:cs="Times New Roman"/>
          <w:sz w:val="24"/>
          <w:szCs w:val="28"/>
        </w:rPr>
      </w:pPr>
    </w:p>
    <w:p w14:paraId="529BE6DD">
      <w:pPr>
        <w:rPr>
          <w:rFonts w:ascii="Times New Roman" w:hAnsi="Times New Roman" w:cs="Times New Roman"/>
          <w:sz w:val="24"/>
          <w:szCs w:val="28"/>
        </w:rPr>
      </w:pPr>
    </w:p>
    <w:p w14:paraId="41F4884D">
      <w:pPr>
        <w:rPr>
          <w:rFonts w:ascii="Times New Roman" w:hAnsi="Times New Roman" w:cs="Times New Roman"/>
          <w:sz w:val="24"/>
          <w:szCs w:val="28"/>
        </w:rPr>
      </w:pPr>
      <w:r>
        <w:rPr>
          <w:rFonts w:ascii="Times New Roman" w:hAnsi="Times New Roman" w:cs="Times New Roman"/>
          <w:sz w:val="24"/>
          <w:szCs w:val="28"/>
        </w:rPr>
        <w:drawing>
          <wp:inline distT="0" distB="0" distL="114300" distR="114300">
            <wp:extent cx="5266690" cy="3221990"/>
            <wp:effectExtent l="0" t="0" r="6350" b="8890"/>
            <wp:docPr id="3" name="图片 3" descr="apopt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poptosis"/>
                    <pic:cNvPicPr>
                      <a:picLocks noChangeAspect="1"/>
                    </pic:cNvPicPr>
                  </pic:nvPicPr>
                  <pic:blipFill>
                    <a:blip r:embed="rId6"/>
                    <a:stretch>
                      <a:fillRect/>
                    </a:stretch>
                  </pic:blipFill>
                  <pic:spPr>
                    <a:xfrm>
                      <a:off x="0" y="0"/>
                      <a:ext cx="5266690" cy="3221990"/>
                    </a:xfrm>
                    <a:prstGeom prst="rect">
                      <a:avLst/>
                    </a:prstGeom>
                  </pic:spPr>
                </pic:pic>
              </a:graphicData>
            </a:graphic>
          </wp:inline>
        </w:drawing>
      </w:r>
    </w:p>
    <w:p w14:paraId="5D1DBE8C">
      <w:pPr>
        <w:widowControl/>
        <w:spacing w:after="160"/>
        <w:jc w:val="left"/>
        <w:rPr>
          <w:rFonts w:ascii="Times New Roman" w:hAnsi="Times New Roman" w:cs="Times New Roman"/>
          <w:b/>
          <w:bCs/>
          <w:sz w:val="24"/>
          <w:szCs w:val="28"/>
          <w14:ligatures w14:val="standardContextual"/>
        </w:rPr>
      </w:pPr>
      <w:r>
        <w:rPr>
          <w:rFonts w:hint="eastAsia" w:ascii="Times New Roman" w:hAnsi="Times New Roman" w:cs="Times New Roman"/>
          <w:b/>
          <w:bCs/>
          <w:sz w:val="24"/>
          <w:szCs w:val="32"/>
        </w:rPr>
        <w:t>Fig.</w:t>
      </w:r>
      <w:r>
        <w:rPr>
          <w:rFonts w:hint="eastAsia" w:ascii="Times New Roman" w:hAnsi="Times New Roman" w:cs="Times New Roman"/>
          <w:b/>
          <w:bCs/>
          <w:sz w:val="24"/>
          <w:szCs w:val="32"/>
          <w:lang w:val="en-US" w:eastAsia="zh-CN"/>
        </w:rPr>
        <w:t>3</w:t>
      </w:r>
      <w:r>
        <w:rPr>
          <w:rFonts w:hint="eastAsia" w:ascii="Times New Roman" w:hAnsi="Times New Roman" w:cs="Times New Roman"/>
          <w:b/>
          <w:bCs/>
          <w:sz w:val="24"/>
          <w:szCs w:val="32"/>
        </w:rPr>
        <w:t xml:space="preserve"> </w:t>
      </w:r>
      <w:r>
        <w:rPr>
          <w:rFonts w:hint="eastAsia" w:ascii="Times New Roman" w:hAnsi="Times New Roman" w:cs="Times New Roman"/>
          <w:b/>
          <w:bCs/>
          <w:sz w:val="24"/>
          <w:szCs w:val="28"/>
          <w14:ligatures w14:val="standardContextual"/>
        </w:rPr>
        <w:t xml:space="preserve">Multiple pathways induced </w:t>
      </w:r>
      <w:r>
        <w:rPr>
          <w:rFonts w:ascii="Times New Roman" w:hAnsi="Times New Roman" w:cs="Times New Roman"/>
          <w:b/>
          <w:bCs/>
          <w:sz w:val="24"/>
          <w:szCs w:val="28"/>
          <w14:ligatures w14:val="standardContextual"/>
        </w:rPr>
        <w:t xml:space="preserve">by </w:t>
      </w:r>
      <w:r>
        <w:rPr>
          <w:rFonts w:hint="eastAsia" w:ascii="Times New Roman" w:hAnsi="Times New Roman" w:cs="Times New Roman"/>
          <w:b/>
          <w:bCs/>
          <w:sz w:val="24"/>
          <w:szCs w:val="28"/>
          <w14:ligatures w14:val="standardContextual"/>
        </w:rPr>
        <w:t>ZIKV regulate apoptosis</w:t>
      </w:r>
    </w:p>
    <w:p w14:paraId="5923F320">
      <w:pPr>
        <w:rPr>
          <w:rFonts w:ascii="Times New Roman" w:hAnsi="Times New Roman" w:cs="Times New Roman"/>
          <w:sz w:val="24"/>
          <w:szCs w:val="28"/>
        </w:rPr>
      </w:pPr>
      <w:r>
        <w:rPr>
          <w:rFonts w:hint="eastAsia" w:ascii="Times New Roman" w:hAnsi="Times New Roman" w:cs="Times New Roman"/>
          <w:sz w:val="24"/>
          <w:szCs w:val="28"/>
        </w:rPr>
        <w:t xml:space="preserve">ZIKV invasion maintains internal biological homeostasis </w:t>
      </w:r>
      <w:r>
        <w:rPr>
          <w:rFonts w:hint="eastAsia" w:ascii="Times New Roman" w:hAnsi="Times New Roman" w:cs="Times New Roman"/>
          <w:sz w:val="24"/>
          <w:szCs w:val="28"/>
          <w:lang w:val="en-US" w:eastAsia="zh-CN"/>
        </w:rPr>
        <w:t>and</w:t>
      </w:r>
      <w:r>
        <w:rPr>
          <w:rFonts w:hint="eastAsia" w:ascii="Times New Roman" w:hAnsi="Times New Roman" w:cs="Times New Roman"/>
          <w:sz w:val="24"/>
          <w:szCs w:val="28"/>
        </w:rPr>
        <w:t xml:space="preserve"> promotes ZIKV colonization by </w:t>
      </w:r>
      <w:r>
        <w:rPr>
          <w:rFonts w:hint="eastAsia" w:ascii="Times New Roman" w:hAnsi="Times New Roman" w:cs="Times New Roman"/>
          <w:sz w:val="24"/>
          <w:szCs w:val="28"/>
          <w:lang w:val="en-US" w:eastAsia="zh-CN"/>
        </w:rPr>
        <w:t xml:space="preserve">regulating </w:t>
      </w:r>
      <w:r>
        <w:rPr>
          <w:rFonts w:hint="eastAsia" w:ascii="Times New Roman" w:hAnsi="Times New Roman" w:cs="Times New Roman"/>
          <w:sz w:val="24"/>
          <w:szCs w:val="28"/>
        </w:rPr>
        <w:t>classical/nonclassical apoptotic pathways</w:t>
      </w:r>
      <w:r>
        <w:rPr>
          <w:rFonts w:hint="eastAsia" w:ascii="Times New Roman" w:hAnsi="Times New Roman" w:cs="Times New Roman"/>
          <w:sz w:val="24"/>
          <w:szCs w:val="28"/>
          <w:lang w:val="en-US" w:eastAsia="zh-CN"/>
        </w:rPr>
        <w:t xml:space="preserve"> of host cells</w:t>
      </w:r>
      <w:r>
        <w:rPr>
          <w:rFonts w:hint="eastAsia" w:ascii="Times New Roman" w:hAnsi="Times New Roman" w:cs="Times New Roman"/>
          <w:sz w:val="24"/>
          <w:szCs w:val="28"/>
        </w:rPr>
        <w:t>. In the intrinsic apoptosis pathway, the up-regulation of pro-apoptotic protein BAX on the mitochondrial membrane gradually initiates caspase cascade effect. In the extrinsic death receptor pathway, multiple molecules compete to bind c-FLIP at the same time to cope with the crisis of ZIKV invasion. In paratosis and apoptosis mimicries, ZIKV-mediated PI3K/AKT pathway promote</w:t>
      </w:r>
      <w:r>
        <w:rPr>
          <w:rFonts w:ascii="Times New Roman" w:hAnsi="Times New Roman" w:cs="Times New Roman"/>
          <w:sz w:val="24"/>
          <w:szCs w:val="28"/>
        </w:rPr>
        <w:t>s</w:t>
      </w:r>
      <w:r>
        <w:rPr>
          <w:rFonts w:hint="eastAsia" w:ascii="Times New Roman" w:hAnsi="Times New Roman" w:cs="Times New Roman"/>
          <w:sz w:val="24"/>
          <w:szCs w:val="28"/>
        </w:rPr>
        <w:t xml:space="preserve"> ER swelling and necrosis to ensure ZIKV colonization. ZIKV infection can change the composition of EVs in order to dynamically adjust the degree of host apoptosis.</w:t>
      </w:r>
    </w:p>
    <w:p w14:paraId="5332EC8A">
      <w:pPr>
        <w:rPr>
          <w:rFonts w:ascii="Times New Roman" w:hAnsi="Times New Roman" w:cs="Times New Roman"/>
          <w:sz w:val="24"/>
          <w:szCs w:val="28"/>
        </w:rPr>
      </w:pPr>
    </w:p>
    <w:p w14:paraId="0E388003">
      <w:pPr>
        <w:rPr>
          <w:rFonts w:ascii="Times New Roman" w:hAnsi="Times New Roman" w:cs="Times New Roman"/>
          <w:sz w:val="24"/>
          <w:szCs w:val="28"/>
        </w:rPr>
      </w:pPr>
    </w:p>
    <w:p w14:paraId="3D7B9312">
      <w:pPr>
        <w:rPr>
          <w:rFonts w:ascii="Times New Roman" w:hAnsi="Times New Roman" w:cs="Times New Roman"/>
          <w:sz w:val="24"/>
          <w:szCs w:val="28"/>
        </w:rPr>
      </w:pPr>
    </w:p>
    <w:p w14:paraId="7BF116D0">
      <w:pPr>
        <w:rPr>
          <w:rFonts w:ascii="Times New Roman" w:hAnsi="Times New Roman" w:cs="Times New Roman"/>
          <w:sz w:val="24"/>
          <w:szCs w:val="28"/>
        </w:rPr>
      </w:pPr>
    </w:p>
    <w:p w14:paraId="576D505A">
      <w:pPr>
        <w:rPr>
          <w:rFonts w:ascii="Times New Roman" w:hAnsi="Times New Roman" w:cs="Times New Roman"/>
          <w:sz w:val="24"/>
          <w:szCs w:val="28"/>
        </w:rPr>
      </w:pPr>
    </w:p>
    <w:p w14:paraId="3AEFFBC0">
      <w:pPr>
        <w:rPr>
          <w:rFonts w:ascii="Times New Roman" w:hAnsi="Times New Roman" w:cs="Times New Roman"/>
          <w:sz w:val="24"/>
          <w:szCs w:val="28"/>
        </w:rPr>
      </w:pPr>
    </w:p>
    <w:p w14:paraId="6E4C4938">
      <w:pPr>
        <w:rPr>
          <w:rFonts w:ascii="Times New Roman" w:hAnsi="Times New Roman" w:cs="Times New Roman"/>
          <w:sz w:val="24"/>
          <w:szCs w:val="28"/>
        </w:rPr>
      </w:pPr>
    </w:p>
    <w:p w14:paraId="10A7AA9B">
      <w:pPr>
        <w:rPr>
          <w:rFonts w:ascii="Times New Roman" w:hAnsi="Times New Roman" w:cs="Times New Roman"/>
          <w:sz w:val="24"/>
          <w:szCs w:val="28"/>
        </w:rPr>
      </w:pPr>
      <w:bookmarkStart w:id="0" w:name="_GoBack"/>
      <w:bookmarkEnd w:id="0"/>
    </w:p>
    <w:p w14:paraId="24F28FA9">
      <w:pPr>
        <w:rPr>
          <w:rFonts w:ascii="Times New Roman" w:hAnsi="Times New Roman" w:cs="Times New Roman"/>
          <w:sz w:val="24"/>
          <w:szCs w:val="28"/>
        </w:rPr>
      </w:pPr>
    </w:p>
    <w:p w14:paraId="6FD5A923">
      <w:pPr>
        <w:rPr>
          <w:rFonts w:ascii="Times New Roman" w:hAnsi="Times New Roman" w:cs="Times New Roman"/>
          <w:sz w:val="24"/>
          <w:szCs w:val="28"/>
        </w:rPr>
      </w:pPr>
    </w:p>
    <w:p w14:paraId="4A117D34">
      <w:pPr>
        <w:rPr>
          <w:rFonts w:ascii="Times New Roman" w:hAnsi="Times New Roman" w:cs="Times New Roman"/>
          <w:sz w:val="24"/>
          <w:szCs w:val="28"/>
        </w:rPr>
      </w:pPr>
    </w:p>
    <w:p w14:paraId="3C793379">
      <w:pPr>
        <w:rPr>
          <w:rFonts w:ascii="Times New Roman" w:hAnsi="Times New Roman" w:cs="Times New Roman"/>
          <w:sz w:val="24"/>
          <w:szCs w:val="28"/>
        </w:rPr>
      </w:pPr>
    </w:p>
    <w:p w14:paraId="0A7543EC">
      <w:pPr>
        <w:rPr>
          <w:rFonts w:ascii="Times New Roman" w:hAnsi="Times New Roman" w:cs="Times New Roman"/>
          <w:sz w:val="24"/>
          <w:szCs w:val="28"/>
        </w:rPr>
      </w:pPr>
    </w:p>
    <w:p w14:paraId="626D0A94">
      <w:pPr>
        <w:rPr>
          <w:rFonts w:ascii="Times New Roman" w:hAnsi="Times New Roman" w:cs="Times New Roman"/>
          <w:sz w:val="24"/>
          <w:szCs w:val="28"/>
        </w:rPr>
      </w:pPr>
    </w:p>
    <w:p w14:paraId="1FC77002">
      <w:pPr>
        <w:rPr>
          <w:rFonts w:ascii="Times New Roman" w:hAnsi="Times New Roman" w:cs="Times New Roman"/>
          <w:sz w:val="24"/>
          <w:szCs w:val="28"/>
        </w:rPr>
      </w:pPr>
    </w:p>
    <w:p w14:paraId="272E0383">
      <w:pPr>
        <w:rPr>
          <w:rFonts w:ascii="Times New Roman" w:hAnsi="Times New Roman" w:cs="Times New Roman"/>
          <w:sz w:val="24"/>
          <w:szCs w:val="28"/>
        </w:rPr>
      </w:pPr>
    </w:p>
    <w:p w14:paraId="0A5C7358">
      <w:pPr>
        <w:rPr>
          <w:rFonts w:hint="default" w:ascii="Times New Roman" w:hAnsi="Times New Roman" w:cs="Times New Roman" w:eastAsiaTheme="minorEastAsia"/>
          <w:sz w:val="24"/>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0E7B4C"/>
    <w:rsid w:val="00441E38"/>
    <w:rsid w:val="0046280A"/>
    <w:rsid w:val="007A0A69"/>
    <w:rsid w:val="008304E5"/>
    <w:rsid w:val="008D3D37"/>
    <w:rsid w:val="009A6DAB"/>
    <w:rsid w:val="00C90557"/>
    <w:rsid w:val="00E53698"/>
    <w:rsid w:val="00E774D4"/>
    <w:rsid w:val="00E8669A"/>
    <w:rsid w:val="00FD0F5A"/>
    <w:rsid w:val="3B5D312D"/>
    <w:rsid w:val="3E926DF4"/>
    <w:rsid w:val="40F961A5"/>
    <w:rsid w:val="438568F1"/>
    <w:rsid w:val="680E7B4C"/>
    <w:rsid w:val="69183164"/>
    <w:rsid w:val="7F556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qFormat/>
    <w:uiPriority w:val="0"/>
    <w:pPr>
      <w:jc w:val="left"/>
    </w:pPr>
  </w:style>
  <w:style w:type="paragraph" w:styleId="3">
    <w:name w:val="Balloon Text"/>
    <w:basedOn w:val="1"/>
    <w:link w:val="11"/>
    <w:qFormat/>
    <w:uiPriority w:val="0"/>
    <w:rPr>
      <w:sz w:val="18"/>
      <w:szCs w:val="18"/>
    </w:rPr>
  </w:style>
  <w:style w:type="paragraph" w:styleId="4">
    <w:name w:val="annotation subject"/>
    <w:basedOn w:val="2"/>
    <w:next w:val="2"/>
    <w:link w:val="9"/>
    <w:qFormat/>
    <w:uiPriority w:val="0"/>
    <w:rPr>
      <w:b/>
      <w:bCs/>
    </w:rPr>
  </w:style>
  <w:style w:type="character" w:styleId="7">
    <w:name w:val="annotation reference"/>
    <w:basedOn w:val="6"/>
    <w:qFormat/>
    <w:uiPriority w:val="0"/>
    <w:rPr>
      <w:sz w:val="21"/>
      <w:szCs w:val="21"/>
    </w:rPr>
  </w:style>
  <w:style w:type="character" w:customStyle="1" w:styleId="8">
    <w:name w:val="批注文字 Char"/>
    <w:basedOn w:val="6"/>
    <w:link w:val="2"/>
    <w:qFormat/>
    <w:uiPriority w:val="0"/>
    <w:rPr>
      <w:rFonts w:asciiTheme="minorHAnsi" w:hAnsiTheme="minorHAnsi" w:eastAsiaTheme="minorEastAsia" w:cstheme="minorBidi"/>
      <w:kern w:val="2"/>
      <w:sz w:val="21"/>
      <w:szCs w:val="24"/>
    </w:rPr>
  </w:style>
  <w:style w:type="character" w:customStyle="1" w:styleId="9">
    <w:name w:val="批注主题 Char"/>
    <w:basedOn w:val="8"/>
    <w:link w:val="4"/>
    <w:qFormat/>
    <w:uiPriority w:val="0"/>
    <w:rPr>
      <w:rFonts w:asciiTheme="minorHAnsi" w:hAnsiTheme="minorHAnsi" w:eastAsiaTheme="minorEastAsia" w:cstheme="minorBidi"/>
      <w:b/>
      <w:bCs/>
      <w:kern w:val="2"/>
      <w:sz w:val="21"/>
      <w:szCs w:val="24"/>
    </w:rPr>
  </w:style>
  <w:style w:type="paragraph" w:customStyle="1" w:styleId="10">
    <w:name w:val="Revision"/>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11">
    <w:name w:val="批注框文本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CF0ED-DB34-4547-8AD2-668B4B0F98B2}">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3</Pages>
  <Words>318</Words>
  <Characters>1865</Characters>
  <Lines>16</Lines>
  <Paragraphs>4</Paragraphs>
  <TotalTime>508</TotalTime>
  <ScaleCrop>false</ScaleCrop>
  <LinksUpToDate>false</LinksUpToDate>
  <CharactersWithSpaces>2176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2025-01-13T06:50:00Z</dcterms:created>
  <dc:creator>南街默茶</dc:creator>
  <cp:lastModifiedBy>南街默茶</cp:lastModifiedBy>
  <dcterms:modified xsi:type="dcterms:W3CDTF">2025-10-09T14:06:26Z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DA4F3DC70C114009BADB23F1CFA05AB4_13</vt:lpwstr>
  </property>
  <property fmtid="{D5CDD505-2E9C-101B-9397-08002B2CF9AE}" pid="4" name="KSOTemplateDocerSaveRecord">
    <vt:lpwstr>eyJoZGlkIjoiYTc2ZGZiNzZiNDVlOGViOWVmM2JhOTY0NGJkNjUyYzgiLCJ1c2VySWQiOiI4NjM0OTkzODcifQ==</vt:lpwstr>
  </property>
</Properties>
</file>