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F77" w:rsidRPr="00044833" w:rsidRDefault="00986243">
      <w:pPr>
        <w:rPr>
          <w:sz w:val="24"/>
          <w:lang w:val="en-US"/>
        </w:rPr>
      </w:pPr>
      <w:r w:rsidRPr="00044833">
        <w:rPr>
          <w:sz w:val="24"/>
          <w:lang w:val="en-US"/>
        </w:rPr>
        <w:t>Supplementary methods</w:t>
      </w:r>
    </w:p>
    <w:p w:rsidR="00986243" w:rsidRPr="00044833" w:rsidRDefault="00986243">
      <w:pPr>
        <w:rPr>
          <w:lang w:val="en-US"/>
        </w:rPr>
      </w:pPr>
    </w:p>
    <w:p w:rsidR="00377B03" w:rsidRPr="00044833" w:rsidRDefault="00377B03">
      <w:pPr>
        <w:rPr>
          <w:lang w:val="en-US"/>
        </w:rPr>
      </w:pPr>
      <w:r w:rsidRPr="00044833">
        <w:rPr>
          <w:lang w:val="en-US"/>
        </w:rPr>
        <w:t>Cell based assays</w:t>
      </w:r>
    </w:p>
    <w:p w:rsidR="00377B03" w:rsidRPr="00044833" w:rsidRDefault="00377B03">
      <w:pPr>
        <w:rPr>
          <w:lang w:val="en-US"/>
        </w:rPr>
      </w:pPr>
      <w:r w:rsidRPr="00044833">
        <w:rPr>
          <w:lang w:val="en-US"/>
        </w:rPr>
        <w:t xml:space="preserve">Relative intracellular ATP levels were determined by the </w:t>
      </w:r>
      <w:proofErr w:type="spellStart"/>
      <w:r w:rsidRPr="00044833">
        <w:rPr>
          <w:lang w:val="en-US"/>
        </w:rPr>
        <w:t>CellTiterGlo</w:t>
      </w:r>
      <w:proofErr w:type="spellEnd"/>
      <w:r w:rsidRPr="00044833">
        <w:rPr>
          <w:lang w:val="en-US"/>
        </w:rPr>
        <w:t xml:space="preserve"> Assay (</w:t>
      </w:r>
      <w:proofErr w:type="spellStart"/>
      <w:r w:rsidRPr="00044833">
        <w:rPr>
          <w:lang w:val="en-US"/>
        </w:rPr>
        <w:t>Promega</w:t>
      </w:r>
      <w:proofErr w:type="spellEnd"/>
      <w:r w:rsidRPr="00044833">
        <w:rPr>
          <w:lang w:val="en-US"/>
        </w:rPr>
        <w:t>, Mannheim, Germany) as described previously [1]. Briefly, 5000 U87 cells were seeded per well into a 96-well plate (µClear, Greiner Bio One, Frickenhausen, Germany) with 200 µl of full DMEM (</w:t>
      </w:r>
      <w:r w:rsidR="0011025B" w:rsidRPr="00044833">
        <w:rPr>
          <w:lang w:val="en-US"/>
        </w:rPr>
        <w:t>4.5 g/L glucose, without pyruvate</w:t>
      </w:r>
      <w:r w:rsidRPr="00044833">
        <w:rPr>
          <w:lang w:val="en-US"/>
        </w:rPr>
        <w:t xml:space="preserve">, supplemented with </w:t>
      </w:r>
      <w:r w:rsidR="0011025B" w:rsidRPr="00044833">
        <w:rPr>
          <w:lang w:val="en-US"/>
        </w:rPr>
        <w:t xml:space="preserve">GlutaMAX, antibiotics – all from </w:t>
      </w:r>
      <w:proofErr w:type="spellStart"/>
      <w:r w:rsidR="0011025B" w:rsidRPr="00044833">
        <w:rPr>
          <w:lang w:val="en-US"/>
        </w:rPr>
        <w:t>Gibco</w:t>
      </w:r>
      <w:proofErr w:type="spellEnd"/>
      <w:r w:rsidR="0011025B" w:rsidRPr="00044833">
        <w:rPr>
          <w:lang w:val="en-US"/>
        </w:rPr>
        <w:t xml:space="preserve">, </w:t>
      </w:r>
      <w:proofErr w:type="spellStart"/>
      <w:r w:rsidR="0011025B" w:rsidRPr="00044833">
        <w:rPr>
          <w:lang w:val="en-US"/>
        </w:rPr>
        <w:t>Thermo</w:t>
      </w:r>
      <w:proofErr w:type="spellEnd"/>
      <w:r w:rsidR="0011025B" w:rsidRPr="00044833">
        <w:rPr>
          <w:lang w:val="en-US"/>
        </w:rPr>
        <w:t xml:space="preserve"> scientific, Darmstadt, Germany – and 10 % FBS – Biochrom, Darmstadt, Germany). After 3 hours of incubation, media was exchanged with 100 µl of </w:t>
      </w:r>
      <w:proofErr w:type="gramStart"/>
      <w:r w:rsidR="0011025B" w:rsidRPr="00044833">
        <w:rPr>
          <w:lang w:val="en-US"/>
        </w:rPr>
        <w:t>DMEM[</w:t>
      </w:r>
      <w:proofErr w:type="gramEnd"/>
      <w:r w:rsidR="0011025B" w:rsidRPr="00044833">
        <w:rPr>
          <w:lang w:val="en-US"/>
        </w:rPr>
        <w:t xml:space="preserve">0] (DMEM without glucose, pyruvate and phenol red, </w:t>
      </w:r>
      <w:proofErr w:type="spellStart"/>
      <w:r w:rsidR="0011025B" w:rsidRPr="00044833">
        <w:rPr>
          <w:lang w:val="en-US"/>
        </w:rPr>
        <w:t>Gibco</w:t>
      </w:r>
      <w:proofErr w:type="spellEnd"/>
      <w:r w:rsidR="0011025B" w:rsidRPr="00044833">
        <w:rPr>
          <w:lang w:val="en-US"/>
        </w:rPr>
        <w:t>) and then cells were starved for 20 hours in order to exhaust energy resources. Then</w:t>
      </w:r>
      <w:r w:rsidR="00E570B4" w:rsidRPr="00044833">
        <w:rPr>
          <w:lang w:val="en-US"/>
        </w:rPr>
        <w:t>,</w:t>
      </w:r>
      <w:r w:rsidR="0011025B" w:rsidRPr="00044833">
        <w:rPr>
          <w:lang w:val="en-US"/>
        </w:rPr>
        <w:t xml:space="preserve"> cells received </w:t>
      </w:r>
      <w:proofErr w:type="gramStart"/>
      <w:r w:rsidR="0011025B" w:rsidRPr="00044833">
        <w:rPr>
          <w:lang w:val="en-US"/>
        </w:rPr>
        <w:t>DMEM[</w:t>
      </w:r>
      <w:proofErr w:type="gramEnd"/>
      <w:r w:rsidR="0011025B" w:rsidRPr="00044833">
        <w:rPr>
          <w:lang w:val="en-US"/>
        </w:rPr>
        <w:t xml:space="preserve">0] supplemented with different concentrations of glucose and pyruvate. After 24 </w:t>
      </w:r>
      <w:r w:rsidR="00873A45" w:rsidRPr="00044833">
        <w:rPr>
          <w:lang w:val="en-US"/>
        </w:rPr>
        <w:t>hours</w:t>
      </w:r>
      <w:r w:rsidR="0011025B" w:rsidRPr="00044833">
        <w:rPr>
          <w:lang w:val="en-US"/>
        </w:rPr>
        <w:t xml:space="preserve"> of incubation</w:t>
      </w:r>
      <w:r w:rsidR="00873A45" w:rsidRPr="00044833">
        <w:rPr>
          <w:lang w:val="en-US"/>
        </w:rPr>
        <w:t xml:space="preserve"> </w:t>
      </w:r>
      <w:r w:rsidR="00E570B4" w:rsidRPr="00044833">
        <w:rPr>
          <w:lang w:val="en-US"/>
        </w:rPr>
        <w:t xml:space="preserve">the </w:t>
      </w:r>
      <w:proofErr w:type="spellStart"/>
      <w:r w:rsidR="00873A45" w:rsidRPr="00044833">
        <w:rPr>
          <w:lang w:val="en-US"/>
        </w:rPr>
        <w:t>CellTiterGlo</w:t>
      </w:r>
      <w:proofErr w:type="spellEnd"/>
      <w:r w:rsidR="00873A45" w:rsidRPr="00044833">
        <w:rPr>
          <w:lang w:val="en-US"/>
        </w:rPr>
        <w:t xml:space="preserve"> Assay was performed and </w:t>
      </w:r>
      <w:r w:rsidR="00E570B4" w:rsidRPr="00044833">
        <w:rPr>
          <w:lang w:val="en-US"/>
        </w:rPr>
        <w:t xml:space="preserve">the </w:t>
      </w:r>
      <w:r w:rsidR="00873A45" w:rsidRPr="00044833">
        <w:rPr>
          <w:lang w:val="en-US"/>
        </w:rPr>
        <w:t xml:space="preserve">resulting luminescence detected by a </w:t>
      </w:r>
      <w:proofErr w:type="spellStart"/>
      <w:r w:rsidR="00873A45" w:rsidRPr="00044833">
        <w:rPr>
          <w:lang w:val="en-US"/>
        </w:rPr>
        <w:t>Mitras</w:t>
      </w:r>
      <w:proofErr w:type="spellEnd"/>
      <w:r w:rsidR="00873A45" w:rsidRPr="00044833">
        <w:rPr>
          <w:lang w:val="en-US"/>
        </w:rPr>
        <w:t xml:space="preserve"> LB 940 Multimode Microplate ready (Berthold Technologies, Bad Wildbad, </w:t>
      </w:r>
      <w:proofErr w:type="gramStart"/>
      <w:r w:rsidR="00873A45" w:rsidRPr="00044833">
        <w:rPr>
          <w:lang w:val="en-US"/>
        </w:rPr>
        <w:t>Germany</w:t>
      </w:r>
      <w:proofErr w:type="gramEnd"/>
      <w:r w:rsidR="00873A45" w:rsidRPr="00044833">
        <w:rPr>
          <w:lang w:val="en-US"/>
        </w:rPr>
        <w:t>). All assays were performed in 6-tup</w:t>
      </w:r>
      <w:r w:rsidR="00E570B4" w:rsidRPr="00044833">
        <w:rPr>
          <w:lang w:val="en-US"/>
        </w:rPr>
        <w:t>licate.</w:t>
      </w:r>
    </w:p>
    <w:p w:rsidR="00873A45" w:rsidRPr="00044833" w:rsidRDefault="00873A45">
      <w:pPr>
        <w:rPr>
          <w:lang w:val="en-US"/>
        </w:rPr>
      </w:pPr>
    </w:p>
    <w:p w:rsidR="00873A45" w:rsidRPr="00044833" w:rsidRDefault="00873A45">
      <w:pPr>
        <w:rPr>
          <w:lang w:val="en-US"/>
        </w:rPr>
      </w:pPr>
      <w:r w:rsidRPr="00044833">
        <w:rPr>
          <w:lang w:val="en-US"/>
        </w:rPr>
        <w:t xml:space="preserve">Determination of mRNA expression by </w:t>
      </w:r>
      <w:proofErr w:type="spellStart"/>
      <w:r w:rsidRPr="00044833">
        <w:rPr>
          <w:lang w:val="en-US"/>
        </w:rPr>
        <w:t>qRT</w:t>
      </w:r>
      <w:proofErr w:type="spellEnd"/>
      <w:r w:rsidRPr="00044833">
        <w:rPr>
          <w:lang w:val="en-US"/>
        </w:rPr>
        <w:t>-PCR</w:t>
      </w:r>
    </w:p>
    <w:p w:rsidR="002A63C8" w:rsidRPr="00044833" w:rsidRDefault="00044833" w:rsidP="002A63C8">
      <w:pPr>
        <w:rPr>
          <w:lang w:val="en-US"/>
        </w:rPr>
      </w:pPr>
      <w:r w:rsidRPr="00044833">
        <w:rPr>
          <w:lang w:val="en-US"/>
        </w:rPr>
        <w:t>Determination of mRNA expression</w:t>
      </w:r>
      <w:r w:rsidRPr="00044833">
        <w:rPr>
          <w:lang w:val="en-US"/>
        </w:rPr>
        <w:t xml:space="preserve"> was performed as described before [2]. </w:t>
      </w:r>
      <w:r w:rsidR="00873A45" w:rsidRPr="00044833">
        <w:rPr>
          <w:lang w:val="en-US"/>
        </w:rPr>
        <w:t>Briefly, for RNA isolation 10</w:t>
      </w:r>
      <w:r w:rsidR="00873A45" w:rsidRPr="00044833">
        <w:rPr>
          <w:vertAlign w:val="superscript"/>
          <w:lang w:val="en-US"/>
        </w:rPr>
        <w:t>6</w:t>
      </w:r>
      <w:r w:rsidR="00873A45" w:rsidRPr="00044833">
        <w:rPr>
          <w:lang w:val="en-US"/>
        </w:rPr>
        <w:t xml:space="preserve"> U87 cells were seeded into 10-mm cell cultured dishes (TPP, </w:t>
      </w:r>
      <w:proofErr w:type="spellStart"/>
      <w:r w:rsidR="00873A45" w:rsidRPr="00044833">
        <w:rPr>
          <w:lang w:val="en-US"/>
        </w:rPr>
        <w:t>Trasadingen</w:t>
      </w:r>
      <w:proofErr w:type="spellEnd"/>
      <w:r w:rsidR="00873A45" w:rsidRPr="00044833">
        <w:rPr>
          <w:lang w:val="en-US"/>
        </w:rPr>
        <w:t>, Switzerland) with 10 ml of full DMEM. Cells received fresh media (full DMEM) after 24 hours and were cultivated for additional 24 hours. Then, total RNA was isolated using the RNeasy plus mini kit (</w:t>
      </w:r>
      <w:proofErr w:type="spellStart"/>
      <w:r w:rsidR="00873A45" w:rsidRPr="00044833">
        <w:rPr>
          <w:lang w:val="en-US"/>
        </w:rPr>
        <w:t>Qiagen</w:t>
      </w:r>
      <w:proofErr w:type="spellEnd"/>
      <w:r w:rsidR="00873A45" w:rsidRPr="00044833">
        <w:rPr>
          <w:lang w:val="en-US"/>
        </w:rPr>
        <w:t>, Hilden, Germany)</w:t>
      </w:r>
      <w:r w:rsidR="002A63C8" w:rsidRPr="00044833">
        <w:rPr>
          <w:lang w:val="en-US"/>
        </w:rPr>
        <w:t xml:space="preserve"> according to the manufactures instructions. For cDNA synthesis </w:t>
      </w:r>
      <w:r w:rsidR="00E570B4" w:rsidRPr="00044833">
        <w:rPr>
          <w:lang w:val="en-US"/>
        </w:rPr>
        <w:t xml:space="preserve">the </w:t>
      </w:r>
      <w:proofErr w:type="spellStart"/>
      <w:r w:rsidR="002A63C8" w:rsidRPr="00044833">
        <w:rPr>
          <w:lang w:val="en-US"/>
        </w:rPr>
        <w:t>imProm</w:t>
      </w:r>
      <w:proofErr w:type="spellEnd"/>
      <w:r w:rsidR="002A63C8" w:rsidRPr="00044833">
        <w:rPr>
          <w:lang w:val="en-US"/>
        </w:rPr>
        <w:t>-II</w:t>
      </w:r>
      <w:r w:rsidR="002A63C8" w:rsidRPr="00044833">
        <w:rPr>
          <w:vertAlign w:val="superscript"/>
          <w:lang w:val="en-US"/>
        </w:rPr>
        <w:t>TM</w:t>
      </w:r>
      <w:r w:rsidR="002A63C8" w:rsidRPr="00044833">
        <w:rPr>
          <w:lang w:val="en-US"/>
        </w:rPr>
        <w:t xml:space="preserve"> Reverse Transcription Sy</w:t>
      </w:r>
      <w:r w:rsidR="00E570B4" w:rsidRPr="00044833">
        <w:rPr>
          <w:lang w:val="en-US"/>
        </w:rPr>
        <w:t>s</w:t>
      </w:r>
      <w:r w:rsidR="002A63C8" w:rsidRPr="00044833">
        <w:rPr>
          <w:lang w:val="en-US"/>
        </w:rPr>
        <w:t xml:space="preserve">tem (Promega) was used according to the manufactures instructions, employing 500 ng RNA and random primers. </w:t>
      </w:r>
      <w:proofErr w:type="spellStart"/>
      <w:r w:rsidR="002A63C8" w:rsidRPr="00044833">
        <w:rPr>
          <w:lang w:val="en-US"/>
        </w:rPr>
        <w:t>qRT</w:t>
      </w:r>
      <w:proofErr w:type="spellEnd"/>
      <w:r w:rsidR="002A63C8" w:rsidRPr="00044833">
        <w:rPr>
          <w:lang w:val="en-US"/>
        </w:rPr>
        <w:t>-PCR was carried out on a Rotor-Gene 3000 system (</w:t>
      </w:r>
      <w:proofErr w:type="spellStart"/>
      <w:r w:rsidR="002A63C8" w:rsidRPr="00044833">
        <w:rPr>
          <w:lang w:val="en-US"/>
        </w:rPr>
        <w:t>Qiagen</w:t>
      </w:r>
      <w:proofErr w:type="spellEnd"/>
      <w:r w:rsidR="002A63C8" w:rsidRPr="00044833">
        <w:rPr>
          <w:lang w:val="en-US"/>
        </w:rPr>
        <w:t>) employing SYBR Green (</w:t>
      </w:r>
      <w:proofErr w:type="spellStart"/>
      <w:r w:rsidR="002A63C8" w:rsidRPr="00044833">
        <w:rPr>
          <w:lang w:val="en-US"/>
        </w:rPr>
        <w:t>Maxiam</w:t>
      </w:r>
      <w:proofErr w:type="spellEnd"/>
      <w:r w:rsidR="002A63C8" w:rsidRPr="00044833">
        <w:rPr>
          <w:lang w:val="en-US"/>
        </w:rPr>
        <w:t xml:space="preserve"> SYBR </w:t>
      </w:r>
      <w:proofErr w:type="spellStart"/>
      <w:r w:rsidR="002A63C8" w:rsidRPr="00044833">
        <w:rPr>
          <w:lang w:val="en-US"/>
        </w:rPr>
        <w:t>Greex</w:t>
      </w:r>
      <w:proofErr w:type="spellEnd"/>
      <w:r w:rsidR="002A63C8" w:rsidRPr="00044833">
        <w:rPr>
          <w:lang w:val="en-US"/>
        </w:rPr>
        <w:t xml:space="preserve">/ROX qPCR </w:t>
      </w:r>
      <w:proofErr w:type="spellStart"/>
      <w:r w:rsidR="002A63C8" w:rsidRPr="00044833">
        <w:rPr>
          <w:lang w:val="en-US"/>
        </w:rPr>
        <w:t>Mastrer</w:t>
      </w:r>
      <w:proofErr w:type="spellEnd"/>
      <w:r w:rsidR="002A63C8" w:rsidRPr="00044833">
        <w:rPr>
          <w:lang w:val="en-US"/>
        </w:rPr>
        <w:t xml:space="preserve"> Mix, </w:t>
      </w:r>
      <w:proofErr w:type="spellStart"/>
      <w:r w:rsidR="002A63C8" w:rsidRPr="00044833">
        <w:rPr>
          <w:lang w:val="en-US"/>
        </w:rPr>
        <w:t>Thermo</w:t>
      </w:r>
      <w:proofErr w:type="spellEnd"/>
      <w:r w:rsidR="002A63C8" w:rsidRPr="00044833">
        <w:rPr>
          <w:lang w:val="en-US"/>
        </w:rPr>
        <w:t xml:space="preserve"> scientific) and the following primers: </w:t>
      </w:r>
      <w:r w:rsidR="002A63C8" w:rsidRPr="00044833">
        <w:rPr>
          <w:rFonts w:cs="Arial"/>
          <w:lang w:val="en-US"/>
        </w:rPr>
        <w:t xml:space="preserve">GLUT1_for: </w:t>
      </w:r>
      <w:r w:rsidR="00E570B4" w:rsidRPr="00044833">
        <w:rPr>
          <w:rFonts w:cs="Arial"/>
          <w:lang w:val="en-US"/>
        </w:rPr>
        <w:t>5’-</w:t>
      </w:r>
      <w:r w:rsidR="002A63C8" w:rsidRPr="00044833">
        <w:rPr>
          <w:rFonts w:cs="Arial"/>
          <w:lang w:val="en-US"/>
        </w:rPr>
        <w:t>TGA</w:t>
      </w:r>
      <w:r w:rsidR="00E570B4" w:rsidRPr="00044833">
        <w:rPr>
          <w:rFonts w:cs="Arial"/>
          <w:lang w:val="en-US"/>
        </w:rPr>
        <w:t xml:space="preserve"> </w:t>
      </w:r>
      <w:r w:rsidR="002A63C8" w:rsidRPr="00044833">
        <w:rPr>
          <w:rFonts w:cs="Arial"/>
          <w:lang w:val="en-US"/>
        </w:rPr>
        <w:t>TCG</w:t>
      </w:r>
      <w:r w:rsidR="00E570B4" w:rsidRPr="00044833">
        <w:rPr>
          <w:rFonts w:cs="Arial"/>
          <w:lang w:val="en-US"/>
        </w:rPr>
        <w:t xml:space="preserve"> </w:t>
      </w:r>
      <w:r w:rsidR="002A63C8" w:rsidRPr="00044833">
        <w:rPr>
          <w:rFonts w:cs="Arial"/>
          <w:lang w:val="en-US"/>
        </w:rPr>
        <w:t>AGG</w:t>
      </w:r>
      <w:r w:rsidR="00E570B4" w:rsidRPr="00044833">
        <w:rPr>
          <w:rFonts w:cs="Arial"/>
          <w:lang w:val="en-US"/>
        </w:rPr>
        <w:t xml:space="preserve"> </w:t>
      </w:r>
      <w:r w:rsidR="002A63C8" w:rsidRPr="00044833">
        <w:rPr>
          <w:rFonts w:cs="Arial"/>
          <w:lang w:val="en-US"/>
        </w:rPr>
        <w:t>AGT</w:t>
      </w:r>
      <w:r w:rsidR="00E570B4" w:rsidRPr="00044833">
        <w:rPr>
          <w:rFonts w:cs="Arial"/>
          <w:lang w:val="en-US"/>
        </w:rPr>
        <w:t xml:space="preserve"> </w:t>
      </w:r>
      <w:r w:rsidR="002A63C8" w:rsidRPr="00044833">
        <w:rPr>
          <w:rFonts w:cs="Arial"/>
          <w:lang w:val="en-US"/>
        </w:rPr>
        <w:t>TCT</w:t>
      </w:r>
      <w:r w:rsidR="00E570B4" w:rsidRPr="00044833">
        <w:rPr>
          <w:rFonts w:cs="Arial"/>
          <w:lang w:val="en-US"/>
        </w:rPr>
        <w:t xml:space="preserve"> </w:t>
      </w:r>
      <w:r w:rsidR="002A63C8" w:rsidRPr="00044833">
        <w:rPr>
          <w:rFonts w:cs="Arial"/>
          <w:lang w:val="en-US"/>
        </w:rPr>
        <w:t>ACA</w:t>
      </w:r>
      <w:r w:rsidR="00E570B4" w:rsidRPr="00044833">
        <w:rPr>
          <w:rFonts w:cs="Arial"/>
          <w:lang w:val="en-US"/>
        </w:rPr>
        <w:t xml:space="preserve"> </w:t>
      </w:r>
      <w:r w:rsidR="002A63C8" w:rsidRPr="00044833">
        <w:rPr>
          <w:rFonts w:cs="Arial"/>
          <w:lang w:val="en-US"/>
        </w:rPr>
        <w:t>ACC</w:t>
      </w:r>
      <w:r w:rsidR="00E570B4" w:rsidRPr="00044833">
        <w:rPr>
          <w:rFonts w:cs="Arial"/>
          <w:lang w:val="en-US"/>
        </w:rPr>
        <w:t xml:space="preserve"> </w:t>
      </w:r>
      <w:r w:rsidR="002A63C8" w:rsidRPr="00044833">
        <w:rPr>
          <w:rFonts w:cs="Arial"/>
          <w:lang w:val="en-US"/>
        </w:rPr>
        <w:t>AGA</w:t>
      </w:r>
      <w:r w:rsidR="00E570B4" w:rsidRPr="00044833">
        <w:rPr>
          <w:rFonts w:cs="Arial"/>
          <w:lang w:val="en-US"/>
        </w:rPr>
        <w:t>-3’</w:t>
      </w:r>
      <w:r w:rsidR="002A63C8" w:rsidRPr="00044833">
        <w:rPr>
          <w:rFonts w:cs="Arial"/>
          <w:lang w:val="en-US"/>
        </w:rPr>
        <w:t xml:space="preserve">; </w:t>
      </w:r>
      <w:r w:rsidR="002A63C8" w:rsidRPr="00044833">
        <w:rPr>
          <w:lang w:val="en-US"/>
        </w:rPr>
        <w:t xml:space="preserve"> </w:t>
      </w:r>
      <w:r w:rsidR="002A63C8" w:rsidRPr="00044833">
        <w:rPr>
          <w:rFonts w:cs="Arial"/>
          <w:lang w:val="en-US"/>
        </w:rPr>
        <w:t xml:space="preserve">GLUT1_rev: CCGGGATGAAGATGATGCTC; GLUT2_for: ATTGCTCCAACCGCTCTCA; GLUT2_rev: CTGAAGGATGGCTCGCACACC; GLUT3_for: CTGGTTTATTGTGGCCGAACTCTT; GLUT3_rev: GCAGCATTCAGAAGCGTCCGT; GLUT4_for: GCTGTGTTCTCTGCGGTGCTT; GLUT4_rev: GCCTCCCCAGCCACGTCTCAT; HK1_for: GCAGATCTCTGAGACGCTGAA; HK1_rev: CTGTCATCGCAGGTGCTATTC; HK2_for: CCCTGCCACCAGACTAAACTA; HK2_rev: GCCCACAATGAGACCAATC; </w:t>
      </w:r>
      <w:proofErr w:type="spellStart"/>
      <w:r w:rsidR="002A63C8" w:rsidRPr="00044833">
        <w:rPr>
          <w:rFonts w:cs="Arial"/>
          <w:lang w:val="en-US"/>
        </w:rPr>
        <w:t>TBP_for</w:t>
      </w:r>
      <w:proofErr w:type="spellEnd"/>
      <w:r w:rsidR="002A63C8" w:rsidRPr="00044833">
        <w:rPr>
          <w:rFonts w:cs="Arial"/>
          <w:lang w:val="en-US"/>
        </w:rPr>
        <w:t xml:space="preserve">: TTGACCTAAAGACCATTGCAC; </w:t>
      </w:r>
      <w:proofErr w:type="spellStart"/>
      <w:r w:rsidR="002A63C8" w:rsidRPr="00044833">
        <w:rPr>
          <w:rFonts w:cs="Arial"/>
          <w:lang w:val="en-US"/>
        </w:rPr>
        <w:t>TBP_rev</w:t>
      </w:r>
      <w:proofErr w:type="spellEnd"/>
      <w:r w:rsidR="002A63C8" w:rsidRPr="00044833">
        <w:rPr>
          <w:rFonts w:cs="Arial"/>
          <w:lang w:val="en-US"/>
        </w:rPr>
        <w:t>: GCTCTGACTTTAGCACCTGTT</w:t>
      </w:r>
      <w:r w:rsidR="007D0D57" w:rsidRPr="00044833">
        <w:rPr>
          <w:rFonts w:cs="Arial"/>
          <w:lang w:val="en-US"/>
        </w:rPr>
        <w:t xml:space="preserve">. Copy numbers of the individual mRNAs were determined using linearized plasmid DNA containing the appropriate target sequence and normalized to the determined copy number of the reference gene TBP (for further information see [2]). </w:t>
      </w:r>
    </w:p>
    <w:p w:rsidR="00873A45" w:rsidRPr="00044833" w:rsidRDefault="00873A45">
      <w:pPr>
        <w:rPr>
          <w:lang w:val="en-US"/>
        </w:rPr>
      </w:pPr>
    </w:p>
    <w:p w:rsidR="00873A45" w:rsidRPr="00044833" w:rsidRDefault="00873A45" w:rsidP="00873A45">
      <w:pPr>
        <w:pStyle w:val="CitaviBibliographyHeading"/>
        <w:rPr>
          <w:rFonts w:asciiTheme="minorHAnsi" w:hAnsiTheme="minorHAnsi"/>
          <w:b w:val="0"/>
          <w:color w:val="auto"/>
          <w:sz w:val="24"/>
          <w:szCs w:val="24"/>
          <w:lang w:val="en-US"/>
        </w:rPr>
      </w:pPr>
      <w:bookmarkStart w:id="0" w:name="_CTVBIBLIOGRAPHY1"/>
      <w:bookmarkEnd w:id="0"/>
      <w:r w:rsidRPr="00044833">
        <w:rPr>
          <w:rFonts w:asciiTheme="minorHAnsi" w:hAnsiTheme="minorHAnsi"/>
          <w:b w:val="0"/>
          <w:color w:val="auto"/>
          <w:sz w:val="24"/>
          <w:szCs w:val="24"/>
          <w:lang w:val="en-US"/>
        </w:rPr>
        <w:t>References</w:t>
      </w:r>
    </w:p>
    <w:p w:rsidR="00873A45" w:rsidRPr="00044833" w:rsidRDefault="00873A45" w:rsidP="00873A45">
      <w:pPr>
        <w:pStyle w:val="CitaviBibliographyEntry"/>
        <w:rPr>
          <w:lang w:val="en-US"/>
        </w:rPr>
      </w:pPr>
      <w:r w:rsidRPr="00044833">
        <w:rPr>
          <w:lang w:val="en-US"/>
        </w:rPr>
        <w:t>1.</w:t>
      </w:r>
      <w:r w:rsidRPr="00044833">
        <w:rPr>
          <w:lang w:val="en-US"/>
        </w:rPr>
        <w:tab/>
      </w:r>
      <w:bookmarkStart w:id="1" w:name="_CTVL00106d6abfad68345729517f6947749680f"/>
      <w:r w:rsidRPr="00044833">
        <w:rPr>
          <w:lang w:val="en-US"/>
        </w:rPr>
        <w:t>Gaunitz F, Heise K. HTS compatible assay for antioxidative agents using primary cultured hepatocytes. Assay Drug Dev Tech</w:t>
      </w:r>
      <w:bookmarkStart w:id="2" w:name="_GoBack"/>
      <w:bookmarkEnd w:id="2"/>
      <w:r w:rsidRPr="00044833">
        <w:rPr>
          <w:lang w:val="en-US"/>
        </w:rPr>
        <w:t>nol 2003;1:469–77. doi:10.1089/154065803322163786.</w:t>
      </w:r>
    </w:p>
    <w:bookmarkEnd w:id="1"/>
    <w:p w:rsidR="00377B03" w:rsidRPr="00044833" w:rsidRDefault="00873A45" w:rsidP="00873A45">
      <w:pPr>
        <w:pStyle w:val="CitaviBibliographyEntry"/>
        <w:rPr>
          <w:lang w:val="en-US"/>
        </w:rPr>
      </w:pPr>
      <w:r w:rsidRPr="00044833">
        <w:rPr>
          <w:lang w:val="en-US"/>
        </w:rPr>
        <w:lastRenderedPageBreak/>
        <w:t>2.</w:t>
      </w:r>
      <w:r w:rsidRPr="00044833">
        <w:rPr>
          <w:lang w:val="en-US"/>
        </w:rPr>
        <w:tab/>
      </w:r>
      <w:bookmarkStart w:id="3" w:name="_CTVL001e24db55c6f5a41b1b8ee9d022206ab13"/>
      <w:r w:rsidRPr="00044833">
        <w:rPr>
          <w:lang w:val="en-US"/>
        </w:rPr>
        <w:t>Letzien U, Oppermann H, Meixensberger J, Gaunitz F. The antineoplastic effect of carnosine is accompanied by induction of PDK4 and can be mimicked by l-histidine. Amino Acids 2014;46:1009–19. doi:10.1007/s00726-014-1664-8.</w:t>
      </w:r>
      <w:bookmarkEnd w:id="3"/>
    </w:p>
    <w:sectPr w:rsidR="00377B03" w:rsidRPr="0004483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243"/>
    <w:rsid w:val="00044833"/>
    <w:rsid w:val="000E11BA"/>
    <w:rsid w:val="0011025B"/>
    <w:rsid w:val="002A63C8"/>
    <w:rsid w:val="00377B03"/>
    <w:rsid w:val="00630542"/>
    <w:rsid w:val="007D0D57"/>
    <w:rsid w:val="00873A45"/>
    <w:rsid w:val="009374F7"/>
    <w:rsid w:val="00986243"/>
    <w:rsid w:val="00D033AA"/>
    <w:rsid w:val="00E570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377B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itaviBibliographyEntry">
    <w:name w:val="Citavi Bibliography Entry"/>
    <w:basedOn w:val="Standard"/>
    <w:link w:val="CitaviBibliographyEntryZchn"/>
    <w:rsid w:val="00377B03"/>
    <w:pPr>
      <w:tabs>
        <w:tab w:val="left" w:pos="397"/>
      </w:tabs>
      <w:spacing w:after="0"/>
      <w:ind w:left="397" w:hanging="397"/>
    </w:pPr>
  </w:style>
  <w:style w:type="character" w:customStyle="1" w:styleId="CitaviBibliographyEntryZchn">
    <w:name w:val="Citavi Bibliography Entry Zchn"/>
    <w:basedOn w:val="Absatz-Standardschriftart"/>
    <w:link w:val="CitaviBibliographyEntry"/>
    <w:rsid w:val="00377B03"/>
  </w:style>
  <w:style w:type="paragraph" w:customStyle="1" w:styleId="CitaviBibliographyHeading">
    <w:name w:val="Citavi Bibliography Heading"/>
    <w:basedOn w:val="berschrift1"/>
    <w:link w:val="CitaviBibliographyHeadingZchn"/>
    <w:rsid w:val="00377B03"/>
  </w:style>
  <w:style w:type="character" w:customStyle="1" w:styleId="CitaviBibliographyHeadingZchn">
    <w:name w:val="Citavi Bibliography Heading Zchn"/>
    <w:basedOn w:val="Absatz-Standardschriftart"/>
    <w:link w:val="CitaviBibliographyHeading"/>
    <w:rsid w:val="00377B03"/>
    <w:rPr>
      <w:rFonts w:asciiTheme="majorHAnsi" w:eastAsiaTheme="majorEastAsia" w:hAnsiTheme="majorHAnsi" w:cstheme="majorBidi"/>
      <w:b/>
      <w:bCs/>
      <w:color w:val="365F91" w:themeColor="accent1" w:themeShade="BF"/>
      <w:sz w:val="28"/>
      <w:szCs w:val="28"/>
    </w:rPr>
  </w:style>
  <w:style w:type="character" w:customStyle="1" w:styleId="berschrift1Zchn">
    <w:name w:val="Überschrift 1 Zchn"/>
    <w:basedOn w:val="Absatz-Standardschriftart"/>
    <w:link w:val="berschrift1"/>
    <w:uiPriority w:val="9"/>
    <w:rsid w:val="00377B0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377B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itaviBibliographyEntry">
    <w:name w:val="Citavi Bibliography Entry"/>
    <w:basedOn w:val="Standard"/>
    <w:link w:val="CitaviBibliographyEntryZchn"/>
    <w:rsid w:val="00377B03"/>
    <w:pPr>
      <w:tabs>
        <w:tab w:val="left" w:pos="397"/>
      </w:tabs>
      <w:spacing w:after="0"/>
      <w:ind w:left="397" w:hanging="397"/>
    </w:pPr>
  </w:style>
  <w:style w:type="character" w:customStyle="1" w:styleId="CitaviBibliographyEntryZchn">
    <w:name w:val="Citavi Bibliography Entry Zchn"/>
    <w:basedOn w:val="Absatz-Standardschriftart"/>
    <w:link w:val="CitaviBibliographyEntry"/>
    <w:rsid w:val="00377B03"/>
  </w:style>
  <w:style w:type="paragraph" w:customStyle="1" w:styleId="CitaviBibliographyHeading">
    <w:name w:val="Citavi Bibliography Heading"/>
    <w:basedOn w:val="berschrift1"/>
    <w:link w:val="CitaviBibliographyHeadingZchn"/>
    <w:rsid w:val="00377B03"/>
  </w:style>
  <w:style w:type="character" w:customStyle="1" w:styleId="CitaviBibliographyHeadingZchn">
    <w:name w:val="Citavi Bibliography Heading Zchn"/>
    <w:basedOn w:val="Absatz-Standardschriftart"/>
    <w:link w:val="CitaviBibliographyHeading"/>
    <w:rsid w:val="00377B03"/>
    <w:rPr>
      <w:rFonts w:asciiTheme="majorHAnsi" w:eastAsiaTheme="majorEastAsia" w:hAnsiTheme="majorHAnsi" w:cstheme="majorBidi"/>
      <w:b/>
      <w:bCs/>
      <w:color w:val="365F91" w:themeColor="accent1" w:themeShade="BF"/>
      <w:sz w:val="28"/>
      <w:szCs w:val="28"/>
    </w:rPr>
  </w:style>
  <w:style w:type="character" w:customStyle="1" w:styleId="berschrift1Zchn">
    <w:name w:val="Überschrift 1 Zchn"/>
    <w:basedOn w:val="Absatz-Standardschriftart"/>
    <w:link w:val="berschrift1"/>
    <w:uiPriority w:val="9"/>
    <w:rsid w:val="00377B0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2580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Universitätsklinikum Leipzig AöR</Company>
  <LinksUpToDate>false</LinksUpToDate>
  <CharactersWithSpaces>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Oppermann, Henry</dc:creator>
  <cp:lastModifiedBy>Oppermann, Henry</cp:lastModifiedBy>
  <cp:revision>4</cp:revision>
  <dcterms:created xsi:type="dcterms:W3CDTF">2016-09-15T14:03:00Z</dcterms:created>
  <dcterms:modified xsi:type="dcterms:W3CDTF">2016-09-15T14:03:00Z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6">
    <vt:lpwstr>False</vt:lpwstr>
  </property>
</Properties>
</file>