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505"/>
        <w:tblOverlap w:val="never"/>
        <w:tblW w:w="10881" w:type="dxa"/>
        <w:tblLook w:val="04A0"/>
      </w:tblPr>
      <w:tblGrid>
        <w:gridCol w:w="2518"/>
        <w:gridCol w:w="1843"/>
        <w:gridCol w:w="142"/>
        <w:gridCol w:w="1701"/>
        <w:gridCol w:w="1701"/>
        <w:gridCol w:w="141"/>
        <w:gridCol w:w="1560"/>
        <w:gridCol w:w="283"/>
        <w:gridCol w:w="992"/>
      </w:tblGrid>
      <w:tr w:rsidR="00742FFC" w:rsidRPr="001E646A" w:rsidTr="00155E39">
        <w:trPr>
          <w:trHeight w:val="525"/>
        </w:trPr>
        <w:tc>
          <w:tcPr>
            <w:tcW w:w="10881" w:type="dxa"/>
            <w:gridSpan w:val="9"/>
            <w:tcBorders>
              <w:bottom w:val="single" w:sz="4" w:space="0" w:color="auto"/>
            </w:tcBorders>
          </w:tcPr>
          <w:p w:rsidR="00742FFC" w:rsidRPr="001E646A" w:rsidRDefault="00A84F1B" w:rsidP="00155E39">
            <w:pPr>
              <w:rPr>
                <w:rFonts w:ascii="Times New Roman" w:hAnsi="Times New Roman"/>
                <w:sz w:val="24"/>
                <w:szCs w:val="24"/>
              </w:rPr>
            </w:pPr>
            <w:r w:rsidRPr="00A84F1B">
              <w:rPr>
                <w:rFonts w:ascii="Times New Roman" w:hAnsi="Times New Roman"/>
                <w:b/>
                <w:sz w:val="24"/>
                <w:szCs w:val="24"/>
              </w:rPr>
              <w:t>Supplemental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Table 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2</w:t>
            </w:r>
            <w:r w:rsidR="00742FFC" w:rsidRPr="001E64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42FFC" w:rsidRPr="001E646A">
              <w:rPr>
                <w:rFonts w:ascii="Times New Roman" w:hAnsi="Times New Roman"/>
                <w:sz w:val="24"/>
                <w:szCs w:val="24"/>
              </w:rPr>
              <w:t xml:space="preserve">ORs and 95% Cls for quartiles of dietary nutrients </w:t>
            </w:r>
            <w:r w:rsidR="00742FFC" w:rsidRPr="001E64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intake </w:t>
            </w:r>
            <w:r w:rsidR="00742FFC" w:rsidRPr="001E646A">
              <w:rPr>
                <w:rFonts w:ascii="Times New Roman" w:hAnsi="Times New Roman"/>
                <w:sz w:val="24"/>
                <w:szCs w:val="24"/>
              </w:rPr>
              <w:t xml:space="preserve">with </w:t>
            </w:r>
            <w:r w:rsidR="00742FFC" w:rsidRPr="001E6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cervical intraepithelial neoplasia </w:t>
            </w:r>
            <w:r w:rsidR="00742FFC" w:rsidRPr="001E646A">
              <w:rPr>
                <w:rFonts w:ascii="Times New Roman" w:hAnsi="Times New Roman"/>
                <w:sz w:val="24"/>
                <w:szCs w:val="24"/>
              </w:rPr>
              <w:t>risk among 2,304 women</w:t>
            </w:r>
            <w:r w:rsidR="00742FFC" w:rsidRPr="001E64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in the study</w:t>
            </w:r>
            <w:r w:rsidR="00742FFC" w:rsidRPr="001E646A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>a</w:t>
            </w:r>
          </w:p>
        </w:tc>
      </w:tr>
      <w:tr w:rsidR="00742FFC" w:rsidRPr="001E646A" w:rsidTr="00155E39">
        <w:trPr>
          <w:trHeight w:val="406"/>
        </w:trPr>
        <w:tc>
          <w:tcPr>
            <w:tcW w:w="1088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46A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>Quartiles of dietary nutrients</w:t>
            </w:r>
            <w:r w:rsidRPr="001E646A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1E646A">
              <w:rPr>
                <w:rFonts w:ascii="Times New Roman" w:eastAsia="Arial Unicode MS" w:hAnsi="Times New Roman"/>
                <w:b/>
                <w:kern w:val="0"/>
                <w:sz w:val="24"/>
                <w:szCs w:val="24"/>
              </w:rPr>
              <w:t xml:space="preserve"> </w:t>
            </w:r>
          </w:p>
        </w:tc>
      </w:tr>
      <w:tr w:rsidR="00742FFC" w:rsidRPr="001E646A" w:rsidTr="00155E39">
        <w:trPr>
          <w:gridBefore w:val="1"/>
          <w:wBefore w:w="2518" w:type="dxa"/>
          <w:trHeight w:val="255"/>
        </w:trPr>
        <w:tc>
          <w:tcPr>
            <w:tcW w:w="1985" w:type="dxa"/>
            <w:gridSpan w:val="2"/>
          </w:tcPr>
          <w:p w:rsidR="00742FFC" w:rsidRPr="001E646A" w:rsidRDefault="00742FFC" w:rsidP="00155E39">
            <w:pPr>
              <w:ind w:firstLineChars="300" w:firstLine="723"/>
              <w:rPr>
                <w:rFonts w:ascii="Times New Roman" w:hAnsi="Times New Roman"/>
                <w:b/>
                <w:sz w:val="24"/>
                <w:szCs w:val="24"/>
              </w:rPr>
            </w:pP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>Q1</w:t>
            </w:r>
          </w:p>
        </w:tc>
        <w:tc>
          <w:tcPr>
            <w:tcW w:w="1701" w:type="dxa"/>
          </w:tcPr>
          <w:p w:rsidR="00742FFC" w:rsidRPr="001E646A" w:rsidRDefault="00742FFC" w:rsidP="00155E39">
            <w:pPr>
              <w:ind w:firstLineChars="250" w:firstLine="602"/>
              <w:rPr>
                <w:rFonts w:ascii="Times New Roman" w:hAnsi="Times New Roman"/>
                <w:b/>
                <w:sz w:val="24"/>
                <w:szCs w:val="24"/>
              </w:rPr>
            </w:pP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>Q2</w:t>
            </w:r>
          </w:p>
        </w:tc>
        <w:tc>
          <w:tcPr>
            <w:tcW w:w="1701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 xml:space="preserve"> Q3</w:t>
            </w:r>
          </w:p>
        </w:tc>
        <w:tc>
          <w:tcPr>
            <w:tcW w:w="1701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 xml:space="preserve">   Q4</w:t>
            </w:r>
          </w:p>
        </w:tc>
        <w:tc>
          <w:tcPr>
            <w:tcW w:w="1275" w:type="dxa"/>
            <w:gridSpan w:val="2"/>
          </w:tcPr>
          <w:p w:rsidR="00742FFC" w:rsidRPr="001E646A" w:rsidRDefault="00742FFC" w:rsidP="00155E39">
            <w:pPr>
              <w:ind w:firstLineChars="50" w:firstLine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1E646A">
              <w:rPr>
                <w:rFonts w:ascii="Times New Roman" w:hAnsi="Times New Roman"/>
                <w:b/>
                <w:i/>
                <w:sz w:val="24"/>
                <w:szCs w:val="24"/>
              </w:rPr>
              <w:t>P</w:t>
            </w: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>-trend</w:t>
            </w:r>
            <w:r w:rsidRPr="001E646A">
              <w:rPr>
                <w:rFonts w:ascii="Times New Roman" w:hAnsi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dadbfad7.B" w:hAnsi="Times New Roman"/>
                <w:b/>
                <w:bCs/>
                <w:color w:val="000000" w:themeColor="text1"/>
                <w:sz w:val="24"/>
                <w:szCs w:val="24"/>
              </w:rPr>
              <w:t>Folate</w:t>
            </w:r>
          </w:p>
        </w:tc>
        <w:tc>
          <w:tcPr>
            <w:tcW w:w="8363" w:type="dxa"/>
            <w:gridSpan w:val="8"/>
          </w:tcPr>
          <w:p w:rsidR="00742FFC" w:rsidRPr="001E646A" w:rsidRDefault="00742FFC" w:rsidP="00155E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 intake, μg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/day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297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381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488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764</w:t>
            </w:r>
          </w:p>
        </w:tc>
        <w:tc>
          <w:tcPr>
            <w:tcW w:w="992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132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147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139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146</w:t>
            </w:r>
          </w:p>
        </w:tc>
        <w:tc>
          <w:tcPr>
            <w:tcW w:w="992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1.04 (0.82-1.32)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1.02 (0.80-1.29)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0.90 (0.70-1.15)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>)</w:t>
            </w:r>
          </w:p>
        </w:tc>
        <w:tc>
          <w:tcPr>
            <w:tcW w:w="992" w:type="dxa"/>
          </w:tcPr>
          <w:p w:rsidR="00742FFC" w:rsidRPr="0097681F" w:rsidRDefault="00AD7E65" w:rsidP="00FC6C71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 w:hint="eastAsia"/>
                <w:color w:val="FF0000"/>
                <w:sz w:val="22"/>
              </w:rPr>
              <w:t>0.008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1.10 (0.86-1.40)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1.05 (0.82-1.34)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0.91 (0.71-1.17)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511AE7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 w:hint="eastAsia"/>
                <w:color w:val="FF0000"/>
                <w:sz w:val="22"/>
              </w:rPr>
              <w:t>0.007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1.09 (0.75-1.40)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1.07 (0.83-1.36)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0.92 (0.72-1.18)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511AE7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 w:hint="eastAsia"/>
                <w:color w:val="FF0000"/>
                <w:sz w:val="22"/>
              </w:rPr>
              <w:t>0.007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eastAsia="AdvOTdadbfad7.B" w:hAnsi="Times New Roman"/>
                <w:b/>
                <w:bCs/>
                <w:color w:val="000000" w:themeColor="text1"/>
                <w:sz w:val="24"/>
                <w:szCs w:val="24"/>
              </w:rPr>
              <w:t>Vitamin B</w:t>
            </w:r>
            <w:r w:rsidRPr="001E64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63" w:type="dxa"/>
            <w:gridSpan w:val="8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 intake, mg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1.4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1.9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hAnsi="Times New Roman"/>
                <w:color w:val="000000"/>
                <w:sz w:val="22"/>
              </w:rPr>
              <w:t>2.7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134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157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132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hAnsi="Times New Roman"/>
                <w:color w:val="000000"/>
                <w:sz w:val="22"/>
              </w:rPr>
              <w:t>141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1.01 (0.78-1.30)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1.13 (0.90-1.42)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0.82 (0.64-1.06)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511AE7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&lt;0.001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1.07 (0.83-1.38)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1.15 (0.91-1.45)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0.80 (0.62-1.04)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511AE7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&lt;0.001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1.10 (0.85-1.43)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1.16 (0.92-1.47)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0.83 (0.64-1.08)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0.0</w:t>
            </w:r>
            <w:r w:rsidR="00511AE7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FC6C71" w:rsidRPr="0097681F">
              <w:rPr>
                <w:rFonts w:ascii="Times New Roman" w:hAnsi="Times New Roman" w:hint="eastAsia"/>
                <w:color w:val="FF0000"/>
                <w:sz w:val="22"/>
              </w:rPr>
              <w:t>1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eastAsia="AdvOTdadbfad7.B" w:hAnsi="Times New Roman"/>
                <w:b/>
                <w:bCs/>
                <w:color w:val="000000" w:themeColor="text1"/>
                <w:sz w:val="24"/>
                <w:szCs w:val="24"/>
              </w:rPr>
              <w:t>Vitamin</w:t>
            </w:r>
            <w:r w:rsidRPr="001E64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B2</w:t>
            </w:r>
          </w:p>
        </w:tc>
        <w:tc>
          <w:tcPr>
            <w:tcW w:w="8363" w:type="dxa"/>
            <w:gridSpan w:val="8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 intake, mg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1.4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1.8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hAnsi="Times New Roman"/>
                <w:color w:val="000000"/>
                <w:sz w:val="22"/>
              </w:rPr>
              <w:t>2.7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123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148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157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hAnsi="Times New Roman"/>
                <w:color w:val="000000"/>
                <w:sz w:val="22"/>
              </w:rPr>
              <w:t>136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0.88 (0.69-1.12)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1.11 (0.87-1.41)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1.00 (0.79-1.28)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742FFC" w:rsidP="009F063D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9F063D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AA0368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9F063D" w:rsidRPr="0097681F">
              <w:rPr>
                <w:rFonts w:ascii="Times New Roman" w:hAnsi="Times New Roman" w:hint="eastAsia"/>
                <w:color w:val="FF0000"/>
                <w:sz w:val="22"/>
              </w:rPr>
              <w:t>4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0.93 (0.72-1.19)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1.15 (0.90-1.47)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1.03 (0.81-1.32)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9F063D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AA0368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9F063D" w:rsidRPr="0097681F">
              <w:rPr>
                <w:rFonts w:ascii="Times New Roman" w:hAnsi="Times New Roman" w:hint="eastAsia"/>
                <w:color w:val="FF0000"/>
                <w:sz w:val="22"/>
              </w:rPr>
              <w:t>4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0.94 (0.73-1.20)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1.14 (0.89-1.47)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1.05 (0.82-1.35)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9F063D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AA0368" w:rsidRPr="0097681F">
              <w:rPr>
                <w:rFonts w:ascii="Times New Roman" w:hAnsi="Times New Roman" w:hint="eastAsia"/>
                <w:color w:val="FF0000"/>
                <w:sz w:val="22"/>
              </w:rPr>
              <w:t>06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dadbfad7.B" w:hAnsi="Times New Roman"/>
                <w:b/>
                <w:bCs/>
                <w:color w:val="000000" w:themeColor="text1"/>
                <w:sz w:val="24"/>
                <w:szCs w:val="24"/>
              </w:rPr>
              <w:t>Vitamin B6</w:t>
            </w:r>
          </w:p>
        </w:tc>
        <w:tc>
          <w:tcPr>
            <w:tcW w:w="8363" w:type="dxa"/>
            <w:gridSpan w:val="8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 intake, mg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1.7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2.1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2.6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3.9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144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146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131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143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1.11 (0.87-1.41)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1.03 (0.81-1.31)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0.88 (0.69-1.13)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9F063D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AA0368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742FFC" w:rsidRPr="0097681F">
              <w:rPr>
                <w:rFonts w:ascii="Times New Roman" w:hAnsi="Times New Roman"/>
                <w:color w:val="FF0000"/>
                <w:sz w:val="22"/>
              </w:rPr>
              <w:t>4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1.17 (0.91-1.49)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1.04 (0.82-1.33)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0.89 (0.69-1.14)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742FFC" w:rsidP="00571F24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571F24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571F24" w:rsidRPr="0097681F">
              <w:rPr>
                <w:rFonts w:ascii="Times New Roman" w:hAnsi="Times New Roman" w:hint="eastAsia"/>
                <w:color w:val="FF0000"/>
                <w:sz w:val="22"/>
              </w:rPr>
              <w:t>2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1.20 (0.93-1.54)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1.07 (0.83-1.37)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0.91 (0.71-1.18)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571F24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571F24" w:rsidRPr="0097681F">
              <w:rPr>
                <w:rFonts w:ascii="Times New Roman" w:hAnsi="Times New Roman" w:hint="eastAsia"/>
                <w:color w:val="FF0000"/>
                <w:sz w:val="22"/>
              </w:rPr>
              <w:t>2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dadbfad7.B" w:hAnsi="Times New Roman"/>
                <w:b/>
                <w:bCs/>
                <w:color w:val="000000" w:themeColor="text1"/>
                <w:sz w:val="24"/>
                <w:szCs w:val="24"/>
              </w:rPr>
              <w:t>Vitamin</w:t>
            </w:r>
            <w:r w:rsidRPr="001E64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C</w:t>
            </w:r>
          </w:p>
        </w:tc>
        <w:tc>
          <w:tcPr>
            <w:tcW w:w="8363" w:type="dxa"/>
            <w:gridSpan w:val="8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 intake, mg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46.0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62.8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86.9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138.9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124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149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145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146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1.00 (0.79-1.28)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1.08 (0.84-1.37)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1.05 (0.82-1.34)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742FFC" w:rsidP="00571F24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571F24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1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1.04 (0.81-1.34)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1.10 (0.86-1.41)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1.08 (0.84-1.38)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742FFC" w:rsidP="00571F24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571F24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1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1.03 (0.80-1.32)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1.11 (0.86-1.42)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1.07 (0.84-1.38)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742FFC" w:rsidP="00BF7A1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BF7A1A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1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dadbfad7.B" w:hAnsi="Times New Roman"/>
                <w:b/>
                <w:bCs/>
                <w:color w:val="000000" w:themeColor="text1"/>
                <w:sz w:val="24"/>
                <w:szCs w:val="24"/>
              </w:rPr>
              <w:t>Vitamin</w:t>
            </w:r>
            <w:r w:rsidRPr="001E64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E</w:t>
            </w:r>
          </w:p>
        </w:tc>
        <w:tc>
          <w:tcPr>
            <w:tcW w:w="8363" w:type="dxa"/>
            <w:gridSpan w:val="8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 intake, mg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4.4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8.8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10.8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21.7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131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135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151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147</w:t>
            </w:r>
          </w:p>
        </w:tc>
        <w:tc>
          <w:tcPr>
            <w:tcW w:w="992" w:type="dxa"/>
          </w:tcPr>
          <w:p w:rsidR="00742FFC" w:rsidRPr="0097681F" w:rsidRDefault="00742FFC" w:rsidP="00155E39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0.81 (0.63-1.03)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0.91 (0.72-1.16)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1.07 (0.84-1.36)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742FFC" w:rsidP="00BF7A1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BF7A1A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38263B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BF7A1A" w:rsidRPr="0097681F">
              <w:rPr>
                <w:rFonts w:ascii="Times New Roman" w:hAnsi="Times New Roman" w:hint="eastAsia"/>
                <w:color w:val="FF0000"/>
                <w:sz w:val="22"/>
              </w:rPr>
              <w:t>1</w:t>
            </w:r>
          </w:p>
        </w:tc>
      </w:tr>
      <w:tr w:rsidR="00742FFC" w:rsidRPr="001E646A" w:rsidTr="00155E39">
        <w:tc>
          <w:tcPr>
            <w:tcW w:w="2518" w:type="dxa"/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0.85 (0.66-1.09)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0.95 (0.74-1.21)</w:t>
            </w:r>
          </w:p>
        </w:tc>
        <w:tc>
          <w:tcPr>
            <w:tcW w:w="1842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1.08 (0.85-1.38)</w:t>
            </w:r>
          </w:p>
        </w:tc>
        <w:tc>
          <w:tcPr>
            <w:tcW w:w="1843" w:type="dxa"/>
            <w:gridSpan w:val="2"/>
          </w:tcPr>
          <w:p w:rsidR="00742FFC" w:rsidRPr="001E646A" w:rsidRDefault="00742FFC" w:rsidP="00155E3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742FFC" w:rsidP="00BF7A1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BF7A1A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607BDE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BF7A1A" w:rsidRPr="0097681F">
              <w:rPr>
                <w:rFonts w:ascii="Times New Roman" w:hAnsi="Times New Roman" w:hint="eastAsia"/>
                <w:color w:val="FF0000"/>
                <w:sz w:val="22"/>
              </w:rPr>
              <w:t>3</w:t>
            </w:r>
          </w:p>
        </w:tc>
      </w:tr>
      <w:tr w:rsidR="00742FFC" w:rsidRPr="001E646A" w:rsidTr="00155E39">
        <w:tc>
          <w:tcPr>
            <w:tcW w:w="2518" w:type="dxa"/>
            <w:tcBorders>
              <w:bottom w:val="single" w:sz="4" w:space="0" w:color="auto"/>
            </w:tcBorders>
          </w:tcPr>
          <w:p w:rsidR="00742FFC" w:rsidRPr="001E646A" w:rsidRDefault="00742FFC" w:rsidP="00155E3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0.86 (0.67-1.10)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742FFC" w:rsidRPr="001E646A" w:rsidRDefault="00742FFC" w:rsidP="00155E39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0.97 (0.76-1.24)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1.08 (0.84-1.38)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742FFC" w:rsidRPr="001E646A" w:rsidRDefault="00742FFC" w:rsidP="00155E39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42FFC" w:rsidRPr="0097681F" w:rsidRDefault="00742FFC" w:rsidP="00BF7A1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607BDE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BF7A1A" w:rsidRPr="0097681F">
              <w:rPr>
                <w:rFonts w:ascii="Times New Roman" w:hAnsi="Times New Roman" w:hint="eastAsia"/>
                <w:color w:val="FF0000"/>
                <w:sz w:val="22"/>
              </w:rPr>
              <w:t>04</w:t>
            </w:r>
          </w:p>
        </w:tc>
      </w:tr>
    </w:tbl>
    <w:p w:rsidR="00742FFC" w:rsidRPr="001E646A" w:rsidRDefault="00742FFC" w:rsidP="00742FFC">
      <w:pPr>
        <w:autoSpaceDE w:val="0"/>
        <w:autoSpaceDN w:val="0"/>
        <w:adjustRightInd w:val="0"/>
        <w:ind w:firstLineChars="2950" w:firstLine="7080"/>
        <w:jc w:val="left"/>
        <w:rPr>
          <w:rFonts w:ascii="Times New Roman" w:eastAsia="Arial Unicode MS" w:hAnsi="Times New Roman"/>
          <w:color w:val="000000"/>
          <w:kern w:val="0"/>
          <w:sz w:val="24"/>
          <w:szCs w:val="24"/>
          <w:vertAlign w:val="superscript"/>
        </w:rPr>
      </w:pPr>
      <w:r w:rsidRPr="001E646A">
        <w:rPr>
          <w:rFonts w:ascii="Times New Roman" w:hAnsi="Times New Roman"/>
          <w:sz w:val="24"/>
          <w:szCs w:val="24"/>
        </w:rPr>
        <w:t>(</w:t>
      </w:r>
      <w:r w:rsidRPr="001E646A">
        <w:rPr>
          <w:rFonts w:ascii="Times New Roman" w:eastAsia="UniversLTStd-LightCn" w:hAnsi="Times New Roman"/>
          <w:i/>
          <w:iCs/>
          <w:kern w:val="0"/>
          <w:sz w:val="24"/>
          <w:szCs w:val="24"/>
        </w:rPr>
        <w:t>Continued</w:t>
      </w:r>
      <w:r w:rsidRPr="001E646A">
        <w:rPr>
          <w:rFonts w:ascii="Times New Roman" w:hAnsi="Times New Roman"/>
          <w:sz w:val="24"/>
          <w:szCs w:val="24"/>
        </w:rPr>
        <w:t>)</w:t>
      </w:r>
    </w:p>
    <w:p w:rsidR="00742FFC" w:rsidRPr="001E646A" w:rsidRDefault="00742FFC" w:rsidP="00742FFC">
      <w:pPr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742FFC" w:rsidRPr="001E646A" w:rsidRDefault="00742FFC" w:rsidP="00742FFC">
      <w:pPr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1936"/>
        <w:tblOverlap w:val="never"/>
        <w:tblW w:w="10881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518"/>
        <w:gridCol w:w="1843"/>
        <w:gridCol w:w="1843"/>
        <w:gridCol w:w="1842"/>
        <w:gridCol w:w="1843"/>
        <w:gridCol w:w="992"/>
      </w:tblGrid>
      <w:tr w:rsidR="00742FFC" w:rsidRPr="001E646A" w:rsidTr="001E646A">
        <w:trPr>
          <w:trHeight w:val="289"/>
        </w:trPr>
        <w:tc>
          <w:tcPr>
            <w:tcW w:w="10881" w:type="dxa"/>
            <w:gridSpan w:val="6"/>
            <w:tcBorders>
              <w:bottom w:val="single" w:sz="4" w:space="0" w:color="auto"/>
            </w:tcBorders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46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                  </w:t>
            </w: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 xml:space="preserve">    Quartiles of dietary nutrients</w:t>
            </w:r>
            <w:r w:rsidRPr="001E646A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1E646A">
              <w:rPr>
                <w:rFonts w:ascii="Times New Roman" w:eastAsia="Arial Unicode MS" w:hAnsi="Times New Roman"/>
                <w:b/>
                <w:kern w:val="0"/>
                <w:sz w:val="24"/>
                <w:szCs w:val="24"/>
              </w:rPr>
              <w:t xml:space="preserve"> </w:t>
            </w:r>
          </w:p>
        </w:tc>
      </w:tr>
      <w:tr w:rsidR="00742FFC" w:rsidRPr="001E646A" w:rsidTr="001E646A">
        <w:tc>
          <w:tcPr>
            <w:tcW w:w="2518" w:type="dxa"/>
            <w:tcBorders>
              <w:top w:val="single" w:sz="4" w:space="0" w:color="auto"/>
            </w:tcBorders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b/>
                <w:bCs/>
                <w:color w:val="231F20"/>
                <w:sz w:val="20"/>
                <w:szCs w:val="20"/>
              </w:rPr>
            </w:pPr>
            <w:r w:rsidRPr="001E646A">
              <w:rPr>
                <w:rFonts w:ascii="Times New Roman" w:hAnsi="Times New Roman"/>
                <w:b/>
                <w:bCs/>
                <w:color w:val="231F20"/>
                <w:sz w:val="20"/>
                <w:szCs w:val="20"/>
              </w:rPr>
              <w:t xml:space="preserve">                     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</w:tcBorders>
          </w:tcPr>
          <w:p w:rsidR="00742FFC" w:rsidRPr="001E646A" w:rsidRDefault="00742FFC" w:rsidP="001E646A">
            <w:pPr>
              <w:tabs>
                <w:tab w:val="left" w:pos="2542"/>
                <w:tab w:val="center" w:pos="4423"/>
                <w:tab w:val="left" w:pos="6261"/>
                <w:tab w:val="left" w:pos="7040"/>
              </w:tabs>
              <w:ind w:firstLineChars="250" w:firstLine="602"/>
              <w:rPr>
                <w:rFonts w:ascii="Times New Roman" w:hAnsi="Times New Roman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>Q1             Q2</w:t>
            </w: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              Q3            Q4</w:t>
            </w:r>
            <w:r w:rsidRPr="001E646A">
              <w:rPr>
                <w:rFonts w:ascii="Times New Roman" w:hAnsi="Times New Roman"/>
                <w:sz w:val="24"/>
                <w:szCs w:val="24"/>
              </w:rPr>
              <w:tab/>
            </w:r>
            <w:r w:rsidRPr="001E646A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r w:rsidRPr="001E646A">
              <w:rPr>
                <w:rFonts w:ascii="Times New Roman" w:hAnsi="Times New Roman"/>
                <w:b/>
                <w:i/>
                <w:sz w:val="24"/>
                <w:szCs w:val="24"/>
              </w:rPr>
              <w:t>P</w:t>
            </w:r>
            <w:r w:rsidRPr="001E646A">
              <w:rPr>
                <w:rFonts w:ascii="Times New Roman" w:hAnsi="Times New Roman"/>
                <w:b/>
                <w:sz w:val="24"/>
                <w:szCs w:val="24"/>
              </w:rPr>
              <w:t>-trend</w:t>
            </w:r>
            <w:r w:rsidRPr="001E646A">
              <w:rPr>
                <w:rFonts w:ascii="Times New Roman" w:hAnsi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eastAsia="AdvOTdadbfad7.B" w:hAnsi="Times New Roman"/>
                <w:b/>
                <w:bCs/>
                <w:color w:val="000000" w:themeColor="text1"/>
                <w:sz w:val="24"/>
                <w:szCs w:val="24"/>
              </w:rPr>
              <w:t>Vitamin</w:t>
            </w:r>
            <w:r w:rsidRPr="001E64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K</w:t>
            </w:r>
          </w:p>
        </w:tc>
        <w:tc>
          <w:tcPr>
            <w:tcW w:w="8363" w:type="dxa"/>
            <w:gridSpan w:val="5"/>
          </w:tcPr>
          <w:p w:rsidR="00742FFC" w:rsidRPr="001E646A" w:rsidRDefault="00742FFC" w:rsidP="001E64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intake,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μg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133.0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194.0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285.0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hAnsi="Times New Roman"/>
                <w:color w:val="000000"/>
                <w:sz w:val="22"/>
              </w:rPr>
              <w:t>534.0</w:t>
            </w:r>
          </w:p>
        </w:tc>
        <w:tc>
          <w:tcPr>
            <w:tcW w:w="99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125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159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139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hAnsi="Times New Roman"/>
                <w:color w:val="000000"/>
                <w:sz w:val="22"/>
              </w:rPr>
              <w:t>141</w:t>
            </w:r>
          </w:p>
        </w:tc>
        <w:tc>
          <w:tcPr>
            <w:tcW w:w="99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0.94 (0.73-1.20)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1.30 (1.02-1.66)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0.97 (0.76-1.25)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607BDE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&lt;0.001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0.99 (0.77-1.27)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1.32 (1.04-1.69)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1.00 (0.78-1.28)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607BDE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&lt;0.001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1.00 (0.78-1.29)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1.34 (1.05-1.71)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1.04 (0.81-1.34)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0.0</w:t>
            </w:r>
            <w:r w:rsidR="00607BDE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FC23B6" w:rsidRPr="0097681F">
              <w:rPr>
                <w:rFonts w:ascii="Times New Roman" w:hAnsi="Times New Roman" w:hint="eastAsia"/>
                <w:color w:val="FF0000"/>
                <w:sz w:val="22"/>
              </w:rPr>
              <w:t>1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Niacin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intake,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17.7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21.6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27.9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42.8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147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140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135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hAnsi="Times New Roman"/>
                <w:color w:val="000000"/>
                <w:sz w:val="22"/>
              </w:rPr>
              <w:t>142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1.15 (0.90-1.46)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1.04 (0.81-1.32)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0.95 (0.74-1.21)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D048E7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97681F" w:rsidRPr="0097681F">
              <w:rPr>
                <w:rFonts w:ascii="Times New Roman" w:hAnsi="Times New Roman" w:hint="eastAsia"/>
                <w:color w:val="FF0000"/>
                <w:sz w:val="22"/>
              </w:rPr>
              <w:t>06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1.14 (0.86-1.51)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0.97 (0.74-1.28)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0.93 (0.71-1.23)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D048E7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97681F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742FFC" w:rsidRPr="0097681F">
              <w:rPr>
                <w:rFonts w:ascii="Times New Roman" w:hAnsi="Times New Roman"/>
                <w:color w:val="FF0000"/>
                <w:sz w:val="22"/>
              </w:rPr>
              <w:t>2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1.24 (0.97-1.59)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1.08 (0.84-1.39)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0.96 (0.75-1.24)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 (reference)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D048E7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97681F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D048E7" w:rsidRPr="0097681F">
              <w:rPr>
                <w:rFonts w:ascii="Times New Roman" w:hAnsi="Times New Roman" w:hint="eastAsia"/>
                <w:color w:val="FF0000"/>
                <w:sz w:val="22"/>
              </w:rPr>
              <w:t>2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Dietary fiber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Median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intake,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g</w:t>
            </w: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27.4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34.5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43.7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63.2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eastAsia="AdvOTfe809cc4" w:hAnsi="Times New Roman"/>
                <w:color w:val="000000" w:themeColor="text1"/>
                <w:sz w:val="24"/>
                <w:szCs w:val="24"/>
              </w:rPr>
              <w:t>No. of cases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138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148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136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142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1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1.06 (0.83-1.35)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1.10 (0.87-1.40)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0.90 (0.70-1.15)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D048E7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97681F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D048E7" w:rsidRPr="0097681F">
              <w:rPr>
                <w:rFonts w:ascii="Times New Roman" w:hAnsi="Times New Roman" w:hint="eastAsia"/>
                <w:color w:val="FF0000"/>
                <w:sz w:val="22"/>
              </w:rPr>
              <w:t>4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2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1.12 (0.88-1.44)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1.13 (0.88-1.44)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0.89 (0.69-1.14)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D048E7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97681F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D048E7" w:rsidRPr="0097681F">
              <w:rPr>
                <w:rFonts w:ascii="Times New Roman" w:hAnsi="Times New Roman" w:hint="eastAsia"/>
                <w:color w:val="FF0000"/>
                <w:sz w:val="22"/>
              </w:rPr>
              <w:t>2</w:t>
            </w:r>
          </w:p>
        </w:tc>
      </w:tr>
      <w:tr w:rsidR="00742FFC" w:rsidRPr="001E646A" w:rsidTr="001E646A">
        <w:tc>
          <w:tcPr>
            <w:tcW w:w="2518" w:type="dxa"/>
          </w:tcPr>
          <w:p w:rsidR="00742FFC" w:rsidRPr="001E646A" w:rsidRDefault="00742FFC" w:rsidP="001E646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64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Model 3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1.15 (0.90-1.48)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1.13 (0.88-1.45)</w:t>
            </w:r>
          </w:p>
        </w:tc>
        <w:tc>
          <w:tcPr>
            <w:tcW w:w="1842" w:type="dxa"/>
          </w:tcPr>
          <w:p w:rsidR="00742FFC" w:rsidRPr="001E646A" w:rsidRDefault="00742FFC" w:rsidP="001E646A">
            <w:pPr>
              <w:jc w:val="center"/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hAnsi="Times New Roman"/>
                <w:sz w:val="22"/>
              </w:rPr>
              <w:t>0.92 (0.72-1.19)</w:t>
            </w:r>
          </w:p>
        </w:tc>
        <w:tc>
          <w:tcPr>
            <w:tcW w:w="1843" w:type="dxa"/>
          </w:tcPr>
          <w:p w:rsidR="00742FFC" w:rsidRPr="001E646A" w:rsidRDefault="00742FFC" w:rsidP="001E646A">
            <w:pPr>
              <w:rPr>
                <w:rFonts w:ascii="Times New Roman" w:hAnsi="Times New Roman"/>
                <w:sz w:val="22"/>
              </w:rPr>
            </w:pP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1.00</w:t>
            </w:r>
            <w:r w:rsidRPr="001E646A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1E646A">
              <w:rPr>
                <w:rFonts w:ascii="Times New Roman" w:eastAsia="Times New Roman" w:hAnsi="Times New Roman"/>
                <w:color w:val="000000"/>
                <w:sz w:val="22"/>
              </w:rPr>
              <w:t>(reference)</w:t>
            </w:r>
          </w:p>
        </w:tc>
        <w:tc>
          <w:tcPr>
            <w:tcW w:w="992" w:type="dxa"/>
          </w:tcPr>
          <w:p w:rsidR="00742FFC" w:rsidRPr="0097681F" w:rsidRDefault="00742FFC" w:rsidP="001E646A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 w:rsidRPr="0097681F">
              <w:rPr>
                <w:rFonts w:ascii="Times New Roman" w:hAnsi="Times New Roman"/>
                <w:color w:val="FF0000"/>
                <w:sz w:val="22"/>
              </w:rPr>
              <w:t>0.</w:t>
            </w:r>
            <w:r w:rsidR="002E1348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97681F" w:rsidRPr="0097681F">
              <w:rPr>
                <w:rFonts w:ascii="Times New Roman" w:hAnsi="Times New Roman" w:hint="eastAsia"/>
                <w:color w:val="FF0000"/>
                <w:sz w:val="22"/>
              </w:rPr>
              <w:t>0</w:t>
            </w:r>
            <w:r w:rsidR="002E1348" w:rsidRPr="0097681F">
              <w:rPr>
                <w:rFonts w:ascii="Times New Roman" w:hAnsi="Times New Roman" w:hint="eastAsia"/>
                <w:color w:val="FF0000"/>
                <w:sz w:val="22"/>
              </w:rPr>
              <w:t>3</w:t>
            </w:r>
          </w:p>
        </w:tc>
      </w:tr>
    </w:tbl>
    <w:p w:rsidR="001E646A" w:rsidRPr="001E646A" w:rsidRDefault="00A84F1B" w:rsidP="00742FFC">
      <w:pPr>
        <w:autoSpaceDE w:val="0"/>
        <w:autoSpaceDN w:val="0"/>
        <w:adjustRightInd w:val="0"/>
        <w:ind w:leftChars="-607" w:left="-1275" w:rightChars="-567" w:right="-1191"/>
        <w:jc w:val="left"/>
        <w:rPr>
          <w:rFonts w:ascii="Times New Roman" w:eastAsia="Arial Unicode MS" w:hAnsi="Times New Roman"/>
          <w:color w:val="000000"/>
          <w:kern w:val="0"/>
          <w:sz w:val="20"/>
          <w:szCs w:val="20"/>
          <w:vertAlign w:val="superscript"/>
        </w:rPr>
      </w:pPr>
      <w:r w:rsidRPr="00A84F1B">
        <w:rPr>
          <w:rFonts w:ascii="Times New Roman" w:hAnsi="Times New Roman"/>
          <w:b/>
          <w:sz w:val="24"/>
          <w:szCs w:val="24"/>
        </w:rPr>
        <w:t>Supplemental</w:t>
      </w:r>
      <w:r>
        <w:rPr>
          <w:rFonts w:ascii="Times New Roman" w:hAnsi="Times New Roman"/>
          <w:b/>
          <w:sz w:val="24"/>
          <w:szCs w:val="24"/>
        </w:rPr>
        <w:t xml:space="preserve"> Table </w:t>
      </w:r>
      <w:r>
        <w:rPr>
          <w:rFonts w:ascii="Times New Roman" w:hAnsi="Times New Roman" w:hint="eastAsia"/>
          <w:b/>
          <w:sz w:val="24"/>
          <w:szCs w:val="24"/>
        </w:rPr>
        <w:t>2</w:t>
      </w:r>
      <w:r w:rsidRPr="001E646A">
        <w:rPr>
          <w:rFonts w:ascii="Times New Roman" w:hAnsi="Times New Roman"/>
          <w:b/>
          <w:sz w:val="24"/>
          <w:szCs w:val="24"/>
        </w:rPr>
        <w:t xml:space="preserve"> </w:t>
      </w:r>
      <w:r w:rsidR="001E646A" w:rsidRPr="001E646A">
        <w:rPr>
          <w:rFonts w:ascii="Times New Roman" w:eastAsia="UniversLTStd-LightCn" w:hAnsi="Times New Roman"/>
          <w:i/>
          <w:iCs/>
          <w:kern w:val="0"/>
          <w:sz w:val="24"/>
          <w:szCs w:val="24"/>
        </w:rPr>
        <w:t>Continued</w:t>
      </w:r>
    </w:p>
    <w:p w:rsidR="00742FFC" w:rsidRPr="001E646A" w:rsidRDefault="00742FFC" w:rsidP="00742FFC">
      <w:pPr>
        <w:autoSpaceDE w:val="0"/>
        <w:autoSpaceDN w:val="0"/>
        <w:adjustRightInd w:val="0"/>
        <w:ind w:leftChars="-607" w:left="-1275" w:rightChars="-567" w:right="-1191"/>
        <w:jc w:val="left"/>
        <w:rPr>
          <w:rFonts w:ascii="Times New Roman" w:eastAsia="Arial Unicode MS" w:hAnsi="Times New Roman"/>
          <w:color w:val="000000" w:themeColor="text1"/>
          <w:kern w:val="0"/>
          <w:sz w:val="20"/>
          <w:szCs w:val="20"/>
        </w:rPr>
      </w:pPr>
      <w:r w:rsidRPr="001E646A">
        <w:rPr>
          <w:rFonts w:ascii="Times New Roman" w:eastAsia="Arial Unicode MS" w:hAnsi="Times New Roman"/>
          <w:color w:val="000000"/>
          <w:kern w:val="0"/>
          <w:sz w:val="20"/>
          <w:szCs w:val="20"/>
          <w:vertAlign w:val="superscript"/>
        </w:rPr>
        <w:t>a</w:t>
      </w:r>
      <w:r w:rsidR="00DA1B49" w:rsidRPr="00DA1B49">
        <w:rPr>
          <w:rFonts w:ascii="Times New Roman" w:eastAsia="Arial Unicode MS" w:hAnsi="Times New Roman" w:hint="eastAsia"/>
          <w:color w:val="000000"/>
          <w:kern w:val="0"/>
          <w:sz w:val="20"/>
          <w:szCs w:val="20"/>
        </w:rPr>
        <w:t>:</w:t>
      </w:r>
      <w:r w:rsidR="00DA1B49">
        <w:rPr>
          <w:rFonts w:ascii="Times New Roman" w:eastAsia="Arial Unicode MS" w:hAnsi="Times New Roman" w:hint="eastAsia"/>
          <w:color w:val="000000"/>
          <w:kern w:val="0"/>
          <w:sz w:val="20"/>
          <w:szCs w:val="20"/>
        </w:rPr>
        <w:t xml:space="preserve"> </w:t>
      </w:r>
      <w:r w:rsidRPr="001E646A">
        <w:rPr>
          <w:rFonts w:ascii="Times New Roman" w:eastAsia="Arial Unicode MS" w:hAnsi="Times New Roman"/>
          <w:color w:val="000000"/>
          <w:kern w:val="0"/>
          <w:sz w:val="20"/>
          <w:szCs w:val="20"/>
        </w:rPr>
        <w:t xml:space="preserve">Values are n or ORs (95% CIs) </w:t>
      </w:r>
      <w:r w:rsidRPr="001E646A">
        <w:rPr>
          <w:rFonts w:ascii="Times New Roman" w:eastAsia="Arial Unicode MS" w:hAnsi="Times New Roman"/>
          <w:color w:val="000000" w:themeColor="text1"/>
          <w:kern w:val="0"/>
          <w:sz w:val="20"/>
          <w:szCs w:val="20"/>
        </w:rPr>
        <w:t>obtained from logistic regression analysis, based on the highest intake group as the reference, unless otherwise indicated.</w:t>
      </w:r>
    </w:p>
    <w:p w:rsidR="00742FFC" w:rsidRPr="001E646A" w:rsidRDefault="00742FFC" w:rsidP="00742FFC">
      <w:pPr>
        <w:ind w:leftChars="-607" w:left="-1275" w:rightChars="-567" w:right="-1191"/>
        <w:jc w:val="left"/>
        <w:rPr>
          <w:rFonts w:ascii="Times New Roman" w:hAnsi="Times New Roman"/>
          <w:color w:val="000000"/>
          <w:sz w:val="20"/>
          <w:szCs w:val="20"/>
          <w:vertAlign w:val="superscript"/>
        </w:rPr>
      </w:pPr>
      <w:r w:rsidRPr="001E646A">
        <w:rPr>
          <w:rFonts w:ascii="Times New Roman" w:hAnsi="Times New Roman"/>
          <w:color w:val="231F20"/>
          <w:kern w:val="0"/>
          <w:sz w:val="20"/>
          <w:szCs w:val="20"/>
        </w:rPr>
        <w:t>Abbreviations: CIN=</w:t>
      </w:r>
      <w:r w:rsidRPr="001E646A">
        <w:rPr>
          <w:rFonts w:ascii="Times New Roman" w:hAnsi="Times New Roman"/>
          <w:kern w:val="0"/>
          <w:sz w:val="20"/>
          <w:szCs w:val="20"/>
        </w:rPr>
        <w:t xml:space="preserve"> cervical intraepithelial neoplasia, </w:t>
      </w:r>
      <w:r w:rsidRPr="001E646A">
        <w:rPr>
          <w:rFonts w:ascii="Times New Roman" w:eastAsia="Times New Roman" w:hAnsi="Times New Roman"/>
          <w:color w:val="000000"/>
          <w:sz w:val="20"/>
          <w:szCs w:val="20"/>
        </w:rPr>
        <w:t>CI</w:t>
      </w:r>
      <w:r w:rsidRPr="001E646A">
        <w:rPr>
          <w:rFonts w:ascii="Times New Roman" w:hAnsi="Times New Roman"/>
          <w:color w:val="000000"/>
          <w:sz w:val="20"/>
          <w:szCs w:val="20"/>
        </w:rPr>
        <w:t>=</w:t>
      </w:r>
      <w:r w:rsidRPr="001E646A">
        <w:rPr>
          <w:rFonts w:ascii="Times New Roman" w:eastAsia="Times New Roman" w:hAnsi="Times New Roman"/>
          <w:color w:val="000000"/>
          <w:sz w:val="20"/>
          <w:szCs w:val="20"/>
        </w:rPr>
        <w:t xml:space="preserve"> confidence interval.</w:t>
      </w:r>
    </w:p>
    <w:p w:rsidR="00742FFC" w:rsidRPr="001E646A" w:rsidRDefault="00742FFC" w:rsidP="00742FFC">
      <w:pPr>
        <w:ind w:leftChars="-607" w:left="-1275" w:rightChars="-567" w:right="-1191"/>
        <w:jc w:val="left"/>
        <w:rPr>
          <w:rFonts w:ascii="Times New Roman" w:hAnsi="Times New Roman"/>
          <w:color w:val="000000"/>
          <w:sz w:val="20"/>
          <w:szCs w:val="20"/>
          <w:vertAlign w:val="superscript"/>
        </w:rPr>
      </w:pPr>
      <w:r w:rsidRPr="001E646A">
        <w:rPr>
          <w:rFonts w:ascii="Times New Roman" w:hAnsi="Times New Roman"/>
          <w:sz w:val="20"/>
          <w:szCs w:val="20"/>
          <w:vertAlign w:val="superscript"/>
        </w:rPr>
        <w:t>b</w:t>
      </w:r>
      <w:r w:rsidR="00DA1B49" w:rsidRPr="00DA1B49">
        <w:rPr>
          <w:rFonts w:ascii="Times New Roman" w:hAnsi="Times New Roman" w:hint="eastAsia"/>
          <w:sz w:val="20"/>
          <w:szCs w:val="20"/>
        </w:rPr>
        <w:t>:</w:t>
      </w:r>
      <w:r w:rsidR="00DA1B49">
        <w:rPr>
          <w:rFonts w:ascii="Times New Roman" w:hAnsi="Times New Roman" w:hint="eastAsia"/>
          <w:sz w:val="20"/>
          <w:szCs w:val="20"/>
        </w:rPr>
        <w:t xml:space="preserve"> </w:t>
      </w:r>
      <w:r w:rsidRPr="001E646A">
        <w:rPr>
          <w:rFonts w:ascii="Times New Roman" w:hAnsi="Times New Roman"/>
          <w:sz w:val="20"/>
          <w:szCs w:val="20"/>
        </w:rPr>
        <w:t xml:space="preserve">Model 1: </w:t>
      </w:r>
      <w:r w:rsidRPr="001E646A">
        <w:rPr>
          <w:rFonts w:ascii="Times New Roman" w:eastAsia="Times New Roman" w:hAnsi="Times New Roman"/>
          <w:color w:val="000000"/>
          <w:sz w:val="20"/>
          <w:szCs w:val="20"/>
        </w:rPr>
        <w:t>odds ratios</w:t>
      </w:r>
      <w:r w:rsidRPr="001E646A">
        <w:rPr>
          <w:rFonts w:ascii="Times New Roman" w:hAnsi="Times New Roman"/>
          <w:sz w:val="20"/>
          <w:szCs w:val="20"/>
        </w:rPr>
        <w:t xml:space="preserve"> unadjusted;</w:t>
      </w:r>
      <w:r w:rsidRPr="001E646A">
        <w:rPr>
          <w:rFonts w:ascii="Times New Roman" w:eastAsia="Times New Roman" w:hAnsi="Times New Roman"/>
          <w:color w:val="000000"/>
          <w:sz w:val="20"/>
          <w:szCs w:val="20"/>
          <w:vertAlign w:val="superscript"/>
        </w:rPr>
        <w:t xml:space="preserve"> </w:t>
      </w:r>
      <w:r w:rsidRPr="001E646A"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</w:t>
      </w:r>
    </w:p>
    <w:p w:rsidR="00742FFC" w:rsidRPr="001E646A" w:rsidRDefault="00742FFC" w:rsidP="00742FFC">
      <w:pPr>
        <w:ind w:leftChars="-607" w:left="-1275" w:rightChars="-567" w:right="-1191"/>
        <w:jc w:val="left"/>
        <w:rPr>
          <w:rFonts w:ascii="Times New Roman" w:hAnsi="Times New Roman"/>
          <w:sz w:val="20"/>
          <w:szCs w:val="20"/>
        </w:rPr>
      </w:pPr>
      <w:r w:rsidRPr="001E646A">
        <w:rPr>
          <w:rFonts w:ascii="Times New Roman" w:hAnsi="Times New Roman"/>
          <w:sz w:val="20"/>
          <w:szCs w:val="20"/>
        </w:rPr>
        <w:t xml:space="preserve">Model 2: </w:t>
      </w:r>
      <w:r w:rsidRPr="001E646A">
        <w:rPr>
          <w:rFonts w:ascii="Times New Roman" w:eastAsia="Times New Roman" w:hAnsi="Times New Roman"/>
          <w:color w:val="000000"/>
          <w:sz w:val="20"/>
          <w:szCs w:val="20"/>
        </w:rPr>
        <w:t>odds ratios</w:t>
      </w:r>
      <w:r w:rsidRPr="001E646A">
        <w:rPr>
          <w:rFonts w:ascii="Times New Roman" w:hAnsi="Times New Roman"/>
          <w:sz w:val="20"/>
          <w:szCs w:val="20"/>
        </w:rPr>
        <w:t xml:space="preserve"> adjusted for </w:t>
      </w:r>
      <w:r w:rsidRPr="001E646A">
        <w:rPr>
          <w:rFonts w:ascii="Times New Roman" w:hAnsi="Times New Roman"/>
          <w:color w:val="231F20"/>
          <w:kern w:val="0"/>
          <w:sz w:val="20"/>
          <w:szCs w:val="20"/>
        </w:rPr>
        <w:t>age,</w:t>
      </w:r>
      <w:r w:rsidRPr="001E646A">
        <w:rPr>
          <w:rFonts w:ascii="Times New Roman" w:hAnsi="Times New Roman"/>
          <w:sz w:val="20"/>
          <w:szCs w:val="20"/>
        </w:rPr>
        <w:t xml:space="preserve"> education years, </w:t>
      </w:r>
      <w:r w:rsidRPr="001E646A">
        <w:rPr>
          <w:rFonts w:ascii="Times New Roman" w:hAnsi="Times New Roman"/>
          <w:color w:val="000000"/>
          <w:sz w:val="20"/>
          <w:szCs w:val="20"/>
        </w:rPr>
        <w:t>annual family salary</w:t>
      </w:r>
      <w:r w:rsidRPr="001E646A">
        <w:rPr>
          <w:rFonts w:ascii="Times New Roman" w:hAnsi="Times New Roman"/>
          <w:sz w:val="20"/>
          <w:szCs w:val="20"/>
        </w:rPr>
        <w:t xml:space="preserve">, smoker, </w:t>
      </w:r>
      <w:r w:rsidRPr="001E646A">
        <w:rPr>
          <w:rFonts w:ascii="Times New Roman" w:hAnsi="Times New Roman"/>
          <w:color w:val="000000"/>
          <w:kern w:val="0"/>
          <w:sz w:val="20"/>
          <w:szCs w:val="20"/>
          <w:shd w:val="clear" w:color="auto" w:fill="FFFFFF"/>
        </w:rPr>
        <w:t>age at menarche, menopause status</w:t>
      </w:r>
      <w:r w:rsidRPr="001E646A">
        <w:rPr>
          <w:rFonts w:ascii="Times New Roman" w:hAnsi="Times New Roman"/>
          <w:sz w:val="20"/>
          <w:szCs w:val="20"/>
        </w:rPr>
        <w:t xml:space="preserve">, </w:t>
      </w:r>
      <w:r w:rsidRPr="001E646A">
        <w:rPr>
          <w:rFonts w:ascii="Times New Roman" w:hAnsi="Times New Roman"/>
          <w:kern w:val="0"/>
          <w:sz w:val="20"/>
          <w:szCs w:val="20"/>
          <w:shd w:val="clear" w:color="auto" w:fill="FFFFFF"/>
        </w:rPr>
        <w:t xml:space="preserve">IUD use, </w:t>
      </w:r>
      <w:r w:rsidRPr="001E646A">
        <w:rPr>
          <w:rFonts w:ascii="Times New Roman" w:hAnsi="Times New Roman"/>
          <w:color w:val="000000"/>
          <w:kern w:val="0"/>
          <w:sz w:val="20"/>
          <w:szCs w:val="20"/>
          <w:shd w:val="clear" w:color="auto" w:fill="FFFFFF"/>
        </w:rPr>
        <w:t xml:space="preserve">years of IUD use, </w:t>
      </w:r>
      <w:r w:rsidRPr="001E646A">
        <w:rPr>
          <w:rFonts w:ascii="Times New Roman" w:hAnsi="Times New Roman"/>
          <w:color w:val="000000"/>
          <w:kern w:val="0"/>
          <w:sz w:val="20"/>
          <w:szCs w:val="20"/>
        </w:rPr>
        <w:t xml:space="preserve">Sexual behavior in </w:t>
      </w:r>
      <w:r w:rsidRPr="001E646A">
        <w:rPr>
          <w:rFonts w:ascii="Times New Roman" w:hAnsi="Times New Roman"/>
          <w:sz w:val="20"/>
          <w:szCs w:val="20"/>
        </w:rPr>
        <w:t>menstrual period</w:t>
      </w:r>
      <w:r w:rsidRPr="001E646A">
        <w:rPr>
          <w:rFonts w:ascii="Times New Roman" w:hAnsi="Times New Roman"/>
          <w:color w:val="000000"/>
          <w:kern w:val="0"/>
          <w:sz w:val="20"/>
          <w:szCs w:val="20"/>
          <w:shd w:val="clear" w:color="auto" w:fill="FFFFFF"/>
        </w:rPr>
        <w:t>, had gynecologic surgery,</w:t>
      </w:r>
      <w:r w:rsidRPr="001E646A">
        <w:rPr>
          <w:rFonts w:ascii="Times New Roman" w:hAnsi="Times New Roman"/>
          <w:sz w:val="20"/>
          <w:szCs w:val="20"/>
        </w:rPr>
        <w:t xml:space="preserve"> had </w:t>
      </w:r>
      <w:r w:rsidRPr="001E646A">
        <w:rPr>
          <w:rFonts w:ascii="Times New Roman" w:hAnsi="Times New Roman"/>
          <w:color w:val="000000"/>
          <w:kern w:val="0"/>
          <w:sz w:val="20"/>
          <w:szCs w:val="20"/>
          <w:shd w:val="clear" w:color="auto" w:fill="FFFFFF"/>
        </w:rPr>
        <w:t>vaginitis;</w:t>
      </w:r>
    </w:p>
    <w:p w:rsidR="00742FFC" w:rsidRPr="001E646A" w:rsidRDefault="00742FFC" w:rsidP="00742FFC">
      <w:pPr>
        <w:ind w:leftChars="-607" w:left="-1275" w:rightChars="-567" w:right="-1191"/>
        <w:jc w:val="left"/>
        <w:rPr>
          <w:rFonts w:ascii="Times New Roman" w:hAnsi="Times New Roman"/>
          <w:sz w:val="20"/>
          <w:szCs w:val="20"/>
        </w:rPr>
      </w:pPr>
      <w:r w:rsidRPr="001E646A">
        <w:rPr>
          <w:rFonts w:ascii="Times New Roman" w:hAnsi="Times New Roman"/>
          <w:sz w:val="20"/>
          <w:szCs w:val="20"/>
        </w:rPr>
        <w:t xml:space="preserve">Model 3: additionally </w:t>
      </w:r>
      <w:r w:rsidRPr="001E646A">
        <w:rPr>
          <w:rFonts w:ascii="Times New Roman" w:eastAsia="Times New Roman" w:hAnsi="Times New Roman"/>
          <w:color w:val="000000"/>
          <w:sz w:val="20"/>
          <w:szCs w:val="20"/>
        </w:rPr>
        <w:t>odds ratios</w:t>
      </w:r>
      <w:r w:rsidRPr="001E646A">
        <w:rPr>
          <w:rFonts w:ascii="Times New Roman" w:hAnsi="Times New Roman"/>
          <w:sz w:val="20"/>
          <w:szCs w:val="20"/>
        </w:rPr>
        <w:t xml:space="preserve"> adjusted for </w:t>
      </w:r>
      <w:r w:rsidRPr="001E646A">
        <w:rPr>
          <w:rStyle w:val="apple-style-span"/>
          <w:rFonts w:ascii="Times New Roman" w:eastAsia="Arial Unicode MS" w:hAnsi="Times New Roman"/>
          <w:color w:val="000000"/>
        </w:rPr>
        <w:t>high-risk HPV</w:t>
      </w:r>
      <w:r w:rsidRPr="001E646A">
        <w:rPr>
          <w:rFonts w:ascii="Times New Roman" w:hAnsi="Times New Roman"/>
          <w:sz w:val="20"/>
          <w:szCs w:val="20"/>
        </w:rPr>
        <w:t>,</w:t>
      </w:r>
      <w:r w:rsidRPr="001E646A">
        <w:rPr>
          <w:rFonts w:ascii="Times New Roman" w:hAnsi="Times New Roman"/>
          <w:kern w:val="0"/>
          <w:sz w:val="20"/>
          <w:szCs w:val="20"/>
          <w:shd w:val="clear" w:color="auto" w:fill="FFFFFF"/>
        </w:rPr>
        <w:t xml:space="preserve"> </w:t>
      </w:r>
      <w:r w:rsidRPr="001E646A">
        <w:rPr>
          <w:rFonts w:ascii="Times New Roman" w:hAnsi="Times New Roman"/>
          <w:sz w:val="20"/>
          <w:szCs w:val="20"/>
        </w:rPr>
        <w:t>SCJ</w:t>
      </w:r>
      <w:r w:rsidRPr="001E646A">
        <w:rPr>
          <w:rFonts w:ascii="Times New Roman" w:hAnsi="Times New Roman"/>
          <w:color w:val="000000"/>
          <w:kern w:val="0"/>
          <w:sz w:val="20"/>
          <w:szCs w:val="20"/>
        </w:rPr>
        <w:t xml:space="preserve"> </w:t>
      </w:r>
      <w:r w:rsidRPr="001E646A">
        <w:rPr>
          <w:rStyle w:val="a3"/>
          <w:rFonts w:ascii="Times New Roman" w:hAnsi="Times New Roman"/>
          <w:sz w:val="20"/>
          <w:szCs w:val="20"/>
        </w:rPr>
        <w:t>visibility</w:t>
      </w:r>
      <w:r w:rsidRPr="001E646A">
        <w:rPr>
          <w:rFonts w:ascii="Times New Roman" w:hAnsi="Times New Roman"/>
          <w:color w:val="000000"/>
          <w:kern w:val="0"/>
          <w:sz w:val="20"/>
          <w:szCs w:val="20"/>
        </w:rPr>
        <w:t xml:space="preserve">, </w:t>
      </w:r>
      <w:r w:rsidRPr="001E646A">
        <w:rPr>
          <w:rFonts w:ascii="Times New Roman" w:hAnsi="Times New Roman"/>
          <w:color w:val="000000"/>
          <w:kern w:val="0"/>
          <w:sz w:val="20"/>
          <w:szCs w:val="20"/>
          <w:shd w:val="clear" w:color="auto" w:fill="FFFFFF"/>
        </w:rPr>
        <w:t>vaginal pH.</w:t>
      </w:r>
    </w:p>
    <w:p w:rsidR="00742FFC" w:rsidRPr="001E646A" w:rsidRDefault="00742FFC" w:rsidP="00742FFC">
      <w:pPr>
        <w:autoSpaceDE w:val="0"/>
        <w:autoSpaceDN w:val="0"/>
        <w:adjustRightInd w:val="0"/>
        <w:ind w:leftChars="-607" w:left="-1275" w:rightChars="-567" w:right="-1191"/>
        <w:jc w:val="left"/>
        <w:rPr>
          <w:rFonts w:ascii="Times New Roman" w:eastAsia="Arial Unicode MS" w:hAnsi="Times New Roman"/>
          <w:color w:val="000000" w:themeColor="text1"/>
          <w:kern w:val="0"/>
          <w:sz w:val="20"/>
          <w:szCs w:val="20"/>
        </w:rPr>
      </w:pPr>
      <w:r w:rsidRPr="001E646A">
        <w:rPr>
          <w:rFonts w:ascii="Times New Roman" w:eastAsia="Arial Unicode MS" w:hAnsi="Times New Roman"/>
          <w:color w:val="000000" w:themeColor="text1"/>
          <w:kern w:val="0"/>
          <w:sz w:val="20"/>
          <w:szCs w:val="20"/>
          <w:vertAlign w:val="superscript"/>
        </w:rPr>
        <w:t>c</w:t>
      </w:r>
      <w:r w:rsidR="00DA1B49" w:rsidRPr="00DA1B49">
        <w:rPr>
          <w:rFonts w:ascii="Times New Roman" w:eastAsia="Arial Unicode MS" w:hAnsi="Times New Roman" w:hint="eastAsia"/>
          <w:color w:val="000000" w:themeColor="text1"/>
          <w:kern w:val="0"/>
          <w:sz w:val="20"/>
          <w:szCs w:val="20"/>
        </w:rPr>
        <w:t>:</w:t>
      </w:r>
      <w:r w:rsidR="00DA1B49">
        <w:rPr>
          <w:rFonts w:ascii="Times New Roman" w:eastAsia="Arial Unicode MS" w:hAnsi="Times New Roman" w:hint="eastAsia"/>
          <w:i/>
          <w:color w:val="000000" w:themeColor="text1"/>
          <w:kern w:val="0"/>
          <w:sz w:val="20"/>
          <w:szCs w:val="20"/>
        </w:rPr>
        <w:t xml:space="preserve"> </w:t>
      </w:r>
      <w:r w:rsidR="00920322" w:rsidRPr="001F22A9">
        <w:rPr>
          <w:rFonts w:ascii="Times New Roman" w:eastAsia="Arial Unicode MS" w:hAnsi="Times New Roman"/>
          <w:i/>
          <w:color w:val="000000" w:themeColor="text1"/>
          <w:kern w:val="0"/>
          <w:sz w:val="20"/>
          <w:szCs w:val="20"/>
        </w:rPr>
        <w:t>P</w:t>
      </w:r>
      <w:r w:rsidR="00920322" w:rsidRPr="001F22A9">
        <w:rPr>
          <w:rFonts w:ascii="Times New Roman" w:eastAsia="Arial Unicode MS" w:hAnsi="Times New Roman"/>
          <w:color w:val="000000" w:themeColor="text1"/>
          <w:kern w:val="0"/>
          <w:sz w:val="20"/>
          <w:szCs w:val="20"/>
        </w:rPr>
        <w:t xml:space="preserve"> values for differences between groups were obtained from the </w:t>
      </w:r>
      <w:r w:rsidR="00920322">
        <w:rPr>
          <w:rFonts w:ascii="Times New Roman" w:eastAsia="Arial Unicode MS" w:hAnsi="Times New Roman"/>
          <w:color w:val="000000" w:themeColor="text1"/>
          <w:kern w:val="0"/>
          <w:sz w:val="20"/>
          <w:szCs w:val="20"/>
        </w:rPr>
        <w:t>Bonferroni correction</w:t>
      </w:r>
      <w:r w:rsidR="00920322" w:rsidRPr="001F22A9">
        <w:rPr>
          <w:rFonts w:ascii="Times New Roman" w:eastAsia="Arial Unicode MS" w:hAnsi="Times New Roman"/>
          <w:color w:val="000000" w:themeColor="text1"/>
          <w:kern w:val="0"/>
          <w:sz w:val="20"/>
          <w:szCs w:val="20"/>
        </w:rPr>
        <w:t xml:space="preserve"> test for categoric variables.</w:t>
      </w:r>
    </w:p>
    <w:p w:rsidR="00542218" w:rsidRPr="001E646A" w:rsidRDefault="00542218">
      <w:pPr>
        <w:rPr>
          <w:rFonts w:ascii="Times New Roman" w:hAnsi="Times New Roman"/>
        </w:rPr>
      </w:pPr>
    </w:p>
    <w:sectPr w:rsidR="00542218" w:rsidRPr="001E646A" w:rsidSect="00542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dvOTdadbfad7.B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AdvOTfe809cc4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UniversLTStd-LightCn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42FFC"/>
    <w:rsid w:val="000C2262"/>
    <w:rsid w:val="001423D6"/>
    <w:rsid w:val="00173EE8"/>
    <w:rsid w:val="001B120A"/>
    <w:rsid w:val="001E646A"/>
    <w:rsid w:val="002E1348"/>
    <w:rsid w:val="0038263B"/>
    <w:rsid w:val="00393AB7"/>
    <w:rsid w:val="003F1864"/>
    <w:rsid w:val="00417DCD"/>
    <w:rsid w:val="00511AE7"/>
    <w:rsid w:val="00542218"/>
    <w:rsid w:val="00571F24"/>
    <w:rsid w:val="005A0B01"/>
    <w:rsid w:val="00607BDE"/>
    <w:rsid w:val="0062332B"/>
    <w:rsid w:val="00742FFC"/>
    <w:rsid w:val="008266F0"/>
    <w:rsid w:val="00920322"/>
    <w:rsid w:val="0097681F"/>
    <w:rsid w:val="009D4AC5"/>
    <w:rsid w:val="009F063D"/>
    <w:rsid w:val="00A84F1B"/>
    <w:rsid w:val="00AA0368"/>
    <w:rsid w:val="00AD7E65"/>
    <w:rsid w:val="00BB5BED"/>
    <w:rsid w:val="00BF7A1A"/>
    <w:rsid w:val="00D048E7"/>
    <w:rsid w:val="00D4150B"/>
    <w:rsid w:val="00DA1B49"/>
    <w:rsid w:val="00EA2D6B"/>
    <w:rsid w:val="00FC23B6"/>
    <w:rsid w:val="00FC6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FFC"/>
    <w:pPr>
      <w:widowControl w:val="0"/>
      <w:jc w:val="both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qFormat/>
    <w:rsid w:val="00742FFC"/>
  </w:style>
  <w:style w:type="character" w:styleId="a3">
    <w:name w:val="Emphasis"/>
    <w:basedOn w:val="a0"/>
    <w:uiPriority w:val="20"/>
    <w:qFormat/>
    <w:rsid w:val="00742FFC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wz</dc:creator>
  <cp:lastModifiedBy>wz</cp:lastModifiedBy>
  <cp:revision>6</cp:revision>
  <dcterms:created xsi:type="dcterms:W3CDTF">2017-08-02T08:54:00Z</dcterms:created>
  <dcterms:modified xsi:type="dcterms:W3CDTF">2020-10-22T12:59:00Z</dcterms:modified>
</cp:coreProperties>
</file>