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Supplementary Material</w:t>
      </w:r>
    </w:p>
    <w:p>
      <w:pPr>
        <w:spacing w:line="480" w:lineRule="auto"/>
        <w:ind w:firstLine="600" w:firstLineChars="250"/>
        <w:rPr>
          <w:rFonts w:ascii="Times New Roman" w:hAnsi="Times New Roman" w:eastAsia="Calibri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eastAsia="微软雅黑" w:cs="Times New Roman"/>
          <w:b/>
          <w:bCs/>
          <w:sz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</w:rPr>
        <w:t xml:space="preserve">Table 1.  </w:t>
      </w:r>
      <w:r>
        <w:rPr>
          <w:rFonts w:ascii="Times New Roman" w:hAnsi="Times New Roman" w:cs="Times New Roman"/>
          <w:sz w:val="24"/>
        </w:rPr>
        <w:t>Primer Sequences Used in RT-qPCR</w:t>
      </w:r>
    </w:p>
    <w:tbl>
      <w:tblPr>
        <w:tblStyle w:val="11"/>
        <w:tblW w:w="8505" w:type="dxa"/>
        <w:tblInd w:w="0" w:type="dxa"/>
        <w:tblBorders>
          <w:top w:val="single" w:color="7E7E7E" w:sz="4" w:space="0"/>
          <w:left w:val="none" w:color="auto" w:sz="0" w:space="0"/>
          <w:bottom w:val="single" w:color="7E7E7E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3730"/>
        <w:gridCol w:w="3685"/>
      </w:tblGrid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single" w:color="7E7E7E" w:sz="4" w:space="0"/>
              <w:left w:val="nil"/>
              <w:bottom w:val="single" w:color="7E7E7E" w:sz="4" w:space="0"/>
              <w:right w:val="nil"/>
              <w:insideH w:val="single" w:sz="4" w:space="0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  <w:t>Gene</w:t>
            </w:r>
          </w:p>
        </w:tc>
        <w:tc>
          <w:tcPr>
            <w:tcW w:w="3730" w:type="dxa"/>
            <w:tcBorders>
              <w:top w:val="single" w:color="7E7E7E" w:sz="4" w:space="0"/>
              <w:left w:val="nil"/>
              <w:bottom w:val="single" w:color="7E7E7E" w:sz="4" w:space="0"/>
              <w:right w:val="nil"/>
              <w:insideH w:val="single" w:sz="4" w:space="0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jc w:val="center"/>
              <w:outlineLvl w:val="0"/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  <w:t>Forward</w:t>
            </w:r>
          </w:p>
        </w:tc>
        <w:tc>
          <w:tcPr>
            <w:tcW w:w="3685" w:type="dxa"/>
            <w:tcBorders>
              <w:top w:val="single" w:color="7E7E7E" w:sz="4" w:space="0"/>
              <w:left w:val="nil"/>
              <w:bottom w:val="single" w:color="7E7E7E" w:sz="4" w:space="0"/>
              <w:right w:val="nil"/>
              <w:insideH w:val="single" w:sz="4" w:space="0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  <w:t>Reverse</w:t>
            </w:r>
          </w:p>
        </w:tc>
      </w:tr>
      <w:tr>
        <w:trPr>
          <w:trHeight w:val="70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UCP1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AGGCTTCCAGTACCATTAGGT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CTGAGTGAGGCAAAGCTGATTT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PGC-1α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 w:val="21"/>
                <w:szCs w:val="21"/>
              </w:rPr>
              <w:t>AGCCGTGACCACTGACAACGAG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color w:val="000000"/>
                <w:sz w:val="21"/>
                <w:szCs w:val="21"/>
              </w:rPr>
              <w:t>GCTGCATGGTTCTGAGTGCTAAG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Cidea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TGACATTCATGGGATTGCAGAC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CATGGTTTGAAACTCGAAAAGGG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COX6a1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TCAACGTGTTCCTCAAGTCGC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AGGGTATGGTTACCGTCTCCC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COX7a1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CAGCGTCATGGTCAGTCTGT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AGAAAACCGTGTGGCAGAGA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Ndufb8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TGTTGCCGGGGTCATATCCTA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AGCATCGGGTAGTCGCCATA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Atp5a1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TCTCCATGCCTCTAACACTCG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CCAGGTCAACAGACGTGTCAG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color w:val="000000"/>
                <w:sz w:val="21"/>
                <w:szCs w:val="21"/>
              </w:rPr>
              <w:t>Elovl3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TTCTCACGCGGGTTAAAAATGG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GGCCAACAACGATGAGCAAC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Uqcrc2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AAAGTTGCCCCGAAGGTTAAA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GAGCATAGTTTTCCAGAGAAGCA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Ech1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GCTACCGCGATGACAGTTTC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TCAGAGATCGAAGGCTGATGTT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Acaa2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CTGCTACGAGGTGTGTTCATC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AGCTCTGCATGACATTGCCC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Acadl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TCTTTTCCTCGGAGCATGACA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GACCTCTCTACTCACTTCTCCAG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Hadha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TGCATTTGCCGCAGCTTTAC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GTTGGCCCAGATTTCGTTCA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CPT1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GCACACCAGGCAGTAGCTTT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CAGGAGTTGATTCCAGACAGGTA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 xml:space="preserve">Adipoq 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TGTTCCTCTTAATCCTGCCCA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CCAACCTGCACAAGTTCCCTT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 xml:space="preserve">Glut4 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GTGACTGGAACACTGGTCCTA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CCAGCCACGTTGCATTGTAG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PPARγ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TCGCTGATGCACTGCCTATG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GAGAGGTCCACAGAGCTGATT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Fabp4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TTCGATGAAATCACCGCAGA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Cambria" w:cs="Times New Roman"/>
                <w:sz w:val="21"/>
                <w:szCs w:val="21"/>
              </w:rPr>
              <w:t>AGGGCCCCGCCATCT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IRF4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GCAGCTCACTTTGGATGACA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CCAAACGTCACAGGACATTG</w:t>
            </w:r>
          </w:p>
        </w:tc>
      </w:tr>
      <w:tr>
        <w:tblPrEx>
          <w:tblBorders>
            <w:top w:val="single" w:color="7E7E7E" w:sz="4" w:space="0"/>
            <w:left w:val="none" w:color="auto" w:sz="0" w:space="0"/>
            <w:bottom w:val="single" w:color="7E7E7E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90" w:type="dxa"/>
            <w:tcBorders>
              <w:top w:val="nil"/>
              <w:left w:val="nil"/>
              <w:bottom w:val="single" w:color="7E7E7E" w:sz="4" w:space="0"/>
              <w:right w:val="nil"/>
            </w:tcBorders>
          </w:tcPr>
          <w:p>
            <w:pPr>
              <w:pStyle w:val="5"/>
              <w:spacing w:before="0" w:beforeAutospacing="0" w:after="0" w:afterAutospacing="0"/>
              <w:jc w:val="center"/>
              <w:outlineLvl w:val="0"/>
              <w:rPr>
                <w:rFonts w:hint="default"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b w:val="0"/>
                <w:bCs w:val="0"/>
                <w:sz w:val="21"/>
                <w:szCs w:val="21"/>
              </w:rPr>
              <w:t>36B4</w:t>
            </w:r>
          </w:p>
        </w:tc>
        <w:tc>
          <w:tcPr>
            <w:tcW w:w="3730" w:type="dxa"/>
            <w:tcBorders>
              <w:top w:val="nil"/>
              <w:left w:val="nil"/>
              <w:bottom w:val="single" w:color="7E7E7E" w:sz="4" w:space="0"/>
              <w:right w:val="nil"/>
            </w:tcBorders>
          </w:tcPr>
          <w:p>
            <w:pPr>
              <w:pStyle w:val="5"/>
              <w:spacing w:before="0" w:beforeAutospacing="0" w:after="0" w:afterAutospacing="0"/>
              <w:ind w:firstLine="210" w:firstLineChars="10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AAGCGCGTCCTGGCATTGTCT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7E7E7E" w:sz="4" w:space="0"/>
              <w:right w:val="nil"/>
            </w:tcBorders>
          </w:tcPr>
          <w:p>
            <w:pPr>
              <w:pStyle w:val="5"/>
              <w:spacing w:before="0" w:beforeAutospacing="0" w:after="0" w:afterAutospacing="0"/>
              <w:outlineLvl w:val="0"/>
              <w:rPr>
                <w:rFonts w:ascii="Times New Roman" w:hAnsi="Times New Roman" w:eastAsia="Cambria" w:cs="Times New Roman"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sz w:val="21"/>
                <w:szCs w:val="21"/>
              </w:rPr>
              <w:t>CCGCAGGGGCAGCAGTGGT</w:t>
            </w:r>
          </w:p>
        </w:tc>
      </w:tr>
    </w:tbl>
    <w:p/>
    <w:p>
      <w:pPr>
        <w:spacing w:line="48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Supplementary Figure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legends</w:t>
      </w:r>
    </w:p>
    <w:p>
      <w:pPr>
        <w:spacing w:line="480" w:lineRule="auto"/>
        <w:jc w:val="left"/>
        <w:rPr>
          <w:rFonts w:ascii="Times New Roman" w:hAnsi="Times New Roman" w:eastAsia="微软雅黑" w:cs="Times New Roman"/>
          <w:sz w:val="24"/>
        </w:rPr>
      </w:pPr>
      <w:r>
        <w:rPr>
          <w:rFonts w:ascii="Times New Roman" w:hAnsi="Times New Roman" w:eastAsia="微软雅黑" w:cs="Times New Roman"/>
          <w:b/>
          <w:bCs/>
          <w:sz w:val="24"/>
        </w:rPr>
        <w:t>Fig. S</w:t>
      </w:r>
      <w:r>
        <w:rPr>
          <w:rFonts w:hint="eastAsia" w:ascii="Times New Roman" w:hAnsi="Times New Roman" w:eastAsia="微软雅黑" w:cs="Times New Roman"/>
          <w:b/>
          <w:bCs/>
          <w:sz w:val="24"/>
        </w:rPr>
        <w:t>1</w:t>
      </w:r>
      <w:r>
        <w:rPr>
          <w:rFonts w:ascii="Times New Roman" w:hAnsi="Times New Roman" w:eastAsia="微软雅黑" w:cs="Times New Roman"/>
          <w:b/>
          <w:bCs/>
          <w:sz w:val="24"/>
        </w:rPr>
        <w:t xml:space="preserve"> </w:t>
      </w:r>
      <w:r>
        <w:rPr>
          <w:rFonts w:ascii="Times New Roman" w:hAnsi="Times New Roman" w:eastAsia="微软雅黑" w:cs="Times New Roman"/>
          <w:sz w:val="24"/>
        </w:rPr>
        <w:t xml:space="preserve">DHM </w:t>
      </w:r>
      <w:r>
        <w:rPr>
          <w:rFonts w:hint="eastAsia" w:ascii="Times New Roman" w:hAnsi="Times New Roman" w:eastAsia="微软雅黑" w:cs="Times New Roman"/>
          <w:sz w:val="24"/>
        </w:rPr>
        <w:t>had no effect on serum TC</w:t>
      </w:r>
      <w:r>
        <w:rPr>
          <w:rFonts w:ascii="Times New Roman" w:hAnsi="Times New Roman" w:eastAsia="微软雅黑" w:cs="Times New Roman"/>
          <w:sz w:val="24"/>
        </w:rPr>
        <w:t>.</w:t>
      </w:r>
      <w:bookmarkStart w:id="0" w:name="_GoBack"/>
      <w:bookmarkEnd w:id="0"/>
    </w:p>
    <w:p>
      <w:pPr>
        <w:pStyle w:val="5"/>
        <w:widowControl w:val="0"/>
        <w:spacing w:before="0" w:beforeAutospacing="0" w:after="0" w:afterAutospacing="0" w:line="480" w:lineRule="auto"/>
        <w:rPr>
          <w:rFonts w:ascii="Times New Roman Regular" w:hAnsi="Times New Roman Regular" w:eastAsia="微软雅黑" w:cs="Times New Roman Regular"/>
          <w:sz w:val="21"/>
          <w:szCs w:val="21"/>
        </w:rPr>
      </w:pPr>
      <w:r>
        <w:rPr>
          <w:rFonts w:ascii="Times New Roman Regular" w:hAnsi="Times New Roman Regular" w:eastAsia="微软雅黑" w:cs="Times New Roman Regular"/>
          <w:sz w:val="21"/>
          <w:szCs w:val="21"/>
        </w:rPr>
        <w:t xml:space="preserve">Serum triglyceride level (n=5). </w:t>
      </w:r>
      <w:r>
        <w:rPr>
          <w:rFonts w:ascii="Times New Roman Regular" w:hAnsi="Times New Roman Regular" w:cs="Times New Roman Regular"/>
          <w:kern w:val="2"/>
          <w:sz w:val="21"/>
          <w:szCs w:val="21"/>
          <w:lang w:bidi="ar"/>
        </w:rPr>
        <w:t xml:space="preserve">Data are presented as the mean ± SEM. </w:t>
      </w:r>
      <w:r>
        <w:rPr>
          <w:rFonts w:ascii="Times New Roman Regular" w:hAnsi="Times New Roman Regular" w:cs="Times New Roman Regular"/>
          <w:i/>
          <w:iCs/>
          <w:kern w:val="2"/>
          <w:sz w:val="21"/>
          <w:szCs w:val="21"/>
          <w:lang w:bidi="ar"/>
        </w:rPr>
        <w:t>*P</w:t>
      </w:r>
      <w:r>
        <w:rPr>
          <w:rFonts w:ascii="Times New Roman Regular" w:hAnsi="Times New Roman Regular" w:cs="Times New Roman Regular"/>
          <w:kern w:val="2"/>
          <w:sz w:val="21"/>
          <w:szCs w:val="21"/>
          <w:lang w:bidi="ar"/>
        </w:rPr>
        <w:t xml:space="preserve"> &lt; 0.05, **</w:t>
      </w:r>
      <w:r>
        <w:rPr>
          <w:rFonts w:ascii="Times New Roman Regular" w:hAnsi="Times New Roman Regular" w:cs="Times New Roman Regular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 Regular" w:hAnsi="Times New Roman Regular" w:cs="Times New Roman Regular"/>
          <w:kern w:val="2"/>
          <w:sz w:val="21"/>
          <w:szCs w:val="21"/>
          <w:lang w:bidi="ar"/>
        </w:rPr>
        <w:t xml:space="preserve"> &lt; 0.01, and ***</w:t>
      </w:r>
      <w:r>
        <w:rPr>
          <w:rFonts w:ascii="Times New Roman Regular" w:hAnsi="Times New Roman Regular" w:cs="Times New Roman Regular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 Regular" w:hAnsi="Times New Roman Regular" w:cs="Times New Roman Regular"/>
          <w:kern w:val="2"/>
          <w:sz w:val="21"/>
          <w:szCs w:val="21"/>
          <w:lang w:bidi="ar"/>
        </w:rPr>
        <w:t xml:space="preserve"> &lt;0.001.</w:t>
      </w:r>
    </w:p>
    <w:p>
      <w:pPr>
        <w:widowControl/>
        <w:spacing w:line="480" w:lineRule="auto"/>
        <w:jc w:val="left"/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ascii="Times New Roman" w:hAnsi="Times New Roman" w:eastAsia="微软雅黑" w:cs="Times New Roman"/>
          <w:b/>
          <w:bCs/>
          <w:sz w:val="24"/>
        </w:rPr>
        <w:t>Fig. S</w:t>
      </w:r>
      <w:r>
        <w:rPr>
          <w:rFonts w:hint="eastAsia" w:ascii="Times New Roman" w:hAnsi="Times New Roman" w:eastAsia="微软雅黑" w:cs="Times New Roman"/>
          <w:b/>
          <w:bCs/>
          <w:sz w:val="24"/>
        </w:rPr>
        <w:t>2</w:t>
      </w:r>
      <w:r>
        <w:rPr>
          <w:rFonts w:ascii="Times New Roman" w:hAnsi="Times New Roman" w:eastAsia="微软雅黑" w:cs="Times New Roman"/>
          <w:b/>
          <w:bCs/>
          <w:sz w:val="24"/>
        </w:rPr>
        <w:t xml:space="preserve"> </w:t>
      </w:r>
      <w:r>
        <w:rPr>
          <w:rFonts w:ascii="Times New Roman" w:hAnsi="Times New Roman" w:eastAsia="等线" w:cs="Times New Roman"/>
          <w:kern w:val="0"/>
          <w:sz w:val="24"/>
          <w:szCs w:val="22"/>
          <w:lang w:eastAsia="en-US" w:bidi="ar"/>
        </w:rPr>
        <w:t>DHM did not inhibit lipid synthesis of iWAT.</w:t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</w:p>
    <w:p>
      <w:pPr>
        <w:pStyle w:val="5"/>
        <w:widowControl w:val="0"/>
        <w:spacing w:before="0" w:beforeAutospacing="0" w:after="0" w:afterAutospacing="0" w:line="480" w:lineRule="auto"/>
        <w:rPr>
          <w:rFonts w:ascii="Times New Roman" w:hAnsi="Times New Roman" w:cs="Times New Roman"/>
          <w:kern w:val="2"/>
          <w:sz w:val="21"/>
          <w:szCs w:val="21"/>
          <w:lang w:bidi="ar"/>
        </w:rPr>
      </w:pPr>
      <w:r>
        <w:rPr>
          <w:rFonts w:ascii="Times New Roman" w:hAnsi="Times New Roman" w:eastAsia="等线" w:cs="Times New Roman"/>
          <w:sz w:val="21"/>
          <w:szCs w:val="21"/>
          <w:lang w:eastAsia="en-US" w:bidi="ar"/>
        </w:rPr>
        <w:t xml:space="preserve">RNA expression profiles of the adipocyte differentiation and lipogenesis related genes in iWAT. 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Data are presented as the mean ± SEM. 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*P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 0.05, **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 0.01, and ***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&lt;0.001.</w:t>
      </w:r>
    </w:p>
    <w:p>
      <w:pPr>
        <w:widowControl/>
        <w:spacing w:line="480" w:lineRule="auto"/>
        <w:jc w:val="left"/>
        <w:rPr>
          <w:rFonts w:ascii="宋体" w:hAnsi="宋体" w:eastAsia="宋体" w:cs="宋体"/>
          <w:kern w:val="0"/>
          <w:sz w:val="24"/>
          <w:lang w:bidi="ar"/>
        </w:rPr>
      </w:pPr>
      <w:r>
        <w:rPr>
          <w:rFonts w:ascii="Times New Roman" w:hAnsi="Times New Roman" w:eastAsia="微软雅黑" w:cs="Times New Roman"/>
          <w:b/>
          <w:bCs/>
          <w:sz w:val="24"/>
        </w:rPr>
        <w:t>Fig. S</w:t>
      </w:r>
      <w:r>
        <w:rPr>
          <w:rFonts w:hint="eastAsia" w:ascii="Times New Roman" w:hAnsi="Times New Roman" w:eastAsia="微软雅黑" w:cs="Times New Roman"/>
          <w:b/>
          <w:bCs/>
          <w:sz w:val="24"/>
        </w:rPr>
        <w:t>3</w:t>
      </w:r>
      <w:r>
        <w:rPr>
          <w:rFonts w:ascii="Times New Roman" w:hAnsi="Times New Roman" w:eastAsia="微软雅黑" w:cs="Times New Roman"/>
          <w:b/>
          <w:bCs/>
          <w:sz w:val="24"/>
        </w:rPr>
        <w:t xml:space="preserve"> </w:t>
      </w:r>
      <w:r>
        <w:rPr>
          <w:rFonts w:ascii="Times New Roman" w:hAnsi="Times New Roman" w:eastAsia="等线" w:cs="Times New Roman"/>
          <w:kern w:val="0"/>
          <w:sz w:val="24"/>
          <w:szCs w:val="22"/>
          <w:lang w:eastAsia="en-US" w:bidi="ar"/>
        </w:rPr>
        <w:t>DHM had no effect on lipid synthesis of primary adipocytes.</w:t>
      </w: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</w:p>
    <w:p>
      <w:pPr>
        <w:pStyle w:val="5"/>
        <w:widowControl w:val="0"/>
        <w:spacing w:before="0" w:beforeAutospacing="0" w:after="0" w:afterAutospacing="0" w:line="480" w:lineRule="auto"/>
        <w:rPr>
          <w:rFonts w:ascii="Times New Roman" w:hAnsi="Times New Roman" w:cs="Times New Roman"/>
          <w:kern w:val="2"/>
          <w:sz w:val="21"/>
          <w:szCs w:val="21"/>
          <w:lang w:bidi="ar"/>
        </w:rPr>
      </w:pPr>
      <w:r>
        <w:rPr>
          <w:rFonts w:ascii="Times New Roman" w:hAnsi="Times New Roman" w:eastAsia="等线" w:cs="Times New Roman"/>
          <w:sz w:val="21"/>
          <w:szCs w:val="21"/>
          <w:lang w:eastAsia="en-US" w:bidi="ar"/>
        </w:rPr>
        <w:t xml:space="preserve">RNA expression profiles of the adipocyte differentiation and lipogenesis genes in </w:t>
      </w:r>
      <w:r>
        <w:rPr>
          <w:rFonts w:ascii="Times New Roman" w:hAnsi="Times New Roman" w:eastAsia="等线" w:cs="Times New Roman"/>
          <w:sz w:val="21"/>
          <w:szCs w:val="21"/>
          <w:lang w:eastAsia="en-US" w:bidi="ar"/>
        </w:rPr>
        <w:t>primary adipocytes</w:t>
      </w:r>
      <w:r>
        <w:rPr>
          <w:rFonts w:ascii="Times New Roman" w:hAnsi="Times New Roman" w:eastAsia="等线" w:cs="Times New Roman"/>
          <w:sz w:val="21"/>
          <w:szCs w:val="21"/>
          <w:lang w:eastAsia="en-US" w:bidi="ar"/>
        </w:rPr>
        <w:t xml:space="preserve">. 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Data are presented as the mean ± SEM. 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*P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 0.05, **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 0.01, and ***</w:t>
      </w:r>
      <w:r>
        <w:rPr>
          <w:rFonts w:ascii="Times New Roman Italic" w:hAnsi="Times New Roman Italic" w:cs="Times New Roman Italic"/>
          <w:i/>
          <w:iCs/>
          <w:kern w:val="2"/>
          <w:sz w:val="21"/>
          <w:szCs w:val="21"/>
          <w:lang w:bidi="ar"/>
        </w:rPr>
        <w:t>P</w:t>
      </w:r>
      <w:r>
        <w:rPr>
          <w:rFonts w:ascii="Times New Roman" w:hAnsi="Times New Roman" w:cs="Times New Roman"/>
          <w:kern w:val="2"/>
          <w:sz w:val="21"/>
          <w:szCs w:val="21"/>
          <w:lang w:bidi="ar"/>
        </w:rPr>
        <w:t xml:space="preserve"> &lt;0.001.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lang w:bidi="ar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lang w:bidi="ar"/>
        </w:rPr>
      </w:pPr>
    </w:p>
    <w:p>
      <w:pPr>
        <w:pStyle w:val="5"/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sz w:val="21"/>
          <w:szCs w:val="21"/>
          <w:lang w:bidi="ar"/>
        </w:rPr>
      </w:pPr>
    </w:p>
    <w:p>
      <w:pPr>
        <w:pStyle w:val="5"/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sz w:val="21"/>
          <w:szCs w:val="21"/>
          <w:lang w:bidi="ar"/>
        </w:rPr>
      </w:pP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lang w:bidi="ar"/>
        </w:rPr>
      </w:pPr>
    </w:p>
    <w:p>
      <w:pPr>
        <w:rPr>
          <w:rFonts w:ascii="Times New Roman" w:hAnsi="Times New Roman" w:eastAsia="微软雅黑" w:cs="Times New Roman"/>
          <w:sz w:val="24"/>
        </w:rPr>
      </w:pPr>
      <w:r>
        <w:rPr>
          <w:rFonts w:hint="eastAsia" w:ascii="Times New Roman" w:hAnsi="Times New Roman" w:eastAsia="微软雅黑" w:cs="Times New Roman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D5"/>
    <w:rsid w:val="000E2A57"/>
    <w:rsid w:val="0057625E"/>
    <w:rsid w:val="00651442"/>
    <w:rsid w:val="00776FC4"/>
    <w:rsid w:val="008070D5"/>
    <w:rsid w:val="008936DE"/>
    <w:rsid w:val="00AF0F5F"/>
    <w:rsid w:val="00C56FE6"/>
    <w:rsid w:val="00CE72B8"/>
    <w:rsid w:val="00D62F1D"/>
    <w:rsid w:val="00D87275"/>
    <w:rsid w:val="00F26B9B"/>
    <w:rsid w:val="2DFD35A9"/>
    <w:rsid w:val="5FCF8080"/>
    <w:rsid w:val="77FC8ED1"/>
    <w:rsid w:val="99A5424C"/>
    <w:rsid w:val="DF7519B1"/>
    <w:rsid w:val="EEFF8FA6"/>
    <w:rsid w:val="FF6B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nhideWhenUsed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9">
    <w:name w:val="Supplementary Material"/>
    <w:basedOn w:val="6"/>
    <w:next w:val="6"/>
    <w:qFormat/>
    <w:uiPriority w:val="0"/>
    <w:pPr>
      <w:suppressLineNumbers/>
      <w:spacing w:after="120"/>
      <w:outlineLvl w:val="9"/>
    </w:pPr>
    <w:rPr>
      <w:rFonts w:ascii="Times New Roman" w:hAnsi="Times New Roman" w:eastAsia="Calibri" w:cs="Times New Roman"/>
      <w:i/>
      <w:iCs/>
      <w:kern w:val="0"/>
    </w:rPr>
  </w:style>
  <w:style w:type="character" w:customStyle="1" w:styleId="10">
    <w:name w:val="标题 Char"/>
    <w:basedOn w:val="7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table" w:customStyle="1" w:styleId="11">
    <w:name w:val="无格式表格 21"/>
    <w:basedOn w:val="8"/>
    <w:qFormat/>
    <w:uiPriority w:val="0"/>
    <w:rPr>
      <w:rFonts w:ascii="Times New Roman" w:hAnsi="Times New Roman" w:eastAsia="宋体" w:cs="Times New Roman"/>
      <w:szCs w:val="21"/>
    </w:r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bottom w:val="single" w:color="7E7E7E" w:sz="4" w:space="0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2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1Horz">
      <w:tcPr>
        <w:tcBorders>
          <w:top w:val="single" w:color="7E7E7E" w:sz="4" w:space="0"/>
          <w:bottom w:val="single" w:color="7E7E7E" w:sz="4" w:space="0"/>
        </w:tcBorders>
      </w:tcPr>
    </w:tblStylePr>
  </w:style>
  <w:style w:type="character" w:customStyle="1" w:styleId="12">
    <w:name w:val="EndNote Bibliography 字符"/>
    <w:basedOn w:val="7"/>
    <w:link w:val="13"/>
    <w:qFormat/>
    <w:uiPriority w:val="0"/>
    <w:rPr>
      <w:rFonts w:hint="default" w:ascii="Times New Roman" w:hAnsi="Times New Roman" w:eastAsia="宋体" w:cs="Times New Roman"/>
      <w:kern w:val="2"/>
      <w:sz w:val="24"/>
      <w:szCs w:val="22"/>
    </w:rPr>
  </w:style>
  <w:style w:type="paragraph" w:customStyle="1" w:styleId="13">
    <w:name w:val="EndNote Bibliography"/>
    <w:basedOn w:val="1"/>
    <w:link w:val="12"/>
    <w:qFormat/>
    <w:uiPriority w:val="0"/>
    <w:rPr>
      <w:rFonts w:ascii="Times New Roman" w:hAnsi="Times New Roman" w:eastAsia="宋体" w:cs="Times New Roman"/>
      <w:sz w:val="24"/>
      <w:szCs w:val="22"/>
    </w:rPr>
  </w:style>
  <w:style w:type="character" w:customStyle="1" w:styleId="14">
    <w:name w:val="页眉 Char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1539</Characters>
  <Lines>12</Lines>
  <Paragraphs>3</Paragraphs>
  <TotalTime>0</TotalTime>
  <ScaleCrop>false</ScaleCrop>
  <LinksUpToDate>false</LinksUpToDate>
  <CharactersWithSpaces>1806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2022-01-21T23:05:00Z</dcterms:created>
  <dc:creator>office</dc:creator>
  <cp:lastModifiedBy>qingyang</cp:lastModifiedBy>
  <dcterms:modified xsi:type="dcterms:W3CDTF">2022-01-22T09:54:51Z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