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C81FAD">
      <w:pPr>
        <w:rPr>
          <w:sz w:val="16"/>
          <w:szCs w:val="16"/>
        </w:rPr>
      </w:pPr>
    </w:p>
    <w:tbl>
      <w:tblPr>
        <w:tblStyle w:val="34"/>
        <w:tblW w:w="16869" w:type="dxa"/>
        <w:tblInd w:w="-1418" w:type="dxa"/>
        <w:tblLayout w:type="fixed"/>
        <w:tblCellMar>
          <w:top w:w="0" w:type="dxa"/>
          <w:left w:w="115" w:type="dxa"/>
          <w:bottom w:w="0" w:type="dxa"/>
          <w:right w:w="115" w:type="dxa"/>
        </w:tblCellMar>
      </w:tblPr>
      <w:tblGrid>
        <w:gridCol w:w="1560"/>
        <w:gridCol w:w="2694"/>
        <w:gridCol w:w="850"/>
        <w:gridCol w:w="10348"/>
        <w:gridCol w:w="1417"/>
      </w:tblGrid>
      <w:tr w14:paraId="227069F4">
        <w:tblPrEx>
          <w:tblCellMar>
            <w:top w:w="0" w:type="dxa"/>
            <w:left w:w="115" w:type="dxa"/>
            <w:bottom w:w="0" w:type="dxa"/>
            <w:right w:w="115" w:type="dxa"/>
          </w:tblCellMar>
        </w:tblPrEx>
        <w:trPr>
          <w:trHeight w:val="276" w:hRule="atLeast"/>
        </w:trPr>
        <w:tc>
          <w:tcPr>
            <w:tcW w:w="1560" w:type="dxa"/>
          </w:tcPr>
          <w:p w14:paraId="4B0B6E89">
            <w:pPr>
              <w:pStyle w:val="36"/>
              <w:autoSpaceDE w:val="0"/>
              <w:autoSpaceDN w:val="0"/>
              <w:adjustRightInd w:val="0"/>
              <w:rPr>
                <w:color w:val="333333"/>
                <w:szCs w:val="24"/>
                <w:lang w:val="en-US" w:eastAsia="en-GB"/>
              </w:rPr>
            </w:pPr>
          </w:p>
        </w:tc>
        <w:tc>
          <w:tcPr>
            <w:tcW w:w="2694" w:type="dxa"/>
            <w:tcBorders>
              <w:top w:val="single" w:color="auto" w:sz="4" w:space="0"/>
              <w:bottom w:val="single" w:color="auto" w:sz="4" w:space="0"/>
            </w:tcBorders>
          </w:tcPr>
          <w:p w14:paraId="2E09ECA9">
            <w:pPr>
              <w:pStyle w:val="36"/>
              <w:autoSpaceDE w:val="0"/>
              <w:autoSpaceDN w:val="0"/>
              <w:adjustRightInd w:val="0"/>
              <w:rPr>
                <w:rFonts w:ascii="Calibri" w:hAnsi="Calibri" w:cs="Calibri"/>
                <w:color w:val="000000"/>
                <w:sz w:val="22"/>
                <w:szCs w:val="22"/>
                <w:lang w:val="en-US" w:eastAsia="en-GB"/>
              </w:rPr>
            </w:pPr>
            <w:r>
              <w:rPr>
                <w:color w:val="333333"/>
                <w:szCs w:val="24"/>
                <w:lang w:val="en-US" w:eastAsia="en-GB"/>
              </w:rPr>
              <w:t>Section/topic</w:t>
            </w:r>
          </w:p>
        </w:tc>
        <w:tc>
          <w:tcPr>
            <w:tcW w:w="850" w:type="dxa"/>
            <w:tcBorders>
              <w:top w:val="single" w:color="auto" w:sz="4" w:space="0"/>
              <w:bottom w:val="single" w:color="auto" w:sz="4" w:space="0"/>
            </w:tcBorders>
          </w:tcPr>
          <w:p w14:paraId="4DC8CBC9">
            <w:pPr>
              <w:pStyle w:val="36"/>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No</w:t>
            </w:r>
          </w:p>
        </w:tc>
        <w:tc>
          <w:tcPr>
            <w:tcW w:w="10348" w:type="dxa"/>
            <w:tcBorders>
              <w:top w:val="single" w:color="auto" w:sz="4" w:space="0"/>
              <w:bottom w:val="single" w:color="auto" w:sz="4" w:space="0"/>
            </w:tcBorders>
          </w:tcPr>
          <w:p w14:paraId="2B3EC74C">
            <w:pPr>
              <w:pStyle w:val="36"/>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CONSORT 2025 checklist item description</w:t>
            </w:r>
          </w:p>
        </w:tc>
        <w:tc>
          <w:tcPr>
            <w:tcW w:w="1417" w:type="dxa"/>
            <w:tcBorders>
              <w:top w:val="single" w:color="auto" w:sz="4" w:space="0"/>
              <w:bottom w:val="single" w:color="auto" w:sz="4" w:space="0"/>
            </w:tcBorders>
          </w:tcPr>
          <w:p w14:paraId="371D89BB">
            <w:pPr>
              <w:pStyle w:val="36"/>
              <w:autoSpaceDE w:val="0"/>
              <w:autoSpaceDN w:val="0"/>
              <w:adjustRightInd w:val="0"/>
              <w:jc w:val="center"/>
              <w:rPr>
                <w:color w:val="333333"/>
                <w:szCs w:val="24"/>
                <w:lang w:val="en-US" w:eastAsia="en-GB"/>
              </w:rPr>
            </w:pPr>
            <w:r>
              <w:rPr>
                <w:color w:val="333333"/>
                <w:szCs w:val="24"/>
                <w:lang w:val="en-US" w:eastAsia="en-GB"/>
              </w:rPr>
              <w:t>Reported on page no.</w:t>
            </w:r>
          </w:p>
        </w:tc>
      </w:tr>
      <w:tr w14:paraId="2FC73CAB">
        <w:tblPrEx>
          <w:tblCellMar>
            <w:top w:w="0" w:type="dxa"/>
            <w:left w:w="115" w:type="dxa"/>
            <w:bottom w:w="0" w:type="dxa"/>
            <w:right w:w="115" w:type="dxa"/>
          </w:tblCellMar>
        </w:tblPrEx>
        <w:trPr>
          <w:trHeight w:val="268" w:hRule="atLeast"/>
        </w:trPr>
        <w:tc>
          <w:tcPr>
            <w:tcW w:w="1560" w:type="dxa"/>
          </w:tcPr>
          <w:p w14:paraId="58165623">
            <w:pPr>
              <w:pStyle w:val="35"/>
              <w:autoSpaceDE w:val="0"/>
              <w:autoSpaceDN w:val="0"/>
              <w:adjustRightInd w:val="0"/>
              <w:rPr>
                <w:b/>
                <w:color w:val="333333"/>
                <w:szCs w:val="24"/>
                <w:lang w:val="en-US" w:eastAsia="en-GB"/>
              </w:rPr>
            </w:pPr>
          </w:p>
        </w:tc>
        <w:tc>
          <w:tcPr>
            <w:tcW w:w="13892" w:type="dxa"/>
            <w:gridSpan w:val="3"/>
            <w:tcBorders>
              <w:top w:val="single" w:color="auto" w:sz="4" w:space="0"/>
            </w:tcBorders>
          </w:tcPr>
          <w:p w14:paraId="4D9D8A16">
            <w:pPr>
              <w:pStyle w:val="35"/>
              <w:autoSpaceDE w:val="0"/>
              <w:autoSpaceDN w:val="0"/>
              <w:adjustRightInd w:val="0"/>
              <w:rPr>
                <w:rFonts w:ascii="Calibri" w:hAnsi="Calibri" w:cs="Calibri"/>
                <w:b/>
                <w:color w:val="000000"/>
                <w:sz w:val="22"/>
                <w:szCs w:val="22"/>
                <w:lang w:val="en-US" w:eastAsia="en-GB"/>
              </w:rPr>
            </w:pPr>
            <w:r>
              <w:rPr>
                <w:b/>
                <w:color w:val="333333"/>
                <w:szCs w:val="24"/>
                <w:lang w:val="en-US" w:eastAsia="en-GB"/>
              </w:rPr>
              <w:t>Title and abstract</w:t>
            </w:r>
          </w:p>
        </w:tc>
        <w:tc>
          <w:tcPr>
            <w:tcW w:w="1417" w:type="dxa"/>
            <w:tcBorders>
              <w:top w:val="single" w:color="auto" w:sz="4" w:space="0"/>
            </w:tcBorders>
          </w:tcPr>
          <w:p w14:paraId="5379285D">
            <w:pPr>
              <w:pStyle w:val="35"/>
              <w:autoSpaceDE w:val="0"/>
              <w:autoSpaceDN w:val="0"/>
              <w:adjustRightInd w:val="0"/>
              <w:rPr>
                <w:rFonts w:hint="eastAsia" w:eastAsia="宋体"/>
                <w:b/>
                <w:color w:val="333333"/>
                <w:szCs w:val="24"/>
                <w:lang w:val="en-US" w:eastAsia="zh-CN"/>
              </w:rPr>
            </w:pPr>
          </w:p>
        </w:tc>
      </w:tr>
      <w:tr w14:paraId="516F4C9C">
        <w:tblPrEx>
          <w:tblCellMar>
            <w:top w:w="0" w:type="dxa"/>
            <w:left w:w="115" w:type="dxa"/>
            <w:bottom w:w="0" w:type="dxa"/>
            <w:right w:w="115" w:type="dxa"/>
          </w:tblCellMar>
        </w:tblPrEx>
        <w:trPr>
          <w:trHeight w:val="276" w:hRule="atLeast"/>
        </w:trPr>
        <w:tc>
          <w:tcPr>
            <w:tcW w:w="1560" w:type="dxa"/>
          </w:tcPr>
          <w:p w14:paraId="72FB83DB">
            <w:pPr>
              <w:pStyle w:val="35"/>
              <w:autoSpaceDE w:val="0"/>
              <w:autoSpaceDN w:val="0"/>
              <w:adjustRightInd w:val="0"/>
              <w:rPr>
                <w:color w:val="333333"/>
                <w:szCs w:val="24"/>
                <w:lang w:val="en-US" w:eastAsia="en-GB"/>
              </w:rPr>
            </w:pPr>
          </w:p>
        </w:tc>
        <w:tc>
          <w:tcPr>
            <w:tcW w:w="2694" w:type="dxa"/>
            <w:vMerge w:val="restart"/>
          </w:tcPr>
          <w:p w14:paraId="096F3B53">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Title and structured abstract</w:t>
            </w:r>
          </w:p>
        </w:tc>
        <w:tc>
          <w:tcPr>
            <w:tcW w:w="850" w:type="dxa"/>
          </w:tcPr>
          <w:p w14:paraId="0B439268">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1a</w:t>
            </w:r>
          </w:p>
        </w:tc>
        <w:tc>
          <w:tcPr>
            <w:tcW w:w="10348" w:type="dxa"/>
          </w:tcPr>
          <w:p w14:paraId="3A545C8C">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Identification as a randomised trial</w:t>
            </w:r>
          </w:p>
        </w:tc>
        <w:tc>
          <w:tcPr>
            <w:tcW w:w="1417" w:type="dxa"/>
            <w:tcBorders>
              <w:bottom w:val="single" w:color="auto" w:sz="4" w:space="0"/>
            </w:tcBorders>
          </w:tcPr>
          <w:p w14:paraId="41C316C9">
            <w:pPr>
              <w:pStyle w:val="35"/>
              <w:autoSpaceDE w:val="0"/>
              <w:autoSpaceDN w:val="0"/>
              <w:adjustRightInd w:val="0"/>
              <w:rPr>
                <w:rFonts w:hint="eastAsia" w:eastAsia="宋体"/>
                <w:color w:val="333333"/>
                <w:szCs w:val="24"/>
                <w:lang w:val="en-US" w:eastAsia="zh-CN"/>
              </w:rPr>
            </w:pPr>
            <w:r>
              <w:rPr>
                <w:rFonts w:hint="eastAsia" w:eastAsia="宋体"/>
                <w:color w:val="333333"/>
                <w:szCs w:val="24"/>
                <w:lang w:val="en-US" w:eastAsia="zh-CN"/>
              </w:rPr>
              <w:t>1</w:t>
            </w:r>
          </w:p>
        </w:tc>
      </w:tr>
      <w:tr w14:paraId="34F5E981">
        <w:tblPrEx>
          <w:tblCellMar>
            <w:top w:w="0" w:type="dxa"/>
            <w:left w:w="115" w:type="dxa"/>
            <w:bottom w:w="0" w:type="dxa"/>
            <w:right w:w="115" w:type="dxa"/>
          </w:tblCellMar>
        </w:tblPrEx>
        <w:trPr>
          <w:trHeight w:val="47" w:hRule="atLeast"/>
        </w:trPr>
        <w:tc>
          <w:tcPr>
            <w:tcW w:w="1560" w:type="dxa"/>
          </w:tcPr>
          <w:p w14:paraId="7B4DDADC">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35DAF023">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2B3B4509">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1b</w:t>
            </w:r>
          </w:p>
        </w:tc>
        <w:tc>
          <w:tcPr>
            <w:tcW w:w="10348" w:type="dxa"/>
          </w:tcPr>
          <w:p w14:paraId="1BD42757">
            <w:pPr>
              <w:pStyle w:val="35"/>
              <w:autoSpaceDE w:val="0"/>
              <w:autoSpaceDN w:val="0"/>
              <w:adjustRightInd w:val="0"/>
              <w:rPr>
                <w:rFonts w:ascii="Calibri" w:hAnsi="Calibri" w:cs="Calibri"/>
                <w:color w:val="000000"/>
                <w:sz w:val="22"/>
                <w:szCs w:val="22"/>
                <w:lang w:val="en-US" w:eastAsia="en-GB"/>
              </w:rPr>
            </w:pPr>
            <w:r>
              <w:rPr>
                <w:color w:val="333333"/>
                <w:szCs w:val="24"/>
                <w:highlight w:val="none"/>
                <w:lang w:val="en-US" w:eastAsia="en-GB"/>
              </w:rPr>
              <w:t>Structured summary of the trial design, methods, results, and conclusions</w:t>
            </w:r>
          </w:p>
        </w:tc>
        <w:tc>
          <w:tcPr>
            <w:tcW w:w="1417" w:type="dxa"/>
            <w:tcBorders>
              <w:top w:val="single" w:color="auto" w:sz="4" w:space="0"/>
              <w:bottom w:val="single" w:color="auto" w:sz="4" w:space="0"/>
            </w:tcBorders>
          </w:tcPr>
          <w:p w14:paraId="6B71E535">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2-3</w:t>
            </w:r>
          </w:p>
        </w:tc>
      </w:tr>
      <w:tr w14:paraId="37242249">
        <w:tblPrEx>
          <w:tblCellMar>
            <w:top w:w="0" w:type="dxa"/>
            <w:left w:w="115" w:type="dxa"/>
            <w:bottom w:w="0" w:type="dxa"/>
            <w:right w:w="115" w:type="dxa"/>
          </w:tblCellMar>
        </w:tblPrEx>
        <w:trPr>
          <w:trHeight w:val="276" w:hRule="atLeast"/>
        </w:trPr>
        <w:tc>
          <w:tcPr>
            <w:tcW w:w="1560" w:type="dxa"/>
          </w:tcPr>
          <w:p w14:paraId="3DE8FC79">
            <w:pPr>
              <w:pStyle w:val="35"/>
              <w:autoSpaceDE w:val="0"/>
              <w:autoSpaceDN w:val="0"/>
              <w:adjustRightInd w:val="0"/>
              <w:rPr>
                <w:b/>
                <w:color w:val="333333"/>
                <w:szCs w:val="24"/>
                <w:lang w:val="en-US" w:eastAsia="en-GB"/>
              </w:rPr>
            </w:pPr>
          </w:p>
        </w:tc>
        <w:tc>
          <w:tcPr>
            <w:tcW w:w="13892" w:type="dxa"/>
            <w:gridSpan w:val="3"/>
          </w:tcPr>
          <w:p w14:paraId="590BDCD8">
            <w:pPr>
              <w:pStyle w:val="35"/>
              <w:autoSpaceDE w:val="0"/>
              <w:autoSpaceDN w:val="0"/>
              <w:adjustRightInd w:val="0"/>
              <w:rPr>
                <w:rFonts w:ascii="Calibri" w:hAnsi="Calibri" w:cs="Calibri"/>
                <w:b/>
                <w:color w:val="000000"/>
                <w:sz w:val="22"/>
                <w:szCs w:val="22"/>
                <w:lang w:val="en-US" w:eastAsia="en-GB"/>
              </w:rPr>
            </w:pPr>
            <w:r>
              <w:rPr>
                <w:b/>
                <w:color w:val="333333"/>
                <w:szCs w:val="24"/>
                <w:lang w:val="en-US" w:eastAsia="en-GB"/>
              </w:rPr>
              <w:t>Open science</w:t>
            </w:r>
          </w:p>
        </w:tc>
        <w:tc>
          <w:tcPr>
            <w:tcW w:w="1417" w:type="dxa"/>
            <w:tcBorders>
              <w:top w:val="single" w:color="auto" w:sz="4" w:space="0"/>
            </w:tcBorders>
          </w:tcPr>
          <w:p w14:paraId="58A20F68">
            <w:pPr>
              <w:pStyle w:val="35"/>
              <w:autoSpaceDE w:val="0"/>
              <w:autoSpaceDN w:val="0"/>
              <w:adjustRightInd w:val="0"/>
              <w:rPr>
                <w:b/>
                <w:color w:val="333333"/>
                <w:szCs w:val="24"/>
                <w:lang w:val="en-US" w:eastAsia="en-GB"/>
              </w:rPr>
            </w:pPr>
          </w:p>
        </w:tc>
      </w:tr>
      <w:tr w14:paraId="15DB139F">
        <w:tblPrEx>
          <w:tblCellMar>
            <w:top w:w="0" w:type="dxa"/>
            <w:left w:w="115" w:type="dxa"/>
            <w:bottom w:w="0" w:type="dxa"/>
            <w:right w:w="115" w:type="dxa"/>
          </w:tblCellMar>
        </w:tblPrEx>
        <w:trPr>
          <w:trHeight w:val="272" w:hRule="atLeast"/>
        </w:trPr>
        <w:tc>
          <w:tcPr>
            <w:tcW w:w="1560" w:type="dxa"/>
          </w:tcPr>
          <w:p w14:paraId="2FFBF68B">
            <w:pPr>
              <w:pStyle w:val="35"/>
              <w:autoSpaceDE w:val="0"/>
              <w:autoSpaceDN w:val="0"/>
              <w:adjustRightInd w:val="0"/>
              <w:rPr>
                <w:color w:val="333333"/>
                <w:szCs w:val="24"/>
                <w:lang w:val="en-US" w:eastAsia="en-GB"/>
              </w:rPr>
            </w:pPr>
          </w:p>
        </w:tc>
        <w:tc>
          <w:tcPr>
            <w:tcW w:w="2694" w:type="dxa"/>
          </w:tcPr>
          <w:p w14:paraId="00441FDE">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Trial registration</w:t>
            </w:r>
          </w:p>
        </w:tc>
        <w:tc>
          <w:tcPr>
            <w:tcW w:w="850" w:type="dxa"/>
          </w:tcPr>
          <w:p w14:paraId="508736DA">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w:t>
            </w:r>
          </w:p>
        </w:tc>
        <w:tc>
          <w:tcPr>
            <w:tcW w:w="10348" w:type="dxa"/>
          </w:tcPr>
          <w:p w14:paraId="6E5033AB">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Name of trial registry, identifying number (with URL) and date of registration</w:t>
            </w:r>
          </w:p>
        </w:tc>
        <w:tc>
          <w:tcPr>
            <w:tcW w:w="1417" w:type="dxa"/>
            <w:tcBorders>
              <w:bottom w:val="single" w:color="auto" w:sz="4" w:space="0"/>
            </w:tcBorders>
          </w:tcPr>
          <w:p w14:paraId="1E73EF33">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3</w:t>
            </w:r>
          </w:p>
        </w:tc>
      </w:tr>
      <w:tr w14:paraId="31B48C7D">
        <w:tblPrEx>
          <w:tblCellMar>
            <w:top w:w="0" w:type="dxa"/>
            <w:left w:w="115" w:type="dxa"/>
            <w:bottom w:w="0" w:type="dxa"/>
            <w:right w:w="115" w:type="dxa"/>
          </w:tblCellMar>
        </w:tblPrEx>
        <w:trPr>
          <w:trHeight w:val="272" w:hRule="atLeast"/>
        </w:trPr>
        <w:tc>
          <w:tcPr>
            <w:tcW w:w="1560" w:type="dxa"/>
          </w:tcPr>
          <w:p w14:paraId="2E5A766C">
            <w:pPr>
              <w:pStyle w:val="35"/>
              <w:autoSpaceDE w:val="0"/>
              <w:autoSpaceDN w:val="0"/>
              <w:adjustRightInd w:val="0"/>
              <w:rPr>
                <w:color w:val="333333"/>
                <w:szCs w:val="24"/>
                <w:lang w:val="en-US" w:eastAsia="en-GB"/>
              </w:rPr>
            </w:pPr>
          </w:p>
        </w:tc>
        <w:tc>
          <w:tcPr>
            <w:tcW w:w="2694" w:type="dxa"/>
          </w:tcPr>
          <w:p w14:paraId="108C6ED7">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Protocol and statistical analysis plan</w:t>
            </w:r>
          </w:p>
        </w:tc>
        <w:tc>
          <w:tcPr>
            <w:tcW w:w="850" w:type="dxa"/>
          </w:tcPr>
          <w:p w14:paraId="7684EACB">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3</w:t>
            </w:r>
          </w:p>
        </w:tc>
        <w:tc>
          <w:tcPr>
            <w:tcW w:w="10348" w:type="dxa"/>
          </w:tcPr>
          <w:p w14:paraId="643072E4">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Where the trial protocol and statistical analysis plan can be accessed</w:t>
            </w:r>
          </w:p>
        </w:tc>
        <w:tc>
          <w:tcPr>
            <w:tcW w:w="1417" w:type="dxa"/>
            <w:tcBorders>
              <w:top w:val="single" w:color="auto" w:sz="4" w:space="0"/>
              <w:bottom w:val="single" w:color="auto" w:sz="4" w:space="0"/>
            </w:tcBorders>
          </w:tcPr>
          <w:p w14:paraId="4784BC56">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3</w:t>
            </w:r>
          </w:p>
        </w:tc>
      </w:tr>
      <w:tr w14:paraId="4E1B2A1C">
        <w:tblPrEx>
          <w:tblCellMar>
            <w:top w:w="0" w:type="dxa"/>
            <w:left w:w="115" w:type="dxa"/>
            <w:bottom w:w="0" w:type="dxa"/>
            <w:right w:w="115" w:type="dxa"/>
          </w:tblCellMar>
        </w:tblPrEx>
        <w:trPr>
          <w:trHeight w:val="272" w:hRule="atLeast"/>
        </w:trPr>
        <w:tc>
          <w:tcPr>
            <w:tcW w:w="1560" w:type="dxa"/>
          </w:tcPr>
          <w:p w14:paraId="7725CE79">
            <w:pPr>
              <w:pStyle w:val="35"/>
              <w:autoSpaceDE w:val="0"/>
              <w:autoSpaceDN w:val="0"/>
              <w:adjustRightInd w:val="0"/>
              <w:rPr>
                <w:color w:val="333333"/>
                <w:szCs w:val="24"/>
                <w:lang w:val="en-US" w:eastAsia="en-GB"/>
              </w:rPr>
            </w:pPr>
          </w:p>
        </w:tc>
        <w:tc>
          <w:tcPr>
            <w:tcW w:w="2694" w:type="dxa"/>
          </w:tcPr>
          <w:p w14:paraId="767E7451">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Data sharing</w:t>
            </w:r>
          </w:p>
        </w:tc>
        <w:tc>
          <w:tcPr>
            <w:tcW w:w="850" w:type="dxa"/>
          </w:tcPr>
          <w:p w14:paraId="6C41509E">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4</w:t>
            </w:r>
          </w:p>
        </w:tc>
        <w:tc>
          <w:tcPr>
            <w:tcW w:w="10348" w:type="dxa"/>
          </w:tcPr>
          <w:p w14:paraId="20BEADB8">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Where and how the individual de-identified participant data (including data dictionary), statistical code and any other materials can be accessed</w:t>
            </w:r>
          </w:p>
        </w:tc>
        <w:tc>
          <w:tcPr>
            <w:tcW w:w="1417" w:type="dxa"/>
            <w:tcBorders>
              <w:top w:val="single" w:color="auto" w:sz="4" w:space="0"/>
              <w:bottom w:val="single" w:color="auto" w:sz="4" w:space="0"/>
            </w:tcBorders>
          </w:tcPr>
          <w:p w14:paraId="31BD024F">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23</w:t>
            </w:r>
          </w:p>
        </w:tc>
      </w:tr>
      <w:tr w14:paraId="4BCC1AC8">
        <w:tblPrEx>
          <w:tblCellMar>
            <w:top w:w="0" w:type="dxa"/>
            <w:left w:w="115" w:type="dxa"/>
            <w:bottom w:w="0" w:type="dxa"/>
            <w:right w:w="115" w:type="dxa"/>
          </w:tblCellMar>
        </w:tblPrEx>
        <w:trPr>
          <w:trHeight w:val="272" w:hRule="atLeast"/>
        </w:trPr>
        <w:tc>
          <w:tcPr>
            <w:tcW w:w="1560" w:type="dxa"/>
          </w:tcPr>
          <w:p w14:paraId="3DA8BDD4">
            <w:pPr>
              <w:pStyle w:val="35"/>
              <w:autoSpaceDE w:val="0"/>
              <w:autoSpaceDN w:val="0"/>
              <w:adjustRightInd w:val="0"/>
              <w:rPr>
                <w:color w:val="333333"/>
                <w:szCs w:val="24"/>
                <w:lang w:val="en-US" w:eastAsia="en-GB"/>
              </w:rPr>
            </w:pPr>
          </w:p>
        </w:tc>
        <w:tc>
          <w:tcPr>
            <w:tcW w:w="2694" w:type="dxa"/>
            <w:vMerge w:val="restart"/>
          </w:tcPr>
          <w:p w14:paraId="032B4BD8">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Funding and conflicts of interest</w:t>
            </w:r>
          </w:p>
        </w:tc>
        <w:tc>
          <w:tcPr>
            <w:tcW w:w="850" w:type="dxa"/>
          </w:tcPr>
          <w:p w14:paraId="2F093E83">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5a</w:t>
            </w:r>
          </w:p>
        </w:tc>
        <w:tc>
          <w:tcPr>
            <w:tcW w:w="10348" w:type="dxa"/>
          </w:tcPr>
          <w:p w14:paraId="10B00568">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Sources of funding and other support (eg, supply of drugs), and role of funders in the design, conduct, analysis and reporting of the trial</w:t>
            </w:r>
          </w:p>
        </w:tc>
        <w:tc>
          <w:tcPr>
            <w:tcW w:w="1417" w:type="dxa"/>
            <w:tcBorders>
              <w:top w:val="single" w:color="auto" w:sz="4" w:space="0"/>
              <w:bottom w:val="single" w:color="auto" w:sz="4" w:space="0"/>
            </w:tcBorders>
          </w:tcPr>
          <w:p w14:paraId="2FA1C9C5">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23</w:t>
            </w:r>
          </w:p>
        </w:tc>
      </w:tr>
      <w:tr w14:paraId="682C303D">
        <w:tblPrEx>
          <w:tblCellMar>
            <w:top w:w="0" w:type="dxa"/>
            <w:left w:w="115" w:type="dxa"/>
            <w:bottom w:w="0" w:type="dxa"/>
            <w:right w:w="115" w:type="dxa"/>
          </w:tblCellMar>
        </w:tblPrEx>
        <w:trPr>
          <w:trHeight w:val="272" w:hRule="atLeast"/>
        </w:trPr>
        <w:tc>
          <w:tcPr>
            <w:tcW w:w="1560" w:type="dxa"/>
          </w:tcPr>
          <w:p w14:paraId="1B0A4C1E">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702C46BE">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6DA2C9ED">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5b</w:t>
            </w:r>
          </w:p>
        </w:tc>
        <w:tc>
          <w:tcPr>
            <w:tcW w:w="10348" w:type="dxa"/>
          </w:tcPr>
          <w:p w14:paraId="19298050">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Financial and other conflicts of interest of the manuscript authors</w:t>
            </w:r>
          </w:p>
        </w:tc>
        <w:tc>
          <w:tcPr>
            <w:tcW w:w="1417" w:type="dxa"/>
            <w:tcBorders>
              <w:top w:val="single" w:color="auto" w:sz="4" w:space="0"/>
              <w:bottom w:val="single" w:color="auto" w:sz="4" w:space="0"/>
            </w:tcBorders>
          </w:tcPr>
          <w:p w14:paraId="0D5251A5">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23</w:t>
            </w:r>
          </w:p>
        </w:tc>
      </w:tr>
      <w:tr w14:paraId="7038E3A9">
        <w:tblPrEx>
          <w:tblCellMar>
            <w:top w:w="0" w:type="dxa"/>
            <w:left w:w="115" w:type="dxa"/>
            <w:bottom w:w="0" w:type="dxa"/>
            <w:right w:w="115" w:type="dxa"/>
          </w:tblCellMar>
        </w:tblPrEx>
        <w:trPr>
          <w:trHeight w:val="276" w:hRule="atLeast"/>
        </w:trPr>
        <w:tc>
          <w:tcPr>
            <w:tcW w:w="1560" w:type="dxa"/>
          </w:tcPr>
          <w:p w14:paraId="09D7E971">
            <w:pPr>
              <w:pStyle w:val="35"/>
              <w:autoSpaceDE w:val="0"/>
              <w:autoSpaceDN w:val="0"/>
              <w:adjustRightInd w:val="0"/>
              <w:rPr>
                <w:b/>
                <w:color w:val="333333"/>
                <w:szCs w:val="24"/>
                <w:lang w:val="en-US" w:eastAsia="en-GB"/>
              </w:rPr>
            </w:pPr>
          </w:p>
        </w:tc>
        <w:tc>
          <w:tcPr>
            <w:tcW w:w="13892" w:type="dxa"/>
            <w:gridSpan w:val="3"/>
          </w:tcPr>
          <w:p w14:paraId="02437053">
            <w:pPr>
              <w:pStyle w:val="35"/>
              <w:autoSpaceDE w:val="0"/>
              <w:autoSpaceDN w:val="0"/>
              <w:adjustRightInd w:val="0"/>
              <w:rPr>
                <w:rFonts w:ascii="Calibri" w:hAnsi="Calibri" w:cs="Calibri"/>
                <w:b/>
                <w:color w:val="000000"/>
                <w:sz w:val="22"/>
                <w:szCs w:val="22"/>
                <w:lang w:val="en-US" w:eastAsia="en-GB"/>
              </w:rPr>
            </w:pPr>
            <w:r>
              <w:rPr>
                <w:b/>
                <w:color w:val="333333"/>
                <w:szCs w:val="24"/>
                <w:lang w:val="en-US" w:eastAsia="en-GB"/>
              </w:rPr>
              <w:t>Introduction</w:t>
            </w:r>
          </w:p>
        </w:tc>
        <w:tc>
          <w:tcPr>
            <w:tcW w:w="1417" w:type="dxa"/>
            <w:tcBorders>
              <w:top w:val="single" w:color="auto" w:sz="4" w:space="0"/>
            </w:tcBorders>
          </w:tcPr>
          <w:p w14:paraId="30520C8B">
            <w:pPr>
              <w:pStyle w:val="35"/>
              <w:autoSpaceDE w:val="0"/>
              <w:autoSpaceDN w:val="0"/>
              <w:adjustRightInd w:val="0"/>
              <w:rPr>
                <w:b/>
                <w:color w:val="333333"/>
                <w:szCs w:val="24"/>
                <w:lang w:val="en-US" w:eastAsia="en-GB"/>
              </w:rPr>
            </w:pPr>
          </w:p>
        </w:tc>
      </w:tr>
      <w:tr w14:paraId="2FAA4B6E">
        <w:tblPrEx>
          <w:tblCellMar>
            <w:top w:w="0" w:type="dxa"/>
            <w:left w:w="115" w:type="dxa"/>
            <w:bottom w:w="0" w:type="dxa"/>
            <w:right w:w="115" w:type="dxa"/>
          </w:tblCellMar>
        </w:tblPrEx>
        <w:trPr>
          <w:trHeight w:val="271" w:hRule="atLeast"/>
        </w:trPr>
        <w:tc>
          <w:tcPr>
            <w:tcW w:w="1560" w:type="dxa"/>
          </w:tcPr>
          <w:p w14:paraId="56503720">
            <w:pPr>
              <w:pStyle w:val="35"/>
              <w:autoSpaceDE w:val="0"/>
              <w:autoSpaceDN w:val="0"/>
              <w:adjustRightInd w:val="0"/>
              <w:rPr>
                <w:color w:val="333333"/>
                <w:szCs w:val="24"/>
                <w:lang w:val="en-US" w:eastAsia="en-GB"/>
              </w:rPr>
            </w:pPr>
          </w:p>
        </w:tc>
        <w:tc>
          <w:tcPr>
            <w:tcW w:w="2694" w:type="dxa"/>
          </w:tcPr>
          <w:p w14:paraId="5182BD7C">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Background and rationale</w:t>
            </w:r>
          </w:p>
        </w:tc>
        <w:tc>
          <w:tcPr>
            <w:tcW w:w="850" w:type="dxa"/>
          </w:tcPr>
          <w:p w14:paraId="1FAC2EF7">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6</w:t>
            </w:r>
          </w:p>
        </w:tc>
        <w:tc>
          <w:tcPr>
            <w:tcW w:w="10348" w:type="dxa"/>
          </w:tcPr>
          <w:p w14:paraId="2B92894E">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Scientific background and rationale</w:t>
            </w:r>
          </w:p>
        </w:tc>
        <w:tc>
          <w:tcPr>
            <w:tcW w:w="1417" w:type="dxa"/>
            <w:tcBorders>
              <w:bottom w:val="single" w:color="auto" w:sz="4" w:space="0"/>
            </w:tcBorders>
          </w:tcPr>
          <w:p w14:paraId="6D6017B0">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4-5</w:t>
            </w:r>
          </w:p>
        </w:tc>
      </w:tr>
      <w:tr w14:paraId="78EFFCFC">
        <w:tblPrEx>
          <w:tblCellMar>
            <w:top w:w="0" w:type="dxa"/>
            <w:left w:w="115" w:type="dxa"/>
            <w:bottom w:w="0" w:type="dxa"/>
            <w:right w:w="115" w:type="dxa"/>
          </w:tblCellMar>
        </w:tblPrEx>
        <w:trPr>
          <w:trHeight w:val="276" w:hRule="atLeast"/>
        </w:trPr>
        <w:tc>
          <w:tcPr>
            <w:tcW w:w="1560" w:type="dxa"/>
          </w:tcPr>
          <w:p w14:paraId="15230C56">
            <w:pPr>
              <w:pStyle w:val="35"/>
              <w:autoSpaceDE w:val="0"/>
              <w:autoSpaceDN w:val="0"/>
              <w:adjustRightInd w:val="0"/>
              <w:rPr>
                <w:color w:val="333333"/>
                <w:szCs w:val="24"/>
                <w:lang w:val="en-US" w:eastAsia="en-GB"/>
              </w:rPr>
            </w:pPr>
          </w:p>
        </w:tc>
        <w:tc>
          <w:tcPr>
            <w:tcW w:w="2694" w:type="dxa"/>
            <w:vAlign w:val="center"/>
          </w:tcPr>
          <w:p w14:paraId="331C897D">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Objectives</w:t>
            </w:r>
          </w:p>
        </w:tc>
        <w:tc>
          <w:tcPr>
            <w:tcW w:w="850" w:type="dxa"/>
          </w:tcPr>
          <w:p w14:paraId="68D341AC">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7</w:t>
            </w:r>
          </w:p>
        </w:tc>
        <w:tc>
          <w:tcPr>
            <w:tcW w:w="10348" w:type="dxa"/>
          </w:tcPr>
          <w:p w14:paraId="0B8B4558">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Specific objectives related to benefits and harms</w:t>
            </w:r>
          </w:p>
        </w:tc>
        <w:tc>
          <w:tcPr>
            <w:tcW w:w="1417" w:type="dxa"/>
            <w:tcBorders>
              <w:top w:val="single" w:color="auto" w:sz="4" w:space="0"/>
              <w:bottom w:val="single" w:color="auto" w:sz="4" w:space="0"/>
            </w:tcBorders>
          </w:tcPr>
          <w:p w14:paraId="48F0BE23">
            <w:pPr>
              <w:pStyle w:val="35"/>
              <w:autoSpaceDE w:val="0"/>
              <w:autoSpaceDN w:val="0"/>
              <w:adjustRightInd w:val="0"/>
              <w:rPr>
                <w:rFonts w:hint="eastAsia" w:eastAsia="宋体"/>
                <w:color w:val="333333"/>
                <w:szCs w:val="24"/>
                <w:lang w:val="en-US" w:eastAsia="zh-CN"/>
              </w:rPr>
            </w:pPr>
            <w:r>
              <w:rPr>
                <w:rFonts w:hint="eastAsia" w:eastAsia="宋体"/>
                <w:color w:val="333333"/>
                <w:szCs w:val="24"/>
                <w:lang w:val="en-US" w:eastAsia="zh-CN"/>
              </w:rPr>
              <w:t>5</w:t>
            </w:r>
          </w:p>
        </w:tc>
      </w:tr>
      <w:tr w14:paraId="281CCBEB">
        <w:tblPrEx>
          <w:tblCellMar>
            <w:top w:w="0" w:type="dxa"/>
            <w:left w:w="115" w:type="dxa"/>
            <w:bottom w:w="0" w:type="dxa"/>
            <w:right w:w="115" w:type="dxa"/>
          </w:tblCellMar>
        </w:tblPrEx>
        <w:trPr>
          <w:trHeight w:val="296" w:hRule="atLeast"/>
        </w:trPr>
        <w:tc>
          <w:tcPr>
            <w:tcW w:w="1560" w:type="dxa"/>
          </w:tcPr>
          <w:p w14:paraId="2EF82D69">
            <w:pPr>
              <w:pStyle w:val="35"/>
              <w:autoSpaceDE w:val="0"/>
              <w:autoSpaceDN w:val="0"/>
              <w:adjustRightInd w:val="0"/>
              <w:rPr>
                <w:b/>
                <w:color w:val="333333"/>
                <w:szCs w:val="24"/>
                <w:lang w:val="en-US" w:eastAsia="en-GB"/>
              </w:rPr>
            </w:pPr>
          </w:p>
        </w:tc>
        <w:tc>
          <w:tcPr>
            <w:tcW w:w="13892" w:type="dxa"/>
            <w:gridSpan w:val="3"/>
          </w:tcPr>
          <w:p w14:paraId="29C93C58">
            <w:pPr>
              <w:pStyle w:val="35"/>
              <w:autoSpaceDE w:val="0"/>
              <w:autoSpaceDN w:val="0"/>
              <w:adjustRightInd w:val="0"/>
              <w:rPr>
                <w:rFonts w:ascii="Calibri" w:hAnsi="Calibri" w:cs="Calibri"/>
                <w:b/>
                <w:color w:val="000000"/>
                <w:sz w:val="22"/>
                <w:szCs w:val="22"/>
                <w:lang w:val="en-US" w:eastAsia="en-GB"/>
              </w:rPr>
            </w:pPr>
            <w:r>
              <w:rPr>
                <w:b/>
                <w:color w:val="333333"/>
                <w:szCs w:val="24"/>
                <w:lang w:val="en-US" w:eastAsia="en-GB"/>
              </w:rPr>
              <w:t>Methods</w:t>
            </w:r>
          </w:p>
        </w:tc>
        <w:tc>
          <w:tcPr>
            <w:tcW w:w="1417" w:type="dxa"/>
            <w:tcBorders>
              <w:top w:val="single" w:color="auto" w:sz="4" w:space="0"/>
            </w:tcBorders>
          </w:tcPr>
          <w:p w14:paraId="65A98712">
            <w:pPr>
              <w:pStyle w:val="35"/>
              <w:autoSpaceDE w:val="0"/>
              <w:autoSpaceDN w:val="0"/>
              <w:adjustRightInd w:val="0"/>
              <w:rPr>
                <w:b/>
                <w:color w:val="333333"/>
                <w:szCs w:val="24"/>
                <w:lang w:val="en-US" w:eastAsia="en-GB"/>
              </w:rPr>
            </w:pPr>
          </w:p>
        </w:tc>
      </w:tr>
      <w:tr w14:paraId="1858F8DC">
        <w:tblPrEx>
          <w:tblCellMar>
            <w:top w:w="0" w:type="dxa"/>
            <w:left w:w="115" w:type="dxa"/>
            <w:bottom w:w="0" w:type="dxa"/>
            <w:right w:w="115" w:type="dxa"/>
          </w:tblCellMar>
        </w:tblPrEx>
        <w:trPr>
          <w:trHeight w:val="268" w:hRule="atLeast"/>
        </w:trPr>
        <w:tc>
          <w:tcPr>
            <w:tcW w:w="1560" w:type="dxa"/>
          </w:tcPr>
          <w:p w14:paraId="5CDBACD8">
            <w:pPr>
              <w:pStyle w:val="35"/>
              <w:autoSpaceDE w:val="0"/>
              <w:autoSpaceDN w:val="0"/>
              <w:adjustRightInd w:val="0"/>
              <w:rPr>
                <w:color w:val="333333"/>
                <w:szCs w:val="24"/>
                <w:lang w:val="en-US" w:eastAsia="en-GB"/>
              </w:rPr>
            </w:pPr>
          </w:p>
        </w:tc>
        <w:tc>
          <w:tcPr>
            <w:tcW w:w="2694" w:type="dxa"/>
          </w:tcPr>
          <w:p w14:paraId="73C7C8F0">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Patient and public involvement</w:t>
            </w:r>
          </w:p>
        </w:tc>
        <w:tc>
          <w:tcPr>
            <w:tcW w:w="850" w:type="dxa"/>
          </w:tcPr>
          <w:p w14:paraId="5274A5D5">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8</w:t>
            </w:r>
          </w:p>
        </w:tc>
        <w:tc>
          <w:tcPr>
            <w:tcW w:w="10348" w:type="dxa"/>
          </w:tcPr>
          <w:p w14:paraId="600AC5F4">
            <w:pPr>
              <w:pStyle w:val="35"/>
              <w:autoSpaceDE w:val="0"/>
              <w:autoSpaceDN w:val="0"/>
              <w:adjustRightInd w:val="0"/>
              <w:rPr>
                <w:rFonts w:ascii="Calibri" w:hAnsi="Calibri" w:cs="Calibri"/>
                <w:color w:val="000000"/>
                <w:sz w:val="22"/>
                <w:szCs w:val="22"/>
                <w:lang w:val="en-US" w:eastAsia="en-GB"/>
              </w:rPr>
            </w:pPr>
            <w:r>
              <w:rPr>
                <w:color w:val="333333"/>
                <w:szCs w:val="24"/>
                <w:highlight w:val="none"/>
                <w:lang w:val="en-US" w:eastAsia="en-GB"/>
              </w:rPr>
              <w:t>Details of patient or public involvement in the design, conduct and reporting of the trial</w:t>
            </w:r>
          </w:p>
        </w:tc>
        <w:tc>
          <w:tcPr>
            <w:tcW w:w="1417" w:type="dxa"/>
            <w:tcBorders>
              <w:bottom w:val="single" w:color="auto" w:sz="4" w:space="0"/>
            </w:tcBorders>
          </w:tcPr>
          <w:p w14:paraId="777C5A4A">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11</w:t>
            </w:r>
          </w:p>
        </w:tc>
      </w:tr>
      <w:tr w14:paraId="1B0AA934">
        <w:tblPrEx>
          <w:tblCellMar>
            <w:top w:w="0" w:type="dxa"/>
            <w:left w:w="115" w:type="dxa"/>
            <w:bottom w:w="0" w:type="dxa"/>
            <w:right w:w="115" w:type="dxa"/>
          </w:tblCellMar>
        </w:tblPrEx>
        <w:trPr>
          <w:trHeight w:val="268" w:hRule="atLeast"/>
        </w:trPr>
        <w:tc>
          <w:tcPr>
            <w:tcW w:w="1560" w:type="dxa"/>
          </w:tcPr>
          <w:p w14:paraId="1AD368CF">
            <w:pPr>
              <w:pStyle w:val="35"/>
              <w:autoSpaceDE w:val="0"/>
              <w:autoSpaceDN w:val="0"/>
              <w:adjustRightInd w:val="0"/>
              <w:rPr>
                <w:color w:val="333333"/>
                <w:szCs w:val="24"/>
                <w:lang w:val="en-US" w:eastAsia="en-GB"/>
              </w:rPr>
            </w:pPr>
          </w:p>
        </w:tc>
        <w:tc>
          <w:tcPr>
            <w:tcW w:w="2694" w:type="dxa"/>
          </w:tcPr>
          <w:p w14:paraId="284FD3E2">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Trial design</w:t>
            </w:r>
          </w:p>
        </w:tc>
        <w:tc>
          <w:tcPr>
            <w:tcW w:w="850" w:type="dxa"/>
          </w:tcPr>
          <w:p w14:paraId="19805547">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9</w:t>
            </w:r>
          </w:p>
        </w:tc>
        <w:tc>
          <w:tcPr>
            <w:tcW w:w="10348" w:type="dxa"/>
          </w:tcPr>
          <w:p w14:paraId="6B5445E7">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Description of trial design including type of trial (eg, parallel group, crossover), allocation ratio, and framework (eg, superiority, equivalence, non-inferiority, exploratory)</w:t>
            </w:r>
          </w:p>
        </w:tc>
        <w:tc>
          <w:tcPr>
            <w:tcW w:w="1417" w:type="dxa"/>
            <w:tcBorders>
              <w:top w:val="single" w:color="auto" w:sz="4" w:space="0"/>
              <w:bottom w:val="single" w:color="auto" w:sz="4" w:space="0"/>
            </w:tcBorders>
          </w:tcPr>
          <w:p w14:paraId="483E661F">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6-7</w:t>
            </w:r>
          </w:p>
        </w:tc>
      </w:tr>
      <w:tr w14:paraId="504060DC">
        <w:tblPrEx>
          <w:tblCellMar>
            <w:top w:w="0" w:type="dxa"/>
            <w:left w:w="115" w:type="dxa"/>
            <w:bottom w:w="0" w:type="dxa"/>
            <w:right w:w="115" w:type="dxa"/>
          </w:tblCellMar>
        </w:tblPrEx>
        <w:trPr>
          <w:trHeight w:val="214" w:hRule="atLeast"/>
        </w:trPr>
        <w:tc>
          <w:tcPr>
            <w:tcW w:w="1560" w:type="dxa"/>
          </w:tcPr>
          <w:p w14:paraId="34A42CEF">
            <w:pPr>
              <w:pStyle w:val="35"/>
              <w:autoSpaceDE w:val="0"/>
              <w:autoSpaceDN w:val="0"/>
              <w:adjustRightInd w:val="0"/>
              <w:rPr>
                <w:color w:val="333333"/>
                <w:szCs w:val="24"/>
                <w:lang w:val="en-US" w:eastAsia="en-GB"/>
              </w:rPr>
            </w:pPr>
          </w:p>
        </w:tc>
        <w:tc>
          <w:tcPr>
            <w:tcW w:w="2694" w:type="dxa"/>
          </w:tcPr>
          <w:p w14:paraId="0309F428">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Changes to trial protocol</w:t>
            </w:r>
          </w:p>
        </w:tc>
        <w:tc>
          <w:tcPr>
            <w:tcW w:w="850" w:type="dxa"/>
          </w:tcPr>
          <w:p w14:paraId="2FE841DA">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10</w:t>
            </w:r>
          </w:p>
        </w:tc>
        <w:tc>
          <w:tcPr>
            <w:tcW w:w="10348" w:type="dxa"/>
          </w:tcPr>
          <w:p w14:paraId="7C331F30">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Important changes to the trial after it commenced including any outcomes or analyses that were not prespecified, with reason</w:t>
            </w:r>
          </w:p>
        </w:tc>
        <w:tc>
          <w:tcPr>
            <w:tcW w:w="1417" w:type="dxa"/>
            <w:tcBorders>
              <w:top w:val="single" w:color="auto" w:sz="4" w:space="0"/>
              <w:bottom w:val="single" w:color="auto" w:sz="4" w:space="0"/>
            </w:tcBorders>
          </w:tcPr>
          <w:p w14:paraId="6BBA8553">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N/A</w:t>
            </w:r>
          </w:p>
        </w:tc>
      </w:tr>
      <w:tr w14:paraId="07CFBB74">
        <w:tblPrEx>
          <w:tblCellMar>
            <w:top w:w="0" w:type="dxa"/>
            <w:left w:w="115" w:type="dxa"/>
            <w:bottom w:w="0" w:type="dxa"/>
            <w:right w:w="115" w:type="dxa"/>
          </w:tblCellMar>
        </w:tblPrEx>
        <w:trPr>
          <w:trHeight w:val="96" w:hRule="atLeast"/>
        </w:trPr>
        <w:tc>
          <w:tcPr>
            <w:tcW w:w="1560" w:type="dxa"/>
          </w:tcPr>
          <w:p w14:paraId="0EE0828F">
            <w:pPr>
              <w:pStyle w:val="35"/>
              <w:autoSpaceDE w:val="0"/>
              <w:autoSpaceDN w:val="0"/>
              <w:adjustRightInd w:val="0"/>
              <w:rPr>
                <w:color w:val="333333"/>
                <w:szCs w:val="24"/>
                <w:lang w:val="en-US" w:eastAsia="en-GB"/>
              </w:rPr>
            </w:pPr>
          </w:p>
        </w:tc>
        <w:tc>
          <w:tcPr>
            <w:tcW w:w="2694" w:type="dxa"/>
          </w:tcPr>
          <w:p w14:paraId="50D0AB77">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Trial setting</w:t>
            </w:r>
          </w:p>
        </w:tc>
        <w:tc>
          <w:tcPr>
            <w:tcW w:w="850" w:type="dxa"/>
          </w:tcPr>
          <w:p w14:paraId="704EE25F">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11</w:t>
            </w:r>
          </w:p>
        </w:tc>
        <w:tc>
          <w:tcPr>
            <w:tcW w:w="10348" w:type="dxa"/>
          </w:tcPr>
          <w:p w14:paraId="1D4F572B">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Settings (eg, community, hospital) and locations (eg, countries, sites) where the trial was conducted</w:t>
            </w:r>
          </w:p>
        </w:tc>
        <w:tc>
          <w:tcPr>
            <w:tcW w:w="1417" w:type="dxa"/>
            <w:tcBorders>
              <w:top w:val="single" w:color="auto" w:sz="4" w:space="0"/>
              <w:bottom w:val="single" w:color="auto" w:sz="4" w:space="0"/>
            </w:tcBorders>
          </w:tcPr>
          <w:p w14:paraId="3C56EBEE">
            <w:pPr>
              <w:pStyle w:val="35"/>
              <w:autoSpaceDE w:val="0"/>
              <w:autoSpaceDN w:val="0"/>
              <w:adjustRightInd w:val="0"/>
              <w:rPr>
                <w:rFonts w:hint="eastAsia" w:eastAsia="宋体"/>
                <w:color w:val="333333"/>
                <w:szCs w:val="24"/>
                <w:lang w:val="en-US" w:eastAsia="zh-CN"/>
              </w:rPr>
            </w:pPr>
            <w:r>
              <w:rPr>
                <w:rFonts w:hint="eastAsia" w:eastAsia="宋体"/>
                <w:color w:val="333333"/>
                <w:szCs w:val="24"/>
                <w:lang w:val="en-US" w:eastAsia="zh-CN"/>
              </w:rPr>
              <w:t>5</w:t>
            </w:r>
          </w:p>
        </w:tc>
      </w:tr>
      <w:tr w14:paraId="63E60961">
        <w:tblPrEx>
          <w:tblCellMar>
            <w:top w:w="0" w:type="dxa"/>
            <w:left w:w="115" w:type="dxa"/>
            <w:bottom w:w="0" w:type="dxa"/>
            <w:right w:w="115" w:type="dxa"/>
          </w:tblCellMar>
        </w:tblPrEx>
        <w:trPr>
          <w:trHeight w:val="276" w:hRule="atLeast"/>
        </w:trPr>
        <w:tc>
          <w:tcPr>
            <w:tcW w:w="1560" w:type="dxa"/>
          </w:tcPr>
          <w:p w14:paraId="7483AC70">
            <w:pPr>
              <w:pStyle w:val="35"/>
              <w:autoSpaceDE w:val="0"/>
              <w:autoSpaceDN w:val="0"/>
              <w:adjustRightInd w:val="0"/>
              <w:rPr>
                <w:color w:val="333333"/>
                <w:szCs w:val="24"/>
                <w:lang w:val="en-US" w:eastAsia="en-GB"/>
              </w:rPr>
            </w:pPr>
          </w:p>
        </w:tc>
        <w:tc>
          <w:tcPr>
            <w:tcW w:w="2694" w:type="dxa"/>
            <w:vMerge w:val="restart"/>
          </w:tcPr>
          <w:p w14:paraId="475718C6">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Eligibility criteria</w:t>
            </w:r>
          </w:p>
        </w:tc>
        <w:tc>
          <w:tcPr>
            <w:tcW w:w="850" w:type="dxa"/>
          </w:tcPr>
          <w:p w14:paraId="735E3047">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12a</w:t>
            </w:r>
          </w:p>
        </w:tc>
        <w:tc>
          <w:tcPr>
            <w:tcW w:w="10348" w:type="dxa"/>
          </w:tcPr>
          <w:p w14:paraId="7F6F1783">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Eligibility criteria for participants</w:t>
            </w:r>
          </w:p>
        </w:tc>
        <w:tc>
          <w:tcPr>
            <w:tcW w:w="1417" w:type="dxa"/>
            <w:tcBorders>
              <w:top w:val="single" w:color="auto" w:sz="4" w:space="0"/>
              <w:bottom w:val="single" w:color="auto" w:sz="4" w:space="0"/>
            </w:tcBorders>
          </w:tcPr>
          <w:p w14:paraId="0F501B2F">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5-6</w:t>
            </w:r>
          </w:p>
        </w:tc>
      </w:tr>
      <w:tr w14:paraId="1B8703A1">
        <w:tblPrEx>
          <w:tblCellMar>
            <w:top w:w="0" w:type="dxa"/>
            <w:left w:w="115" w:type="dxa"/>
            <w:bottom w:w="0" w:type="dxa"/>
            <w:right w:w="115" w:type="dxa"/>
          </w:tblCellMar>
        </w:tblPrEx>
        <w:trPr>
          <w:trHeight w:val="276" w:hRule="atLeast"/>
        </w:trPr>
        <w:tc>
          <w:tcPr>
            <w:tcW w:w="1560" w:type="dxa"/>
          </w:tcPr>
          <w:p w14:paraId="650BFC36">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vAlign w:val="center"/>
          </w:tcPr>
          <w:p w14:paraId="0B02B3C5">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01B744C4">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12b</w:t>
            </w:r>
          </w:p>
        </w:tc>
        <w:tc>
          <w:tcPr>
            <w:tcW w:w="10348" w:type="dxa"/>
          </w:tcPr>
          <w:p w14:paraId="6ED5CF85">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If applicable, eligibility criteria for sites and for individuals delivering the interventions (eg, surgeons, physiotherapists)</w:t>
            </w:r>
          </w:p>
        </w:tc>
        <w:tc>
          <w:tcPr>
            <w:tcW w:w="1417" w:type="dxa"/>
            <w:tcBorders>
              <w:top w:val="single" w:color="auto" w:sz="4" w:space="0"/>
              <w:bottom w:val="single" w:color="auto" w:sz="4" w:space="0"/>
            </w:tcBorders>
          </w:tcPr>
          <w:p w14:paraId="2EC926B9">
            <w:pPr>
              <w:pStyle w:val="35"/>
              <w:autoSpaceDE w:val="0"/>
              <w:autoSpaceDN w:val="0"/>
              <w:adjustRightInd w:val="0"/>
              <w:rPr>
                <w:color w:val="333333"/>
                <w:szCs w:val="24"/>
                <w:lang w:val="en-US" w:eastAsia="en-GB"/>
              </w:rPr>
            </w:pPr>
            <w:r>
              <w:rPr>
                <w:rFonts w:hint="eastAsia" w:eastAsia="宋体"/>
                <w:color w:val="333333"/>
                <w:szCs w:val="24"/>
                <w:lang w:val="en-US" w:eastAsia="zh-CN"/>
              </w:rPr>
              <w:t>N/A</w:t>
            </w:r>
          </w:p>
        </w:tc>
      </w:tr>
      <w:tr w14:paraId="06640195">
        <w:tblPrEx>
          <w:tblCellMar>
            <w:top w:w="0" w:type="dxa"/>
            <w:left w:w="115" w:type="dxa"/>
            <w:bottom w:w="0" w:type="dxa"/>
            <w:right w:w="115" w:type="dxa"/>
          </w:tblCellMar>
        </w:tblPrEx>
        <w:trPr>
          <w:trHeight w:val="463" w:hRule="atLeast"/>
        </w:trPr>
        <w:tc>
          <w:tcPr>
            <w:tcW w:w="1560" w:type="dxa"/>
          </w:tcPr>
          <w:p w14:paraId="45C8CB91">
            <w:pPr>
              <w:pStyle w:val="35"/>
              <w:autoSpaceDE w:val="0"/>
              <w:autoSpaceDN w:val="0"/>
              <w:adjustRightInd w:val="0"/>
              <w:rPr>
                <w:color w:val="333333"/>
                <w:szCs w:val="24"/>
                <w:lang w:val="en-US" w:eastAsia="en-GB"/>
              </w:rPr>
            </w:pPr>
          </w:p>
        </w:tc>
        <w:tc>
          <w:tcPr>
            <w:tcW w:w="2694" w:type="dxa"/>
          </w:tcPr>
          <w:p w14:paraId="25A2E7AB">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Intervention and comparator</w:t>
            </w:r>
          </w:p>
        </w:tc>
        <w:tc>
          <w:tcPr>
            <w:tcW w:w="850" w:type="dxa"/>
          </w:tcPr>
          <w:p w14:paraId="759E5D17">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13</w:t>
            </w:r>
          </w:p>
        </w:tc>
        <w:tc>
          <w:tcPr>
            <w:tcW w:w="10348" w:type="dxa"/>
          </w:tcPr>
          <w:p w14:paraId="5766309E">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Intervention and comparator with sufficient details to allow replication. If relevant, where additional materials describing the intervention and comparator (eg, intervention manual) can be accessed</w:t>
            </w:r>
          </w:p>
        </w:tc>
        <w:tc>
          <w:tcPr>
            <w:tcW w:w="1417" w:type="dxa"/>
            <w:tcBorders>
              <w:top w:val="single" w:color="auto" w:sz="4" w:space="0"/>
              <w:bottom w:val="single" w:color="auto" w:sz="4" w:space="0"/>
            </w:tcBorders>
          </w:tcPr>
          <w:p w14:paraId="13D4AF78">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6-7</w:t>
            </w:r>
          </w:p>
        </w:tc>
      </w:tr>
      <w:tr w14:paraId="410EB5A4">
        <w:tblPrEx>
          <w:tblCellMar>
            <w:top w:w="0" w:type="dxa"/>
            <w:left w:w="115" w:type="dxa"/>
            <w:bottom w:w="0" w:type="dxa"/>
            <w:right w:w="115" w:type="dxa"/>
          </w:tblCellMar>
        </w:tblPrEx>
        <w:trPr>
          <w:trHeight w:val="614" w:hRule="atLeast"/>
        </w:trPr>
        <w:tc>
          <w:tcPr>
            <w:tcW w:w="1560" w:type="dxa"/>
          </w:tcPr>
          <w:p w14:paraId="1503CE14">
            <w:pPr>
              <w:pStyle w:val="35"/>
              <w:autoSpaceDE w:val="0"/>
              <w:autoSpaceDN w:val="0"/>
              <w:adjustRightInd w:val="0"/>
              <w:rPr>
                <w:color w:val="333333"/>
                <w:szCs w:val="24"/>
                <w:lang w:val="en-US" w:eastAsia="en-GB"/>
              </w:rPr>
            </w:pPr>
          </w:p>
        </w:tc>
        <w:tc>
          <w:tcPr>
            <w:tcW w:w="2694" w:type="dxa"/>
          </w:tcPr>
          <w:p w14:paraId="459D5EFC">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Outcomes</w:t>
            </w:r>
          </w:p>
        </w:tc>
        <w:tc>
          <w:tcPr>
            <w:tcW w:w="850" w:type="dxa"/>
          </w:tcPr>
          <w:p w14:paraId="4151C9AE">
            <w:pPr>
              <w:pStyle w:val="35"/>
              <w:autoSpaceDE w:val="0"/>
              <w:autoSpaceDN w:val="0"/>
              <w:adjustRightInd w:val="0"/>
              <w:jc w:val="center"/>
              <w:rPr>
                <w:color w:val="333333"/>
                <w:szCs w:val="24"/>
                <w:lang w:val="en-US" w:eastAsia="en-GB"/>
              </w:rPr>
            </w:pPr>
            <w:r>
              <w:rPr>
                <w:color w:val="333333"/>
                <w:szCs w:val="24"/>
                <w:lang w:val="en-US" w:eastAsia="en-GB"/>
              </w:rPr>
              <w:t>14</w:t>
            </w:r>
          </w:p>
          <w:p w14:paraId="79B2F3C5">
            <w:pPr>
              <w:pStyle w:val="35"/>
              <w:jc w:val="center"/>
              <w:rPr>
                <w:color w:val="333333"/>
                <w:lang w:val="en-US" w:eastAsia="en-GB"/>
              </w:rPr>
            </w:pPr>
          </w:p>
        </w:tc>
        <w:tc>
          <w:tcPr>
            <w:tcW w:w="10348" w:type="dxa"/>
          </w:tcPr>
          <w:p w14:paraId="613ECB6B">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Borders>
              <w:top w:val="single" w:color="auto" w:sz="4" w:space="0"/>
              <w:bottom w:val="single" w:color="auto" w:sz="4" w:space="0"/>
            </w:tcBorders>
          </w:tcPr>
          <w:p w14:paraId="2B2600CD">
            <w:pPr>
              <w:pStyle w:val="35"/>
              <w:autoSpaceDE w:val="0"/>
              <w:autoSpaceDN w:val="0"/>
              <w:adjustRightInd w:val="0"/>
              <w:rPr>
                <w:rFonts w:hint="eastAsia" w:eastAsia="宋体"/>
                <w:color w:val="333333"/>
                <w:szCs w:val="24"/>
                <w:lang w:val="en-US" w:eastAsia="zh-CN"/>
              </w:rPr>
            </w:pPr>
            <w:r>
              <w:rPr>
                <w:rFonts w:hint="eastAsia" w:eastAsia="宋体"/>
                <w:color w:val="333333"/>
                <w:szCs w:val="24"/>
                <w:lang w:val="en-US" w:eastAsia="zh-CN"/>
              </w:rPr>
              <w:t>8</w:t>
            </w:r>
          </w:p>
        </w:tc>
      </w:tr>
      <w:tr w14:paraId="2539364F">
        <w:tblPrEx>
          <w:tblCellMar>
            <w:top w:w="0" w:type="dxa"/>
            <w:left w:w="115" w:type="dxa"/>
            <w:bottom w:w="0" w:type="dxa"/>
            <w:right w:w="115" w:type="dxa"/>
          </w:tblCellMar>
        </w:tblPrEx>
        <w:trPr>
          <w:trHeight w:val="47" w:hRule="atLeast"/>
        </w:trPr>
        <w:tc>
          <w:tcPr>
            <w:tcW w:w="1560" w:type="dxa"/>
          </w:tcPr>
          <w:p w14:paraId="46476817">
            <w:pPr>
              <w:pStyle w:val="35"/>
              <w:autoSpaceDE w:val="0"/>
              <w:autoSpaceDN w:val="0"/>
              <w:adjustRightInd w:val="0"/>
              <w:rPr>
                <w:color w:val="333333"/>
                <w:szCs w:val="24"/>
                <w:lang w:val="en-US" w:eastAsia="en-GB"/>
              </w:rPr>
            </w:pPr>
          </w:p>
        </w:tc>
        <w:tc>
          <w:tcPr>
            <w:tcW w:w="2694" w:type="dxa"/>
          </w:tcPr>
          <w:p w14:paraId="6C5B3263">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Harms</w:t>
            </w:r>
          </w:p>
        </w:tc>
        <w:tc>
          <w:tcPr>
            <w:tcW w:w="850" w:type="dxa"/>
          </w:tcPr>
          <w:p w14:paraId="01A8E9B1">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15</w:t>
            </w:r>
          </w:p>
        </w:tc>
        <w:tc>
          <w:tcPr>
            <w:tcW w:w="10348" w:type="dxa"/>
          </w:tcPr>
          <w:p w14:paraId="4819EA2A">
            <w:pPr>
              <w:pStyle w:val="35"/>
              <w:autoSpaceDE w:val="0"/>
              <w:autoSpaceDN w:val="0"/>
              <w:adjustRightInd w:val="0"/>
              <w:rPr>
                <w:rFonts w:ascii="Calibri" w:hAnsi="Calibri" w:cs="Calibri"/>
                <w:color w:val="000000"/>
                <w:sz w:val="22"/>
                <w:szCs w:val="22"/>
                <w:lang w:val="en-US" w:eastAsia="en-GB"/>
              </w:rPr>
            </w:pPr>
            <w:r>
              <w:rPr>
                <w:color w:val="333333"/>
                <w:szCs w:val="24"/>
                <w:highlight w:val="none"/>
                <w:lang w:val="en-US" w:eastAsia="en-GB"/>
              </w:rPr>
              <w:t>How harms were defined and assessed (eg, systematically, non-systematically)</w:t>
            </w:r>
          </w:p>
        </w:tc>
        <w:tc>
          <w:tcPr>
            <w:tcW w:w="1417" w:type="dxa"/>
            <w:tcBorders>
              <w:top w:val="single" w:color="auto" w:sz="4" w:space="0"/>
              <w:bottom w:val="single" w:color="auto" w:sz="4" w:space="0"/>
            </w:tcBorders>
          </w:tcPr>
          <w:p w14:paraId="5B7851E5">
            <w:pPr>
              <w:pStyle w:val="35"/>
              <w:autoSpaceDE w:val="0"/>
              <w:autoSpaceDN w:val="0"/>
              <w:adjustRightInd w:val="0"/>
              <w:rPr>
                <w:rFonts w:hint="eastAsia" w:eastAsia="宋体"/>
                <w:color w:val="333333"/>
                <w:szCs w:val="24"/>
                <w:lang w:val="en-US" w:eastAsia="zh-CN"/>
              </w:rPr>
            </w:pPr>
            <w:r>
              <w:rPr>
                <w:rFonts w:hint="eastAsia" w:eastAsia="宋体"/>
                <w:color w:val="333333"/>
                <w:szCs w:val="24"/>
                <w:lang w:val="en-US" w:eastAsia="zh-CN"/>
              </w:rPr>
              <w:t>7</w:t>
            </w:r>
          </w:p>
        </w:tc>
      </w:tr>
      <w:tr w14:paraId="047F000B">
        <w:tblPrEx>
          <w:tblCellMar>
            <w:top w:w="0" w:type="dxa"/>
            <w:left w:w="115" w:type="dxa"/>
            <w:bottom w:w="0" w:type="dxa"/>
            <w:right w:w="115" w:type="dxa"/>
          </w:tblCellMar>
        </w:tblPrEx>
        <w:trPr>
          <w:trHeight w:val="47" w:hRule="atLeast"/>
        </w:trPr>
        <w:tc>
          <w:tcPr>
            <w:tcW w:w="1560" w:type="dxa"/>
          </w:tcPr>
          <w:p w14:paraId="5A2907F0">
            <w:pPr>
              <w:pStyle w:val="35"/>
              <w:autoSpaceDE w:val="0"/>
              <w:autoSpaceDN w:val="0"/>
              <w:adjustRightInd w:val="0"/>
              <w:rPr>
                <w:color w:val="333333"/>
                <w:szCs w:val="24"/>
                <w:lang w:val="en-US" w:eastAsia="en-GB"/>
              </w:rPr>
            </w:pPr>
          </w:p>
        </w:tc>
        <w:tc>
          <w:tcPr>
            <w:tcW w:w="2694" w:type="dxa"/>
            <w:vMerge w:val="restart"/>
          </w:tcPr>
          <w:p w14:paraId="1EE54CF8">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Sample size</w:t>
            </w:r>
          </w:p>
        </w:tc>
        <w:tc>
          <w:tcPr>
            <w:tcW w:w="850" w:type="dxa"/>
          </w:tcPr>
          <w:p w14:paraId="5DC67885">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16a</w:t>
            </w:r>
          </w:p>
        </w:tc>
        <w:tc>
          <w:tcPr>
            <w:tcW w:w="10348" w:type="dxa"/>
          </w:tcPr>
          <w:p w14:paraId="220A6986">
            <w:pPr>
              <w:pStyle w:val="35"/>
              <w:autoSpaceDE w:val="0"/>
              <w:autoSpaceDN w:val="0"/>
              <w:adjustRightInd w:val="0"/>
              <w:rPr>
                <w:rFonts w:ascii="Calibri" w:hAnsi="Calibri" w:cs="Calibri"/>
                <w:color w:val="000000"/>
                <w:sz w:val="22"/>
                <w:szCs w:val="22"/>
                <w:lang w:val="en-US" w:eastAsia="en-GB"/>
              </w:rPr>
            </w:pPr>
            <w:r>
              <w:rPr>
                <w:color w:val="333333"/>
                <w:szCs w:val="24"/>
                <w:highlight w:val="none"/>
                <w:lang w:val="en-US" w:eastAsia="en-GB"/>
              </w:rPr>
              <w:t>How sample size was determined, including all assumptions supporting the sample size calculation</w:t>
            </w:r>
          </w:p>
        </w:tc>
        <w:tc>
          <w:tcPr>
            <w:tcW w:w="1417" w:type="dxa"/>
            <w:tcBorders>
              <w:top w:val="single" w:color="auto" w:sz="4" w:space="0"/>
              <w:bottom w:val="single" w:color="auto" w:sz="4" w:space="0"/>
            </w:tcBorders>
          </w:tcPr>
          <w:p w14:paraId="12891D8B">
            <w:pPr>
              <w:pStyle w:val="35"/>
              <w:autoSpaceDE w:val="0"/>
              <w:autoSpaceDN w:val="0"/>
              <w:adjustRightInd w:val="0"/>
              <w:rPr>
                <w:color w:val="333333"/>
                <w:szCs w:val="24"/>
                <w:lang w:val="en-US" w:eastAsia="en-GB"/>
              </w:rPr>
            </w:pPr>
            <w:r>
              <w:rPr>
                <w:rFonts w:hint="eastAsia" w:eastAsia="宋体"/>
                <w:color w:val="333333"/>
                <w:szCs w:val="24"/>
                <w:lang w:val="en-US" w:eastAsia="zh-CN"/>
              </w:rPr>
              <w:t>N/A</w:t>
            </w:r>
          </w:p>
        </w:tc>
      </w:tr>
      <w:tr w14:paraId="5CB30557">
        <w:tblPrEx>
          <w:tblCellMar>
            <w:top w:w="0" w:type="dxa"/>
            <w:left w:w="115" w:type="dxa"/>
            <w:bottom w:w="0" w:type="dxa"/>
            <w:right w:w="115" w:type="dxa"/>
          </w:tblCellMar>
        </w:tblPrEx>
        <w:trPr>
          <w:trHeight w:val="62" w:hRule="atLeast"/>
        </w:trPr>
        <w:tc>
          <w:tcPr>
            <w:tcW w:w="1560" w:type="dxa"/>
          </w:tcPr>
          <w:p w14:paraId="08CC833C">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1731489E">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58BB85BA">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16b</w:t>
            </w:r>
          </w:p>
        </w:tc>
        <w:tc>
          <w:tcPr>
            <w:tcW w:w="10348" w:type="dxa"/>
          </w:tcPr>
          <w:p w14:paraId="2D06107B">
            <w:pPr>
              <w:pStyle w:val="35"/>
              <w:autoSpaceDE w:val="0"/>
              <w:autoSpaceDN w:val="0"/>
              <w:adjustRightInd w:val="0"/>
              <w:rPr>
                <w:rFonts w:ascii="Calibri" w:hAnsi="Calibri" w:cs="Calibri"/>
                <w:color w:val="000000"/>
                <w:sz w:val="22"/>
                <w:szCs w:val="22"/>
                <w:lang w:val="en-US" w:eastAsia="en-GB"/>
              </w:rPr>
            </w:pPr>
            <w:r>
              <w:rPr>
                <w:color w:val="333333"/>
                <w:szCs w:val="24"/>
                <w:highlight w:val="none"/>
                <w:lang w:val="en-US" w:eastAsia="en-GB"/>
              </w:rPr>
              <w:t>Explanation of any interim analyses and stopping guidelines</w:t>
            </w:r>
          </w:p>
        </w:tc>
        <w:tc>
          <w:tcPr>
            <w:tcW w:w="1417" w:type="dxa"/>
            <w:tcBorders>
              <w:top w:val="single" w:color="auto" w:sz="4" w:space="0"/>
              <w:bottom w:val="single" w:color="auto" w:sz="4" w:space="0"/>
            </w:tcBorders>
          </w:tcPr>
          <w:p w14:paraId="5CABA46B">
            <w:pPr>
              <w:pStyle w:val="35"/>
              <w:autoSpaceDE w:val="0"/>
              <w:autoSpaceDN w:val="0"/>
              <w:adjustRightInd w:val="0"/>
              <w:rPr>
                <w:color w:val="333333"/>
                <w:szCs w:val="24"/>
                <w:lang w:val="en-US" w:eastAsia="en-GB"/>
              </w:rPr>
            </w:pPr>
            <w:r>
              <w:rPr>
                <w:rFonts w:hint="eastAsia" w:eastAsia="宋体"/>
                <w:color w:val="333333"/>
                <w:szCs w:val="24"/>
                <w:lang w:val="en-US" w:eastAsia="zh-CN"/>
              </w:rPr>
              <w:t>N/A</w:t>
            </w:r>
          </w:p>
        </w:tc>
      </w:tr>
      <w:tr w14:paraId="2051DFA3">
        <w:tblPrEx>
          <w:tblCellMar>
            <w:top w:w="0" w:type="dxa"/>
            <w:left w:w="115" w:type="dxa"/>
            <w:bottom w:w="0" w:type="dxa"/>
            <w:right w:w="115" w:type="dxa"/>
          </w:tblCellMar>
        </w:tblPrEx>
        <w:trPr>
          <w:trHeight w:val="122" w:hRule="atLeast"/>
        </w:trPr>
        <w:tc>
          <w:tcPr>
            <w:tcW w:w="1560" w:type="dxa"/>
          </w:tcPr>
          <w:p w14:paraId="4D9C6AB0">
            <w:pPr>
              <w:pStyle w:val="35"/>
              <w:autoSpaceDE w:val="0"/>
              <w:autoSpaceDN w:val="0"/>
              <w:adjustRightInd w:val="0"/>
              <w:rPr>
                <w:color w:val="333333"/>
                <w:szCs w:val="24"/>
                <w:lang w:val="en-US" w:eastAsia="en-GB"/>
              </w:rPr>
            </w:pPr>
          </w:p>
        </w:tc>
        <w:tc>
          <w:tcPr>
            <w:tcW w:w="2694" w:type="dxa"/>
          </w:tcPr>
          <w:p w14:paraId="5AE0BF75">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Randomisation:</w:t>
            </w:r>
          </w:p>
        </w:tc>
        <w:tc>
          <w:tcPr>
            <w:tcW w:w="850" w:type="dxa"/>
          </w:tcPr>
          <w:p w14:paraId="7B1DD812">
            <w:pPr>
              <w:pStyle w:val="35"/>
              <w:autoSpaceDE w:val="0"/>
              <w:autoSpaceDN w:val="0"/>
              <w:adjustRightInd w:val="0"/>
              <w:jc w:val="center"/>
              <w:rPr>
                <w:color w:val="333333"/>
                <w:lang w:val="en-US" w:eastAsia="en-GB"/>
              </w:rPr>
            </w:pPr>
            <w:r>
              <w:rPr>
                <w:color w:val="333333"/>
                <w:szCs w:val="24"/>
                <w:lang w:val="en-US" w:eastAsia="en-GB"/>
              </w:rPr>
              <w:t xml:space="preserve"> </w:t>
            </w:r>
          </w:p>
        </w:tc>
        <w:tc>
          <w:tcPr>
            <w:tcW w:w="10348" w:type="dxa"/>
          </w:tcPr>
          <w:p w14:paraId="42F7324F">
            <w:pPr>
              <w:pStyle w:val="35"/>
              <w:autoSpaceDE w:val="0"/>
              <w:autoSpaceDN w:val="0"/>
              <w:adjustRightInd w:val="0"/>
              <w:rPr>
                <w:color w:val="333333"/>
                <w:lang w:val="en-US" w:eastAsia="en-GB"/>
              </w:rPr>
            </w:pPr>
            <w:r>
              <w:rPr>
                <w:color w:val="333333"/>
                <w:szCs w:val="24"/>
                <w:lang w:val="en-US" w:eastAsia="en-GB"/>
              </w:rPr>
              <w:t xml:space="preserve"> </w:t>
            </w:r>
          </w:p>
        </w:tc>
        <w:tc>
          <w:tcPr>
            <w:tcW w:w="1417" w:type="dxa"/>
            <w:tcBorders>
              <w:top w:val="single" w:color="auto" w:sz="4" w:space="0"/>
            </w:tcBorders>
          </w:tcPr>
          <w:p w14:paraId="187F4DF6">
            <w:pPr>
              <w:pStyle w:val="35"/>
              <w:autoSpaceDE w:val="0"/>
              <w:autoSpaceDN w:val="0"/>
              <w:adjustRightInd w:val="0"/>
              <w:rPr>
                <w:color w:val="333333"/>
                <w:szCs w:val="24"/>
                <w:lang w:val="en-US" w:eastAsia="en-GB"/>
              </w:rPr>
            </w:pPr>
          </w:p>
        </w:tc>
      </w:tr>
      <w:tr w14:paraId="3B115453">
        <w:tblPrEx>
          <w:tblCellMar>
            <w:top w:w="0" w:type="dxa"/>
            <w:left w:w="115" w:type="dxa"/>
            <w:bottom w:w="0" w:type="dxa"/>
            <w:right w:w="115" w:type="dxa"/>
          </w:tblCellMar>
        </w:tblPrEx>
        <w:trPr>
          <w:trHeight w:val="209" w:hRule="atLeast"/>
        </w:trPr>
        <w:tc>
          <w:tcPr>
            <w:tcW w:w="1560" w:type="dxa"/>
          </w:tcPr>
          <w:p w14:paraId="4914686F">
            <w:pPr>
              <w:pStyle w:val="35"/>
              <w:autoSpaceDE w:val="0"/>
              <w:autoSpaceDN w:val="0"/>
              <w:adjustRightInd w:val="0"/>
              <w:rPr>
                <w:color w:val="333333"/>
                <w:szCs w:val="24"/>
                <w:lang w:val="en-US" w:eastAsia="en-GB"/>
              </w:rPr>
            </w:pPr>
          </w:p>
        </w:tc>
        <w:tc>
          <w:tcPr>
            <w:tcW w:w="2694" w:type="dxa"/>
            <w:vMerge w:val="restart"/>
          </w:tcPr>
          <w:p w14:paraId="7FFD2902">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 Sequence generation</w:t>
            </w:r>
          </w:p>
        </w:tc>
        <w:tc>
          <w:tcPr>
            <w:tcW w:w="850" w:type="dxa"/>
          </w:tcPr>
          <w:p w14:paraId="2E1B25CB">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17a</w:t>
            </w:r>
          </w:p>
        </w:tc>
        <w:tc>
          <w:tcPr>
            <w:tcW w:w="10348" w:type="dxa"/>
          </w:tcPr>
          <w:p w14:paraId="62859E28">
            <w:pPr>
              <w:pStyle w:val="35"/>
              <w:autoSpaceDE w:val="0"/>
              <w:autoSpaceDN w:val="0"/>
              <w:adjustRightInd w:val="0"/>
              <w:rPr>
                <w:rFonts w:ascii="Calibri" w:hAnsi="Calibri" w:cs="Calibri"/>
                <w:color w:val="000000"/>
                <w:sz w:val="22"/>
                <w:szCs w:val="22"/>
                <w:lang w:val="en-US" w:eastAsia="en-GB"/>
              </w:rPr>
            </w:pPr>
            <w:r>
              <w:rPr>
                <w:color w:val="333333"/>
                <w:szCs w:val="24"/>
                <w:highlight w:val="none"/>
                <w:lang w:val="en-US" w:eastAsia="en-GB"/>
              </w:rPr>
              <w:t>Who generated the random allocation sequence and the method used</w:t>
            </w:r>
          </w:p>
        </w:tc>
        <w:tc>
          <w:tcPr>
            <w:tcW w:w="1417" w:type="dxa"/>
            <w:tcBorders>
              <w:bottom w:val="single" w:color="auto" w:sz="4" w:space="0"/>
            </w:tcBorders>
          </w:tcPr>
          <w:p w14:paraId="01CB3B9C">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7</w:t>
            </w:r>
          </w:p>
        </w:tc>
      </w:tr>
      <w:tr w14:paraId="42F6F25F">
        <w:tblPrEx>
          <w:tblCellMar>
            <w:top w:w="0" w:type="dxa"/>
            <w:left w:w="115" w:type="dxa"/>
            <w:bottom w:w="0" w:type="dxa"/>
            <w:right w:w="115" w:type="dxa"/>
          </w:tblCellMar>
        </w:tblPrEx>
        <w:trPr>
          <w:trHeight w:val="86" w:hRule="atLeast"/>
        </w:trPr>
        <w:tc>
          <w:tcPr>
            <w:tcW w:w="1560" w:type="dxa"/>
          </w:tcPr>
          <w:p w14:paraId="5DF65CD3">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22DCCE4B">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0BE2DA6E">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17b</w:t>
            </w:r>
          </w:p>
        </w:tc>
        <w:tc>
          <w:tcPr>
            <w:tcW w:w="10348" w:type="dxa"/>
          </w:tcPr>
          <w:p w14:paraId="18E276DE">
            <w:pPr>
              <w:pStyle w:val="35"/>
              <w:autoSpaceDE w:val="0"/>
              <w:autoSpaceDN w:val="0"/>
              <w:adjustRightInd w:val="0"/>
              <w:rPr>
                <w:color w:val="333333"/>
                <w:szCs w:val="24"/>
                <w:lang w:val="en-US" w:eastAsia="en-GB"/>
              </w:rPr>
            </w:pPr>
            <w:r>
              <w:rPr>
                <w:color w:val="333333"/>
                <w:szCs w:val="24"/>
                <w:lang w:val="en-US" w:eastAsia="en-GB"/>
              </w:rPr>
              <w:t>Type of randomisation and details of any restriction (eg, stratification, blocking and block size)</w:t>
            </w:r>
          </w:p>
        </w:tc>
        <w:tc>
          <w:tcPr>
            <w:tcW w:w="1417" w:type="dxa"/>
            <w:tcBorders>
              <w:top w:val="single" w:color="auto" w:sz="4" w:space="0"/>
              <w:bottom w:val="single" w:color="auto" w:sz="4" w:space="0"/>
            </w:tcBorders>
          </w:tcPr>
          <w:p w14:paraId="4C5702AF">
            <w:pPr>
              <w:pStyle w:val="35"/>
              <w:autoSpaceDE w:val="0"/>
              <w:autoSpaceDN w:val="0"/>
              <w:adjustRightInd w:val="0"/>
              <w:rPr>
                <w:rFonts w:hint="eastAsia" w:eastAsia="宋体"/>
                <w:color w:val="333333"/>
                <w:szCs w:val="24"/>
                <w:lang w:val="en-US" w:eastAsia="zh-CN"/>
              </w:rPr>
            </w:pPr>
            <w:r>
              <w:rPr>
                <w:rFonts w:hint="eastAsia" w:eastAsia="宋体"/>
                <w:color w:val="333333"/>
                <w:szCs w:val="24"/>
                <w:lang w:val="en-US" w:eastAsia="zh-CN"/>
              </w:rPr>
              <w:t>6</w:t>
            </w:r>
          </w:p>
        </w:tc>
      </w:tr>
      <w:tr w14:paraId="3EBDFA55">
        <w:tblPrEx>
          <w:tblCellMar>
            <w:top w:w="0" w:type="dxa"/>
            <w:left w:w="115" w:type="dxa"/>
            <w:bottom w:w="0" w:type="dxa"/>
            <w:right w:w="115" w:type="dxa"/>
          </w:tblCellMar>
        </w:tblPrEx>
        <w:trPr>
          <w:trHeight w:val="86" w:hRule="atLeast"/>
        </w:trPr>
        <w:tc>
          <w:tcPr>
            <w:tcW w:w="1560" w:type="dxa"/>
          </w:tcPr>
          <w:p w14:paraId="171ECB1E">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tcPr>
          <w:p w14:paraId="1362F785">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850" w:type="dxa"/>
          </w:tcPr>
          <w:p w14:paraId="56BE76F1">
            <w:pPr>
              <w:pStyle w:val="35"/>
              <w:autoSpaceDE w:val="0"/>
              <w:autoSpaceDN w:val="0"/>
              <w:adjustRightInd w:val="0"/>
              <w:jc w:val="center"/>
              <w:rPr>
                <w:color w:val="333333"/>
                <w:szCs w:val="24"/>
                <w:lang w:val="en-US" w:eastAsia="en-GB"/>
              </w:rPr>
            </w:pPr>
          </w:p>
        </w:tc>
        <w:tc>
          <w:tcPr>
            <w:tcW w:w="10348" w:type="dxa"/>
          </w:tcPr>
          <w:p w14:paraId="63E5DC48">
            <w:pPr>
              <w:pStyle w:val="35"/>
              <w:autoSpaceDE w:val="0"/>
              <w:autoSpaceDN w:val="0"/>
              <w:adjustRightInd w:val="0"/>
              <w:rPr>
                <w:color w:val="333333"/>
                <w:szCs w:val="24"/>
                <w:lang w:val="en-US" w:eastAsia="en-GB"/>
              </w:rPr>
            </w:pPr>
          </w:p>
        </w:tc>
        <w:tc>
          <w:tcPr>
            <w:tcW w:w="1417" w:type="dxa"/>
            <w:tcBorders>
              <w:top w:val="single" w:color="auto" w:sz="4" w:space="0"/>
              <w:bottom w:val="single" w:color="auto" w:sz="4" w:space="0"/>
            </w:tcBorders>
          </w:tcPr>
          <w:p w14:paraId="0440A31B">
            <w:pPr>
              <w:pStyle w:val="35"/>
              <w:autoSpaceDE w:val="0"/>
              <w:autoSpaceDN w:val="0"/>
              <w:adjustRightInd w:val="0"/>
              <w:jc w:val="center"/>
              <w:rPr>
                <w:b/>
                <w:bCs/>
                <w:color w:val="333333"/>
                <w:szCs w:val="24"/>
                <w:lang w:val="en-US" w:eastAsia="en-GB"/>
              </w:rPr>
            </w:pPr>
            <w:r>
              <w:rPr>
                <w:b/>
                <w:bCs/>
                <w:color w:val="333333"/>
                <w:szCs w:val="24"/>
                <w:lang w:val="en-US" w:eastAsia="en-GB"/>
              </w:rPr>
              <w:t>Reported on page no.</w:t>
            </w:r>
          </w:p>
        </w:tc>
      </w:tr>
      <w:tr w14:paraId="32DD2903">
        <w:tblPrEx>
          <w:tblCellMar>
            <w:top w:w="0" w:type="dxa"/>
            <w:left w:w="115" w:type="dxa"/>
            <w:bottom w:w="0" w:type="dxa"/>
            <w:right w:w="115" w:type="dxa"/>
          </w:tblCellMar>
        </w:tblPrEx>
        <w:trPr>
          <w:trHeight w:val="544" w:hRule="atLeast"/>
        </w:trPr>
        <w:tc>
          <w:tcPr>
            <w:tcW w:w="1560" w:type="dxa"/>
          </w:tcPr>
          <w:p w14:paraId="65738DC4">
            <w:pPr>
              <w:pStyle w:val="35"/>
              <w:autoSpaceDE w:val="0"/>
              <w:autoSpaceDN w:val="0"/>
              <w:adjustRightInd w:val="0"/>
              <w:rPr>
                <w:color w:val="333333"/>
                <w:szCs w:val="24"/>
                <w:lang w:val="en-US" w:eastAsia="en-GB"/>
              </w:rPr>
            </w:pPr>
          </w:p>
        </w:tc>
        <w:tc>
          <w:tcPr>
            <w:tcW w:w="2694" w:type="dxa"/>
          </w:tcPr>
          <w:p w14:paraId="16BD0A8B">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 Allocation concealment mechanism</w:t>
            </w:r>
          </w:p>
        </w:tc>
        <w:tc>
          <w:tcPr>
            <w:tcW w:w="850" w:type="dxa"/>
          </w:tcPr>
          <w:p w14:paraId="6D4A3CC7">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18</w:t>
            </w:r>
          </w:p>
        </w:tc>
        <w:tc>
          <w:tcPr>
            <w:tcW w:w="10348" w:type="dxa"/>
          </w:tcPr>
          <w:p w14:paraId="540A86AB">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Mechanism used to implement the random allocation sequence (eg, central computer/telephone; sequentially numbered, opaque, sealed containers), describing any steps to conceal the sequence until interventions were assigned</w:t>
            </w:r>
          </w:p>
        </w:tc>
        <w:tc>
          <w:tcPr>
            <w:tcW w:w="1417" w:type="dxa"/>
            <w:tcBorders>
              <w:top w:val="single" w:color="auto" w:sz="4" w:space="0"/>
              <w:bottom w:val="single" w:color="auto" w:sz="4" w:space="0"/>
            </w:tcBorders>
          </w:tcPr>
          <w:p w14:paraId="6EE878D1">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6-7</w:t>
            </w:r>
          </w:p>
        </w:tc>
      </w:tr>
      <w:tr w14:paraId="0881AFB4">
        <w:tblPrEx>
          <w:tblCellMar>
            <w:top w:w="0" w:type="dxa"/>
            <w:left w:w="115" w:type="dxa"/>
            <w:bottom w:w="0" w:type="dxa"/>
            <w:right w:w="115" w:type="dxa"/>
          </w:tblCellMar>
        </w:tblPrEx>
        <w:trPr>
          <w:trHeight w:val="214" w:hRule="atLeast"/>
        </w:trPr>
        <w:tc>
          <w:tcPr>
            <w:tcW w:w="1560" w:type="dxa"/>
          </w:tcPr>
          <w:p w14:paraId="6820DC7E">
            <w:pPr>
              <w:pStyle w:val="35"/>
              <w:autoSpaceDE w:val="0"/>
              <w:autoSpaceDN w:val="0"/>
              <w:adjustRightInd w:val="0"/>
              <w:rPr>
                <w:color w:val="333333"/>
                <w:szCs w:val="24"/>
                <w:lang w:val="en-US" w:eastAsia="en-GB"/>
              </w:rPr>
            </w:pPr>
          </w:p>
        </w:tc>
        <w:tc>
          <w:tcPr>
            <w:tcW w:w="2694" w:type="dxa"/>
          </w:tcPr>
          <w:p w14:paraId="697B183A">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 Implementation</w:t>
            </w:r>
          </w:p>
        </w:tc>
        <w:tc>
          <w:tcPr>
            <w:tcW w:w="850" w:type="dxa"/>
          </w:tcPr>
          <w:p w14:paraId="325D557E">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19</w:t>
            </w:r>
          </w:p>
        </w:tc>
        <w:tc>
          <w:tcPr>
            <w:tcW w:w="10348" w:type="dxa"/>
          </w:tcPr>
          <w:p w14:paraId="41A5963E">
            <w:pPr>
              <w:pStyle w:val="35"/>
              <w:autoSpaceDE w:val="0"/>
              <w:autoSpaceDN w:val="0"/>
              <w:adjustRightInd w:val="0"/>
              <w:rPr>
                <w:rFonts w:ascii="Calibri" w:hAnsi="Calibri" w:cs="Calibri"/>
                <w:color w:val="000000"/>
                <w:sz w:val="22"/>
                <w:szCs w:val="22"/>
                <w:lang w:val="en-US" w:eastAsia="en-GB"/>
              </w:rPr>
            </w:pPr>
            <w:r>
              <w:rPr>
                <w:color w:val="333333"/>
                <w:szCs w:val="24"/>
                <w:highlight w:val="none"/>
                <w:lang w:val="en-US" w:eastAsia="en-GB"/>
              </w:rPr>
              <w:t>Whether the personnel who enrolled and those who assigned participants to the interventions had access to the random allocation sequence</w:t>
            </w:r>
          </w:p>
        </w:tc>
        <w:tc>
          <w:tcPr>
            <w:tcW w:w="1417" w:type="dxa"/>
            <w:tcBorders>
              <w:top w:val="single" w:color="auto" w:sz="4" w:space="0"/>
              <w:bottom w:val="single" w:color="auto" w:sz="4" w:space="0"/>
            </w:tcBorders>
          </w:tcPr>
          <w:p w14:paraId="497BDC7F">
            <w:pPr>
              <w:pStyle w:val="35"/>
              <w:autoSpaceDE w:val="0"/>
              <w:autoSpaceDN w:val="0"/>
              <w:adjustRightInd w:val="0"/>
              <w:rPr>
                <w:rFonts w:hint="eastAsia" w:eastAsia="宋体"/>
                <w:color w:val="333333"/>
                <w:szCs w:val="24"/>
                <w:lang w:val="en-US" w:eastAsia="zh-CN"/>
              </w:rPr>
            </w:pPr>
            <w:r>
              <w:rPr>
                <w:rFonts w:hint="eastAsia" w:eastAsia="宋体"/>
                <w:color w:val="333333"/>
                <w:szCs w:val="24"/>
                <w:lang w:val="en-US" w:eastAsia="zh-CN"/>
              </w:rPr>
              <w:t>7</w:t>
            </w:r>
          </w:p>
        </w:tc>
      </w:tr>
      <w:tr w14:paraId="0875E72E">
        <w:tblPrEx>
          <w:tblCellMar>
            <w:top w:w="0" w:type="dxa"/>
            <w:left w:w="115" w:type="dxa"/>
            <w:bottom w:w="0" w:type="dxa"/>
            <w:right w:w="115" w:type="dxa"/>
          </w:tblCellMar>
        </w:tblPrEx>
        <w:trPr>
          <w:trHeight w:val="251" w:hRule="atLeast"/>
        </w:trPr>
        <w:tc>
          <w:tcPr>
            <w:tcW w:w="1560" w:type="dxa"/>
          </w:tcPr>
          <w:p w14:paraId="579F95ED">
            <w:pPr>
              <w:pStyle w:val="35"/>
              <w:autoSpaceDE w:val="0"/>
              <w:autoSpaceDN w:val="0"/>
              <w:adjustRightInd w:val="0"/>
              <w:rPr>
                <w:color w:val="333333"/>
                <w:szCs w:val="24"/>
                <w:lang w:val="en-US" w:eastAsia="en-GB"/>
              </w:rPr>
            </w:pPr>
          </w:p>
        </w:tc>
        <w:tc>
          <w:tcPr>
            <w:tcW w:w="2694" w:type="dxa"/>
            <w:vMerge w:val="restart"/>
          </w:tcPr>
          <w:p w14:paraId="723E446F">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Blinding</w:t>
            </w:r>
          </w:p>
        </w:tc>
        <w:tc>
          <w:tcPr>
            <w:tcW w:w="850" w:type="dxa"/>
          </w:tcPr>
          <w:p w14:paraId="59D4516E">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20a</w:t>
            </w:r>
          </w:p>
        </w:tc>
        <w:tc>
          <w:tcPr>
            <w:tcW w:w="10348" w:type="dxa"/>
          </w:tcPr>
          <w:p w14:paraId="4144D396">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Who was blinded after assignment to interventions (eg, participants, care providers, outcome assessors, data analysts)</w:t>
            </w:r>
          </w:p>
        </w:tc>
        <w:tc>
          <w:tcPr>
            <w:tcW w:w="1417" w:type="dxa"/>
            <w:tcBorders>
              <w:top w:val="single" w:color="auto" w:sz="4" w:space="0"/>
              <w:bottom w:val="single" w:color="auto" w:sz="4" w:space="0"/>
            </w:tcBorders>
          </w:tcPr>
          <w:p w14:paraId="7948DC72">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7</w:t>
            </w:r>
          </w:p>
        </w:tc>
      </w:tr>
      <w:tr w14:paraId="16E363D6">
        <w:tblPrEx>
          <w:tblCellMar>
            <w:top w:w="0" w:type="dxa"/>
            <w:left w:w="115" w:type="dxa"/>
            <w:bottom w:w="0" w:type="dxa"/>
            <w:right w:w="115" w:type="dxa"/>
          </w:tblCellMar>
        </w:tblPrEx>
        <w:trPr>
          <w:trHeight w:val="98" w:hRule="atLeast"/>
        </w:trPr>
        <w:tc>
          <w:tcPr>
            <w:tcW w:w="1560" w:type="dxa"/>
          </w:tcPr>
          <w:p w14:paraId="71A41171">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2E328057">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62725F06">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20b</w:t>
            </w:r>
          </w:p>
        </w:tc>
        <w:tc>
          <w:tcPr>
            <w:tcW w:w="10348" w:type="dxa"/>
          </w:tcPr>
          <w:p w14:paraId="58B445B7">
            <w:pPr>
              <w:pStyle w:val="35"/>
              <w:autoSpaceDE w:val="0"/>
              <w:autoSpaceDN w:val="0"/>
              <w:adjustRightInd w:val="0"/>
              <w:rPr>
                <w:rFonts w:ascii="Calibri" w:hAnsi="Calibri" w:cs="Calibri"/>
                <w:color w:val="000000"/>
                <w:sz w:val="22"/>
                <w:szCs w:val="22"/>
                <w:lang w:val="en-US" w:eastAsia="en-GB"/>
              </w:rPr>
            </w:pPr>
            <w:r>
              <w:rPr>
                <w:color w:val="333333"/>
                <w:szCs w:val="24"/>
                <w:highlight w:val="none"/>
                <w:lang w:val="en-US" w:eastAsia="en-GB"/>
              </w:rPr>
              <w:t>I</w:t>
            </w:r>
            <w:r>
              <w:rPr>
                <w:color w:val="333333"/>
                <w:szCs w:val="24"/>
                <w:highlight w:val="none"/>
                <w:lang w:val="en-US" w:eastAsia="en-GB"/>
              </w:rPr>
              <w:t>f blinded, how blinding was achieved and description of the similarity of interventions</w:t>
            </w:r>
          </w:p>
        </w:tc>
        <w:tc>
          <w:tcPr>
            <w:tcW w:w="1417" w:type="dxa"/>
            <w:tcBorders>
              <w:top w:val="single" w:color="auto" w:sz="4" w:space="0"/>
              <w:bottom w:val="single" w:color="auto" w:sz="4" w:space="0"/>
            </w:tcBorders>
          </w:tcPr>
          <w:p w14:paraId="13A8C965">
            <w:pPr>
              <w:pStyle w:val="35"/>
              <w:autoSpaceDE w:val="0"/>
              <w:autoSpaceDN w:val="0"/>
              <w:adjustRightInd w:val="0"/>
              <w:rPr>
                <w:rFonts w:hint="eastAsia" w:eastAsia="宋体"/>
                <w:color w:val="333333"/>
                <w:szCs w:val="24"/>
                <w:lang w:val="en-US" w:eastAsia="zh-CN"/>
              </w:rPr>
            </w:pPr>
            <w:r>
              <w:rPr>
                <w:rFonts w:hint="eastAsia" w:eastAsia="宋体"/>
                <w:color w:val="333333"/>
                <w:szCs w:val="24"/>
                <w:lang w:val="en-US" w:eastAsia="zh-CN"/>
              </w:rPr>
              <w:t>7</w:t>
            </w:r>
          </w:p>
        </w:tc>
      </w:tr>
      <w:tr w14:paraId="5E3D1544">
        <w:tblPrEx>
          <w:tblCellMar>
            <w:top w:w="0" w:type="dxa"/>
            <w:left w:w="115" w:type="dxa"/>
            <w:bottom w:w="0" w:type="dxa"/>
            <w:right w:w="115" w:type="dxa"/>
          </w:tblCellMar>
        </w:tblPrEx>
        <w:trPr>
          <w:trHeight w:val="225" w:hRule="atLeast"/>
        </w:trPr>
        <w:tc>
          <w:tcPr>
            <w:tcW w:w="1560" w:type="dxa"/>
          </w:tcPr>
          <w:p w14:paraId="7097F24E">
            <w:pPr>
              <w:pStyle w:val="35"/>
              <w:autoSpaceDE w:val="0"/>
              <w:autoSpaceDN w:val="0"/>
              <w:adjustRightInd w:val="0"/>
              <w:rPr>
                <w:color w:val="333333"/>
                <w:szCs w:val="24"/>
                <w:lang w:val="en-US" w:eastAsia="en-GB"/>
              </w:rPr>
            </w:pPr>
          </w:p>
        </w:tc>
        <w:tc>
          <w:tcPr>
            <w:tcW w:w="2694" w:type="dxa"/>
            <w:vMerge w:val="restart"/>
          </w:tcPr>
          <w:p w14:paraId="2C79C0DD">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Statistical methods</w:t>
            </w:r>
          </w:p>
        </w:tc>
        <w:tc>
          <w:tcPr>
            <w:tcW w:w="850" w:type="dxa"/>
          </w:tcPr>
          <w:p w14:paraId="55E8B9FF">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21a</w:t>
            </w:r>
          </w:p>
        </w:tc>
        <w:tc>
          <w:tcPr>
            <w:tcW w:w="10348" w:type="dxa"/>
          </w:tcPr>
          <w:p w14:paraId="5C345210">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Statistical methods used to compare groups for primary and secondary outcomes, including harms</w:t>
            </w:r>
          </w:p>
        </w:tc>
        <w:tc>
          <w:tcPr>
            <w:tcW w:w="1417" w:type="dxa"/>
            <w:tcBorders>
              <w:top w:val="single" w:color="auto" w:sz="4" w:space="0"/>
              <w:bottom w:val="single" w:color="auto" w:sz="4" w:space="0"/>
            </w:tcBorders>
          </w:tcPr>
          <w:p w14:paraId="192F4EAD">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9-11</w:t>
            </w:r>
          </w:p>
        </w:tc>
      </w:tr>
      <w:tr w14:paraId="52CDC73B">
        <w:tblPrEx>
          <w:tblCellMar>
            <w:top w:w="0" w:type="dxa"/>
            <w:left w:w="115" w:type="dxa"/>
            <w:bottom w:w="0" w:type="dxa"/>
            <w:right w:w="115" w:type="dxa"/>
          </w:tblCellMar>
        </w:tblPrEx>
        <w:trPr>
          <w:trHeight w:val="225" w:hRule="atLeast"/>
        </w:trPr>
        <w:tc>
          <w:tcPr>
            <w:tcW w:w="1560" w:type="dxa"/>
          </w:tcPr>
          <w:p w14:paraId="3E2DE8F4">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6865A94B">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1F1C890D">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21b</w:t>
            </w:r>
          </w:p>
        </w:tc>
        <w:tc>
          <w:tcPr>
            <w:tcW w:w="10348" w:type="dxa"/>
          </w:tcPr>
          <w:p w14:paraId="24C2734B">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Definition of who is included in each analysis (eg, all randomised participants), and in which group</w:t>
            </w:r>
          </w:p>
        </w:tc>
        <w:tc>
          <w:tcPr>
            <w:tcW w:w="1417" w:type="dxa"/>
            <w:tcBorders>
              <w:top w:val="single" w:color="auto" w:sz="4" w:space="0"/>
              <w:bottom w:val="single" w:color="auto" w:sz="4" w:space="0"/>
            </w:tcBorders>
          </w:tcPr>
          <w:p w14:paraId="187EE11F">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11</w:t>
            </w:r>
          </w:p>
        </w:tc>
      </w:tr>
      <w:tr w14:paraId="06E0E11E">
        <w:tblPrEx>
          <w:tblCellMar>
            <w:top w:w="0" w:type="dxa"/>
            <w:left w:w="115" w:type="dxa"/>
            <w:bottom w:w="0" w:type="dxa"/>
            <w:right w:w="115" w:type="dxa"/>
          </w:tblCellMar>
        </w:tblPrEx>
        <w:trPr>
          <w:trHeight w:val="225" w:hRule="atLeast"/>
        </w:trPr>
        <w:tc>
          <w:tcPr>
            <w:tcW w:w="1560" w:type="dxa"/>
          </w:tcPr>
          <w:p w14:paraId="2160FC01">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3B610B1C">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14F4017F">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21c</w:t>
            </w:r>
          </w:p>
        </w:tc>
        <w:tc>
          <w:tcPr>
            <w:tcW w:w="10348" w:type="dxa"/>
          </w:tcPr>
          <w:p w14:paraId="6FEA342F">
            <w:pPr>
              <w:pStyle w:val="35"/>
              <w:autoSpaceDE w:val="0"/>
              <w:autoSpaceDN w:val="0"/>
              <w:adjustRightInd w:val="0"/>
              <w:rPr>
                <w:rFonts w:ascii="Calibri" w:hAnsi="Calibri" w:cs="Calibri"/>
                <w:color w:val="000000"/>
                <w:sz w:val="22"/>
                <w:szCs w:val="22"/>
                <w:lang w:val="en-US" w:eastAsia="en-GB"/>
              </w:rPr>
            </w:pPr>
            <w:r>
              <w:rPr>
                <w:color w:val="333333"/>
                <w:szCs w:val="24"/>
                <w:highlight w:val="none"/>
                <w:lang w:val="en-US" w:eastAsia="en-GB"/>
              </w:rPr>
              <w:t>How missing data were handled in the analysis</w:t>
            </w:r>
          </w:p>
        </w:tc>
        <w:tc>
          <w:tcPr>
            <w:tcW w:w="1417" w:type="dxa"/>
            <w:tcBorders>
              <w:top w:val="single" w:color="auto" w:sz="4" w:space="0"/>
              <w:bottom w:val="single" w:color="auto" w:sz="4" w:space="0"/>
            </w:tcBorders>
          </w:tcPr>
          <w:p w14:paraId="4A9DC131">
            <w:pPr>
              <w:pStyle w:val="35"/>
              <w:autoSpaceDE w:val="0"/>
              <w:autoSpaceDN w:val="0"/>
              <w:adjustRightInd w:val="0"/>
              <w:rPr>
                <w:color w:val="333333"/>
                <w:szCs w:val="24"/>
                <w:lang w:val="en-US" w:eastAsia="en-GB"/>
              </w:rPr>
            </w:pPr>
            <w:r>
              <w:rPr>
                <w:rFonts w:hint="eastAsia" w:eastAsia="宋体"/>
                <w:color w:val="333333"/>
                <w:szCs w:val="24"/>
                <w:lang w:val="en-US" w:eastAsia="zh-CN"/>
              </w:rPr>
              <w:t>N/A</w:t>
            </w:r>
          </w:p>
        </w:tc>
      </w:tr>
      <w:tr w14:paraId="147C9813">
        <w:tblPrEx>
          <w:tblCellMar>
            <w:top w:w="0" w:type="dxa"/>
            <w:left w:w="115" w:type="dxa"/>
            <w:bottom w:w="0" w:type="dxa"/>
            <w:right w:w="115" w:type="dxa"/>
          </w:tblCellMar>
        </w:tblPrEx>
        <w:trPr>
          <w:trHeight w:val="257" w:hRule="atLeast"/>
        </w:trPr>
        <w:tc>
          <w:tcPr>
            <w:tcW w:w="1560" w:type="dxa"/>
          </w:tcPr>
          <w:p w14:paraId="2A9EAD84">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7C29010E">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4C1A6907">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21d</w:t>
            </w:r>
          </w:p>
        </w:tc>
        <w:tc>
          <w:tcPr>
            <w:tcW w:w="10348" w:type="dxa"/>
          </w:tcPr>
          <w:p w14:paraId="2C3BFD99">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Methods for any additional analyses (eg, subgroup and sensitivity analyses), distinguishing prespecified from post hoc</w:t>
            </w:r>
          </w:p>
        </w:tc>
        <w:tc>
          <w:tcPr>
            <w:tcW w:w="1417" w:type="dxa"/>
            <w:tcBorders>
              <w:top w:val="single" w:color="auto" w:sz="4" w:space="0"/>
              <w:bottom w:val="single" w:color="auto" w:sz="4" w:space="0"/>
            </w:tcBorders>
          </w:tcPr>
          <w:p w14:paraId="004556C9">
            <w:pPr>
              <w:pStyle w:val="35"/>
              <w:autoSpaceDE w:val="0"/>
              <w:autoSpaceDN w:val="0"/>
              <w:adjustRightInd w:val="0"/>
              <w:rPr>
                <w:color w:val="333333"/>
                <w:szCs w:val="24"/>
                <w:lang w:val="en-US" w:eastAsia="en-GB"/>
              </w:rPr>
            </w:pPr>
            <w:r>
              <w:rPr>
                <w:rFonts w:hint="eastAsia" w:eastAsia="宋体"/>
                <w:color w:val="333333"/>
                <w:szCs w:val="24"/>
                <w:lang w:val="en-US" w:eastAsia="zh-CN"/>
              </w:rPr>
              <w:t>N/A</w:t>
            </w:r>
          </w:p>
        </w:tc>
      </w:tr>
      <w:tr w14:paraId="372A5F35">
        <w:tblPrEx>
          <w:tblCellMar>
            <w:top w:w="0" w:type="dxa"/>
            <w:left w:w="115" w:type="dxa"/>
            <w:bottom w:w="0" w:type="dxa"/>
            <w:right w:w="115" w:type="dxa"/>
          </w:tblCellMar>
        </w:tblPrEx>
        <w:trPr>
          <w:trHeight w:val="276" w:hRule="atLeast"/>
        </w:trPr>
        <w:tc>
          <w:tcPr>
            <w:tcW w:w="1560" w:type="dxa"/>
          </w:tcPr>
          <w:p w14:paraId="78AB83EC">
            <w:pPr>
              <w:pStyle w:val="35"/>
              <w:autoSpaceDE w:val="0"/>
              <w:autoSpaceDN w:val="0"/>
              <w:adjustRightInd w:val="0"/>
              <w:rPr>
                <w:b/>
                <w:color w:val="333333"/>
                <w:szCs w:val="24"/>
                <w:lang w:val="en-US" w:eastAsia="en-GB"/>
              </w:rPr>
            </w:pPr>
          </w:p>
        </w:tc>
        <w:tc>
          <w:tcPr>
            <w:tcW w:w="13892" w:type="dxa"/>
            <w:gridSpan w:val="3"/>
            <w:vAlign w:val="bottom"/>
          </w:tcPr>
          <w:p w14:paraId="0AE2BAF1">
            <w:pPr>
              <w:pStyle w:val="35"/>
              <w:autoSpaceDE w:val="0"/>
              <w:autoSpaceDN w:val="0"/>
              <w:adjustRightInd w:val="0"/>
              <w:rPr>
                <w:rFonts w:ascii="Calibri" w:hAnsi="Calibri" w:cs="Calibri"/>
                <w:b/>
                <w:color w:val="000000"/>
                <w:sz w:val="22"/>
                <w:szCs w:val="22"/>
                <w:lang w:val="en-US" w:eastAsia="en-GB"/>
              </w:rPr>
            </w:pPr>
            <w:r>
              <w:rPr>
                <w:b/>
                <w:color w:val="333333"/>
                <w:szCs w:val="24"/>
                <w:lang w:val="en-US" w:eastAsia="en-GB"/>
              </w:rPr>
              <w:t>Results</w:t>
            </w:r>
          </w:p>
        </w:tc>
        <w:tc>
          <w:tcPr>
            <w:tcW w:w="1417" w:type="dxa"/>
            <w:tcBorders>
              <w:top w:val="single" w:color="auto" w:sz="4" w:space="0"/>
            </w:tcBorders>
          </w:tcPr>
          <w:p w14:paraId="64083DFC">
            <w:pPr>
              <w:pStyle w:val="35"/>
              <w:autoSpaceDE w:val="0"/>
              <w:autoSpaceDN w:val="0"/>
              <w:adjustRightInd w:val="0"/>
              <w:rPr>
                <w:b/>
                <w:color w:val="333333"/>
                <w:szCs w:val="24"/>
                <w:lang w:val="en-US" w:eastAsia="en-GB"/>
              </w:rPr>
            </w:pPr>
          </w:p>
        </w:tc>
      </w:tr>
      <w:tr w14:paraId="7221D068">
        <w:tblPrEx>
          <w:tblCellMar>
            <w:top w:w="0" w:type="dxa"/>
            <w:left w:w="115" w:type="dxa"/>
            <w:bottom w:w="0" w:type="dxa"/>
            <w:right w:w="115" w:type="dxa"/>
          </w:tblCellMar>
        </w:tblPrEx>
        <w:trPr>
          <w:trHeight w:val="409" w:hRule="atLeast"/>
        </w:trPr>
        <w:tc>
          <w:tcPr>
            <w:tcW w:w="1560" w:type="dxa"/>
          </w:tcPr>
          <w:p w14:paraId="42A70751">
            <w:pPr>
              <w:pStyle w:val="35"/>
              <w:autoSpaceDE w:val="0"/>
              <w:autoSpaceDN w:val="0"/>
              <w:adjustRightInd w:val="0"/>
              <w:rPr>
                <w:color w:val="333333"/>
                <w:szCs w:val="24"/>
                <w:lang w:val="en-US" w:eastAsia="en-GB"/>
              </w:rPr>
            </w:pPr>
          </w:p>
        </w:tc>
        <w:tc>
          <w:tcPr>
            <w:tcW w:w="2694" w:type="dxa"/>
            <w:vMerge w:val="restart"/>
          </w:tcPr>
          <w:p w14:paraId="6F933BCF">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Participant flow, including flow diagram</w:t>
            </w:r>
          </w:p>
        </w:tc>
        <w:tc>
          <w:tcPr>
            <w:tcW w:w="850" w:type="dxa"/>
          </w:tcPr>
          <w:p w14:paraId="7E6A5FF1">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22a</w:t>
            </w:r>
          </w:p>
        </w:tc>
        <w:tc>
          <w:tcPr>
            <w:tcW w:w="10348" w:type="dxa"/>
          </w:tcPr>
          <w:p w14:paraId="51EFA88B">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For each group, the numbers of participants who were randomly assigned, received intended intervention, and were analysed for the primary outcome</w:t>
            </w:r>
          </w:p>
        </w:tc>
        <w:tc>
          <w:tcPr>
            <w:tcW w:w="1417" w:type="dxa"/>
            <w:tcBorders>
              <w:bottom w:val="single" w:color="auto" w:sz="4" w:space="0"/>
            </w:tcBorders>
          </w:tcPr>
          <w:p w14:paraId="22FFCD9F">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12</w:t>
            </w:r>
          </w:p>
        </w:tc>
      </w:tr>
      <w:tr w14:paraId="43285D40">
        <w:tblPrEx>
          <w:tblCellMar>
            <w:top w:w="0" w:type="dxa"/>
            <w:left w:w="115" w:type="dxa"/>
            <w:bottom w:w="0" w:type="dxa"/>
            <w:right w:w="115" w:type="dxa"/>
          </w:tblCellMar>
        </w:tblPrEx>
        <w:trPr>
          <w:trHeight w:val="391" w:hRule="atLeast"/>
        </w:trPr>
        <w:tc>
          <w:tcPr>
            <w:tcW w:w="1560" w:type="dxa"/>
          </w:tcPr>
          <w:p w14:paraId="078404D1">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164525E9">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75CC267F">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22b</w:t>
            </w:r>
          </w:p>
        </w:tc>
        <w:tc>
          <w:tcPr>
            <w:tcW w:w="10348" w:type="dxa"/>
          </w:tcPr>
          <w:p w14:paraId="33EDC196">
            <w:pPr>
              <w:pStyle w:val="35"/>
              <w:autoSpaceDE w:val="0"/>
              <w:autoSpaceDN w:val="0"/>
              <w:adjustRightInd w:val="0"/>
              <w:rPr>
                <w:rFonts w:ascii="Calibri" w:hAnsi="Calibri" w:cs="Calibri"/>
                <w:color w:val="000000"/>
                <w:sz w:val="22"/>
                <w:szCs w:val="22"/>
                <w:lang w:val="en-US" w:eastAsia="en-GB"/>
              </w:rPr>
            </w:pPr>
            <w:r>
              <w:rPr>
                <w:color w:val="333333"/>
                <w:szCs w:val="24"/>
                <w:highlight w:val="none"/>
                <w:lang w:val="en-US" w:eastAsia="en-GB"/>
              </w:rPr>
              <w:t>For each group, losses and exclusions after randomisation, together with reasons</w:t>
            </w:r>
          </w:p>
        </w:tc>
        <w:tc>
          <w:tcPr>
            <w:tcW w:w="1417" w:type="dxa"/>
            <w:tcBorders>
              <w:top w:val="single" w:color="auto" w:sz="4" w:space="0"/>
              <w:bottom w:val="single" w:color="auto" w:sz="4" w:space="0"/>
            </w:tcBorders>
          </w:tcPr>
          <w:p w14:paraId="2D78E01B">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12</w:t>
            </w:r>
          </w:p>
        </w:tc>
      </w:tr>
      <w:tr w14:paraId="16B37113">
        <w:tblPrEx>
          <w:tblCellMar>
            <w:top w:w="0" w:type="dxa"/>
            <w:left w:w="115" w:type="dxa"/>
            <w:bottom w:w="0" w:type="dxa"/>
            <w:right w:w="115" w:type="dxa"/>
          </w:tblCellMar>
        </w:tblPrEx>
        <w:trPr>
          <w:trHeight w:val="221" w:hRule="atLeast"/>
        </w:trPr>
        <w:tc>
          <w:tcPr>
            <w:tcW w:w="1560" w:type="dxa"/>
          </w:tcPr>
          <w:p w14:paraId="5E927DA5">
            <w:pPr>
              <w:pStyle w:val="35"/>
              <w:autoSpaceDE w:val="0"/>
              <w:autoSpaceDN w:val="0"/>
              <w:adjustRightInd w:val="0"/>
              <w:rPr>
                <w:color w:val="333333"/>
                <w:szCs w:val="24"/>
                <w:lang w:val="en-US" w:eastAsia="en-GB"/>
              </w:rPr>
            </w:pPr>
          </w:p>
        </w:tc>
        <w:tc>
          <w:tcPr>
            <w:tcW w:w="2694" w:type="dxa"/>
            <w:vMerge w:val="restart"/>
          </w:tcPr>
          <w:p w14:paraId="7E8E3E35">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Recruitment</w:t>
            </w:r>
          </w:p>
        </w:tc>
        <w:tc>
          <w:tcPr>
            <w:tcW w:w="850" w:type="dxa"/>
          </w:tcPr>
          <w:p w14:paraId="31F56EEA">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23a</w:t>
            </w:r>
          </w:p>
        </w:tc>
        <w:tc>
          <w:tcPr>
            <w:tcW w:w="10348" w:type="dxa"/>
          </w:tcPr>
          <w:p w14:paraId="2FACE3FF">
            <w:pPr>
              <w:pStyle w:val="35"/>
              <w:autoSpaceDE w:val="0"/>
              <w:autoSpaceDN w:val="0"/>
              <w:adjustRightInd w:val="0"/>
              <w:rPr>
                <w:rFonts w:ascii="Calibri" w:hAnsi="Calibri" w:cs="Calibri"/>
                <w:color w:val="000000"/>
                <w:sz w:val="22"/>
                <w:szCs w:val="22"/>
                <w:lang w:val="en-US" w:eastAsia="en-GB"/>
              </w:rPr>
            </w:pPr>
            <w:r>
              <w:rPr>
                <w:color w:val="333333"/>
                <w:szCs w:val="24"/>
                <w:highlight w:val="none"/>
                <w:lang w:val="en-US" w:eastAsia="en-GB"/>
              </w:rPr>
              <w:t>Dates defining the periods of recruitment and follow-up for outcomes of benefits and harms</w:t>
            </w:r>
          </w:p>
        </w:tc>
        <w:tc>
          <w:tcPr>
            <w:tcW w:w="1417" w:type="dxa"/>
            <w:tcBorders>
              <w:top w:val="single" w:color="auto" w:sz="4" w:space="0"/>
              <w:bottom w:val="single" w:color="auto" w:sz="4" w:space="0"/>
            </w:tcBorders>
          </w:tcPr>
          <w:p w14:paraId="033886DC">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12</w:t>
            </w:r>
          </w:p>
        </w:tc>
      </w:tr>
      <w:tr w14:paraId="42D233B6">
        <w:tblPrEx>
          <w:tblCellMar>
            <w:top w:w="0" w:type="dxa"/>
            <w:left w:w="115" w:type="dxa"/>
            <w:bottom w:w="0" w:type="dxa"/>
            <w:right w:w="115" w:type="dxa"/>
          </w:tblCellMar>
        </w:tblPrEx>
        <w:trPr>
          <w:trHeight w:val="276" w:hRule="atLeast"/>
        </w:trPr>
        <w:tc>
          <w:tcPr>
            <w:tcW w:w="1560" w:type="dxa"/>
          </w:tcPr>
          <w:p w14:paraId="39E428CE">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7D05ABA8">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5D97505A">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23b</w:t>
            </w:r>
          </w:p>
        </w:tc>
        <w:tc>
          <w:tcPr>
            <w:tcW w:w="10348" w:type="dxa"/>
          </w:tcPr>
          <w:p w14:paraId="10F28482">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If relevant, why the trial ended or was stopped</w:t>
            </w:r>
          </w:p>
        </w:tc>
        <w:tc>
          <w:tcPr>
            <w:tcW w:w="1417" w:type="dxa"/>
            <w:tcBorders>
              <w:top w:val="single" w:color="auto" w:sz="4" w:space="0"/>
              <w:bottom w:val="single" w:color="auto" w:sz="4" w:space="0"/>
            </w:tcBorders>
          </w:tcPr>
          <w:p w14:paraId="7F9AE1C2">
            <w:pPr>
              <w:pStyle w:val="35"/>
              <w:autoSpaceDE w:val="0"/>
              <w:autoSpaceDN w:val="0"/>
              <w:adjustRightInd w:val="0"/>
              <w:rPr>
                <w:color w:val="333333"/>
                <w:szCs w:val="24"/>
                <w:lang w:val="en-US" w:eastAsia="en-GB"/>
              </w:rPr>
            </w:pPr>
            <w:r>
              <w:rPr>
                <w:rFonts w:hint="eastAsia" w:eastAsia="宋体"/>
                <w:color w:val="333333"/>
                <w:szCs w:val="24"/>
                <w:lang w:val="en-US" w:eastAsia="zh-CN"/>
              </w:rPr>
              <w:t>N/A</w:t>
            </w:r>
          </w:p>
        </w:tc>
      </w:tr>
      <w:tr w14:paraId="2AF8086A">
        <w:tblPrEx>
          <w:tblCellMar>
            <w:top w:w="0" w:type="dxa"/>
            <w:left w:w="115" w:type="dxa"/>
            <w:bottom w:w="0" w:type="dxa"/>
            <w:right w:w="115" w:type="dxa"/>
          </w:tblCellMar>
        </w:tblPrEx>
        <w:trPr>
          <w:trHeight w:val="441" w:hRule="atLeast"/>
        </w:trPr>
        <w:tc>
          <w:tcPr>
            <w:tcW w:w="1560" w:type="dxa"/>
          </w:tcPr>
          <w:p w14:paraId="3606B2E2">
            <w:pPr>
              <w:pStyle w:val="35"/>
              <w:autoSpaceDE w:val="0"/>
              <w:autoSpaceDN w:val="0"/>
              <w:adjustRightInd w:val="0"/>
              <w:rPr>
                <w:color w:val="333333"/>
                <w:szCs w:val="24"/>
                <w:lang w:val="en-US" w:eastAsia="en-GB"/>
              </w:rPr>
            </w:pPr>
          </w:p>
        </w:tc>
        <w:tc>
          <w:tcPr>
            <w:tcW w:w="2694" w:type="dxa"/>
            <w:vMerge w:val="restart"/>
          </w:tcPr>
          <w:p w14:paraId="1516A7B5">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Intervention and comparator delivery</w:t>
            </w:r>
          </w:p>
        </w:tc>
        <w:tc>
          <w:tcPr>
            <w:tcW w:w="850" w:type="dxa"/>
          </w:tcPr>
          <w:p w14:paraId="212C9562">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24a</w:t>
            </w:r>
          </w:p>
        </w:tc>
        <w:tc>
          <w:tcPr>
            <w:tcW w:w="10348" w:type="dxa"/>
          </w:tcPr>
          <w:p w14:paraId="466BA725">
            <w:pPr>
              <w:pStyle w:val="35"/>
              <w:autoSpaceDE w:val="0"/>
              <w:autoSpaceDN w:val="0"/>
              <w:adjustRightInd w:val="0"/>
              <w:rPr>
                <w:rFonts w:ascii="Calibri" w:hAnsi="Calibri" w:cs="Calibri"/>
                <w:color w:val="000000"/>
                <w:sz w:val="22"/>
                <w:szCs w:val="22"/>
                <w:lang w:val="en-US" w:eastAsia="en-GB"/>
              </w:rPr>
            </w:pPr>
            <w:r>
              <w:rPr>
                <w:color w:val="333333"/>
                <w:szCs w:val="24"/>
                <w:highlight w:val="none"/>
                <w:lang w:val="en-US" w:eastAsia="en-GB"/>
              </w:rPr>
              <w:t>Intervention and comparator as they were actually administered (eg, where appropriate, who delivered the intervention/comparator, how participants adhered, whether they were delivered as intended (fidelity))</w:t>
            </w:r>
          </w:p>
        </w:tc>
        <w:tc>
          <w:tcPr>
            <w:tcW w:w="1417" w:type="dxa"/>
            <w:tcBorders>
              <w:top w:val="single" w:color="auto" w:sz="4" w:space="0"/>
              <w:bottom w:val="single" w:color="auto" w:sz="4" w:space="0"/>
            </w:tcBorders>
          </w:tcPr>
          <w:p w14:paraId="1FBEF8CA">
            <w:pPr>
              <w:pStyle w:val="35"/>
              <w:autoSpaceDE w:val="0"/>
              <w:autoSpaceDN w:val="0"/>
              <w:adjustRightInd w:val="0"/>
              <w:rPr>
                <w:rFonts w:hint="eastAsia" w:eastAsia="宋体"/>
                <w:color w:val="333333"/>
                <w:szCs w:val="24"/>
                <w:lang w:val="en-US" w:eastAsia="zh-CN"/>
              </w:rPr>
            </w:pPr>
            <w:r>
              <w:rPr>
                <w:rFonts w:hint="eastAsia" w:eastAsia="宋体"/>
                <w:color w:val="333333"/>
                <w:szCs w:val="24"/>
                <w:lang w:val="en-US" w:eastAsia="zh-CN"/>
              </w:rPr>
              <w:t>7</w:t>
            </w:r>
          </w:p>
        </w:tc>
      </w:tr>
      <w:tr w14:paraId="386E3BBC">
        <w:tblPrEx>
          <w:tblCellMar>
            <w:top w:w="0" w:type="dxa"/>
            <w:left w:w="115" w:type="dxa"/>
            <w:bottom w:w="0" w:type="dxa"/>
            <w:right w:w="115" w:type="dxa"/>
          </w:tblCellMar>
        </w:tblPrEx>
        <w:trPr>
          <w:trHeight w:val="243" w:hRule="atLeast"/>
        </w:trPr>
        <w:tc>
          <w:tcPr>
            <w:tcW w:w="1560" w:type="dxa"/>
          </w:tcPr>
          <w:p w14:paraId="1116E4B2">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08679969">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09750EE4">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24b</w:t>
            </w:r>
          </w:p>
        </w:tc>
        <w:tc>
          <w:tcPr>
            <w:tcW w:w="10348" w:type="dxa"/>
          </w:tcPr>
          <w:p w14:paraId="6AC8E7B7">
            <w:pPr>
              <w:pStyle w:val="35"/>
              <w:autoSpaceDE w:val="0"/>
              <w:autoSpaceDN w:val="0"/>
              <w:adjustRightInd w:val="0"/>
              <w:rPr>
                <w:rFonts w:ascii="Calibri" w:hAnsi="Calibri" w:cs="Calibri"/>
                <w:color w:val="000000"/>
                <w:sz w:val="22"/>
                <w:szCs w:val="22"/>
                <w:lang w:val="en-US" w:eastAsia="en-GB"/>
              </w:rPr>
            </w:pPr>
            <w:r>
              <w:rPr>
                <w:color w:val="333333"/>
                <w:szCs w:val="24"/>
                <w:highlight w:val="none"/>
                <w:lang w:val="en-US" w:eastAsia="en-GB"/>
              </w:rPr>
              <w:t>Concomitant care received during the trial for each group</w:t>
            </w:r>
          </w:p>
        </w:tc>
        <w:tc>
          <w:tcPr>
            <w:tcW w:w="1417" w:type="dxa"/>
            <w:tcBorders>
              <w:top w:val="single" w:color="auto" w:sz="4" w:space="0"/>
              <w:bottom w:val="single" w:color="auto" w:sz="4" w:space="0"/>
            </w:tcBorders>
          </w:tcPr>
          <w:p w14:paraId="50E6E873">
            <w:pPr>
              <w:pStyle w:val="35"/>
              <w:autoSpaceDE w:val="0"/>
              <w:autoSpaceDN w:val="0"/>
              <w:adjustRightInd w:val="0"/>
              <w:rPr>
                <w:color w:val="333333"/>
                <w:szCs w:val="24"/>
                <w:lang w:val="en-US" w:eastAsia="en-GB"/>
              </w:rPr>
            </w:pPr>
            <w:r>
              <w:rPr>
                <w:rFonts w:hint="eastAsia" w:eastAsia="宋体"/>
                <w:color w:val="333333"/>
                <w:szCs w:val="24"/>
                <w:lang w:val="en-US" w:eastAsia="zh-CN"/>
              </w:rPr>
              <w:t>N/A</w:t>
            </w:r>
          </w:p>
        </w:tc>
      </w:tr>
      <w:tr w14:paraId="2B55E115">
        <w:tblPrEx>
          <w:tblCellMar>
            <w:top w:w="0" w:type="dxa"/>
            <w:left w:w="115" w:type="dxa"/>
            <w:bottom w:w="0" w:type="dxa"/>
            <w:right w:w="115" w:type="dxa"/>
          </w:tblCellMar>
        </w:tblPrEx>
        <w:trPr>
          <w:trHeight w:val="243" w:hRule="atLeast"/>
        </w:trPr>
        <w:tc>
          <w:tcPr>
            <w:tcW w:w="1560" w:type="dxa"/>
          </w:tcPr>
          <w:p w14:paraId="3EDBB004">
            <w:pPr>
              <w:pStyle w:val="35"/>
              <w:autoSpaceDE w:val="0"/>
              <w:autoSpaceDN w:val="0"/>
              <w:adjustRightInd w:val="0"/>
              <w:rPr>
                <w:color w:val="333333"/>
                <w:szCs w:val="24"/>
                <w:lang w:val="en-US" w:eastAsia="en-GB"/>
              </w:rPr>
            </w:pPr>
          </w:p>
        </w:tc>
        <w:tc>
          <w:tcPr>
            <w:tcW w:w="2694" w:type="dxa"/>
          </w:tcPr>
          <w:p w14:paraId="77F676A2">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Baseline data</w:t>
            </w:r>
          </w:p>
        </w:tc>
        <w:tc>
          <w:tcPr>
            <w:tcW w:w="850" w:type="dxa"/>
          </w:tcPr>
          <w:p w14:paraId="45320ECD">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25</w:t>
            </w:r>
          </w:p>
        </w:tc>
        <w:tc>
          <w:tcPr>
            <w:tcW w:w="10348" w:type="dxa"/>
          </w:tcPr>
          <w:p w14:paraId="2C6EA252">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A table showing baseline demographic and clinical characteristics for each group</w:t>
            </w:r>
          </w:p>
        </w:tc>
        <w:tc>
          <w:tcPr>
            <w:tcW w:w="1417" w:type="dxa"/>
            <w:tcBorders>
              <w:top w:val="single" w:color="auto" w:sz="4" w:space="0"/>
              <w:bottom w:val="single" w:color="auto" w:sz="4" w:space="0"/>
            </w:tcBorders>
          </w:tcPr>
          <w:p w14:paraId="03C13CB2">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12</w:t>
            </w:r>
          </w:p>
        </w:tc>
      </w:tr>
      <w:tr w14:paraId="7F3E7327">
        <w:tblPrEx>
          <w:tblCellMar>
            <w:top w:w="0" w:type="dxa"/>
            <w:left w:w="115" w:type="dxa"/>
            <w:bottom w:w="0" w:type="dxa"/>
            <w:right w:w="115" w:type="dxa"/>
          </w:tblCellMar>
        </w:tblPrEx>
        <w:trPr>
          <w:trHeight w:val="416" w:hRule="atLeast"/>
        </w:trPr>
        <w:tc>
          <w:tcPr>
            <w:tcW w:w="1560" w:type="dxa"/>
          </w:tcPr>
          <w:p w14:paraId="49E46122">
            <w:pPr>
              <w:pStyle w:val="35"/>
              <w:autoSpaceDE w:val="0"/>
              <w:autoSpaceDN w:val="0"/>
              <w:adjustRightInd w:val="0"/>
              <w:rPr>
                <w:color w:val="333333"/>
                <w:szCs w:val="24"/>
                <w:lang w:val="en-US" w:eastAsia="en-GB"/>
              </w:rPr>
            </w:pPr>
          </w:p>
        </w:tc>
        <w:tc>
          <w:tcPr>
            <w:tcW w:w="2694" w:type="dxa"/>
          </w:tcPr>
          <w:p w14:paraId="18A8AC70">
            <w:pPr>
              <w:pStyle w:val="35"/>
              <w:autoSpaceDE w:val="0"/>
              <w:autoSpaceDN w:val="0"/>
              <w:adjustRightInd w:val="0"/>
              <w:rPr>
                <w:color w:val="333333"/>
                <w:szCs w:val="24"/>
                <w:lang w:val="en-US" w:eastAsia="en-GB"/>
              </w:rPr>
            </w:pPr>
            <w:r>
              <w:rPr>
                <w:color w:val="333333"/>
                <w:szCs w:val="24"/>
                <w:lang w:val="en-US" w:eastAsia="en-GB"/>
              </w:rPr>
              <w:t>Numbers analysed,</w:t>
            </w:r>
          </w:p>
          <w:p w14:paraId="19EBF4F2">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outcomes and estimation</w:t>
            </w:r>
          </w:p>
        </w:tc>
        <w:tc>
          <w:tcPr>
            <w:tcW w:w="850" w:type="dxa"/>
          </w:tcPr>
          <w:p w14:paraId="0C209A7F">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26</w:t>
            </w:r>
          </w:p>
        </w:tc>
        <w:tc>
          <w:tcPr>
            <w:tcW w:w="10348" w:type="dxa"/>
          </w:tcPr>
          <w:p w14:paraId="59D39E8D">
            <w:pPr>
              <w:pStyle w:val="35"/>
              <w:autoSpaceDE w:val="0"/>
              <w:autoSpaceDN w:val="0"/>
              <w:adjustRightInd w:val="0"/>
              <w:rPr>
                <w:color w:val="333333"/>
                <w:szCs w:val="24"/>
                <w:lang w:val="en-US" w:eastAsia="en-GB"/>
              </w:rPr>
            </w:pPr>
            <w:r>
              <w:rPr>
                <w:color w:val="333333"/>
                <w:szCs w:val="24"/>
                <w:lang w:val="en-US" w:eastAsia="en-GB"/>
              </w:rPr>
              <w:t>For each primary and secondary outcome, by group:</w:t>
            </w:r>
          </w:p>
          <w:p w14:paraId="26766BB4">
            <w:pPr>
              <w:pStyle w:val="35"/>
              <w:autoSpaceDE w:val="0"/>
              <w:autoSpaceDN w:val="0"/>
              <w:adjustRightInd w:val="0"/>
              <w:rPr>
                <w:color w:val="333333"/>
                <w:szCs w:val="24"/>
                <w:lang w:val="en-US" w:eastAsia="en-GB"/>
              </w:rPr>
            </w:pPr>
            <w:r>
              <w:rPr>
                <w:color w:val="333333"/>
                <w:szCs w:val="24"/>
                <w:lang w:val="en-US" w:eastAsia="en-GB"/>
              </w:rPr>
              <w:t>● the number of participants included in the analysis</w:t>
            </w:r>
          </w:p>
          <w:p w14:paraId="280EA21F">
            <w:pPr>
              <w:pStyle w:val="35"/>
              <w:autoSpaceDE w:val="0"/>
              <w:autoSpaceDN w:val="0"/>
              <w:adjustRightInd w:val="0"/>
              <w:rPr>
                <w:color w:val="333333"/>
                <w:szCs w:val="24"/>
                <w:lang w:val="en-US" w:eastAsia="en-GB"/>
              </w:rPr>
            </w:pPr>
            <w:r>
              <w:rPr>
                <w:color w:val="333333"/>
                <w:szCs w:val="24"/>
                <w:lang w:val="en-US" w:eastAsia="en-GB"/>
              </w:rPr>
              <w:t>● the number of participants with available data at the outcome time point</w:t>
            </w:r>
          </w:p>
          <w:p w14:paraId="546E4EE9">
            <w:pPr>
              <w:pStyle w:val="35"/>
              <w:autoSpaceDE w:val="0"/>
              <w:autoSpaceDN w:val="0"/>
              <w:adjustRightInd w:val="0"/>
              <w:rPr>
                <w:color w:val="333333"/>
                <w:szCs w:val="24"/>
                <w:lang w:val="en-US" w:eastAsia="en-GB"/>
              </w:rPr>
            </w:pPr>
            <w:r>
              <w:rPr>
                <w:color w:val="333333"/>
                <w:szCs w:val="24"/>
                <w:lang w:val="en-US" w:eastAsia="en-GB"/>
              </w:rPr>
              <w:t>● result for each group, and the estimated effect size and its precision (such as 95% confidence interval)</w:t>
            </w:r>
          </w:p>
          <w:p w14:paraId="26D61DB5">
            <w:pPr>
              <w:pStyle w:val="35"/>
              <w:autoSpaceDE w:val="0"/>
              <w:autoSpaceDN w:val="0"/>
              <w:adjustRightInd w:val="0"/>
              <w:rPr>
                <w:color w:val="000000"/>
                <w:sz w:val="22"/>
                <w:szCs w:val="22"/>
                <w:lang w:val="en-US" w:eastAsia="en-GB"/>
              </w:rPr>
            </w:pPr>
            <w:r>
              <w:rPr>
                <w:color w:val="333333"/>
                <w:szCs w:val="24"/>
                <w:lang w:val="en-US" w:eastAsia="en-GB"/>
              </w:rPr>
              <w:t>● for binary outcomes, presentation of both absolute and relative effect size</w:t>
            </w:r>
          </w:p>
        </w:tc>
        <w:tc>
          <w:tcPr>
            <w:tcW w:w="1417" w:type="dxa"/>
            <w:tcBorders>
              <w:top w:val="single" w:color="auto" w:sz="4" w:space="0"/>
              <w:bottom w:val="single" w:color="auto" w:sz="4" w:space="0"/>
            </w:tcBorders>
          </w:tcPr>
          <w:p w14:paraId="2DF81188">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12-18</w:t>
            </w:r>
          </w:p>
        </w:tc>
      </w:tr>
      <w:tr w14:paraId="327AC6C8">
        <w:tblPrEx>
          <w:tblCellMar>
            <w:top w:w="0" w:type="dxa"/>
            <w:left w:w="115" w:type="dxa"/>
            <w:bottom w:w="0" w:type="dxa"/>
            <w:right w:w="115" w:type="dxa"/>
          </w:tblCellMar>
        </w:tblPrEx>
        <w:trPr>
          <w:trHeight w:val="204" w:hRule="atLeast"/>
        </w:trPr>
        <w:tc>
          <w:tcPr>
            <w:tcW w:w="1560" w:type="dxa"/>
          </w:tcPr>
          <w:p w14:paraId="19865B92">
            <w:pPr>
              <w:pStyle w:val="35"/>
              <w:autoSpaceDE w:val="0"/>
              <w:autoSpaceDN w:val="0"/>
              <w:adjustRightInd w:val="0"/>
              <w:rPr>
                <w:color w:val="333333"/>
                <w:szCs w:val="24"/>
                <w:lang w:val="en-US" w:eastAsia="en-GB"/>
              </w:rPr>
            </w:pPr>
          </w:p>
        </w:tc>
        <w:tc>
          <w:tcPr>
            <w:tcW w:w="2694" w:type="dxa"/>
          </w:tcPr>
          <w:p w14:paraId="19D4AD89">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Harms</w:t>
            </w:r>
          </w:p>
        </w:tc>
        <w:tc>
          <w:tcPr>
            <w:tcW w:w="850" w:type="dxa"/>
          </w:tcPr>
          <w:p w14:paraId="0F1218BF">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27</w:t>
            </w:r>
          </w:p>
        </w:tc>
        <w:tc>
          <w:tcPr>
            <w:tcW w:w="10348" w:type="dxa"/>
          </w:tcPr>
          <w:p w14:paraId="444BFECD">
            <w:pPr>
              <w:pStyle w:val="35"/>
              <w:autoSpaceDE w:val="0"/>
              <w:autoSpaceDN w:val="0"/>
              <w:adjustRightInd w:val="0"/>
              <w:rPr>
                <w:rFonts w:ascii="Calibri" w:hAnsi="Calibri" w:cs="Calibri"/>
                <w:color w:val="000000"/>
                <w:sz w:val="22"/>
                <w:szCs w:val="22"/>
                <w:lang w:val="en-US" w:eastAsia="en-GB"/>
              </w:rPr>
            </w:pPr>
            <w:r>
              <w:rPr>
                <w:color w:val="333333"/>
                <w:szCs w:val="24"/>
                <w:highlight w:val="none"/>
                <w:lang w:val="en-US" w:eastAsia="en-GB"/>
              </w:rPr>
              <w:t>All harms or unintended events in each group</w:t>
            </w:r>
          </w:p>
        </w:tc>
        <w:tc>
          <w:tcPr>
            <w:tcW w:w="1417" w:type="dxa"/>
            <w:tcBorders>
              <w:top w:val="single" w:color="auto" w:sz="4" w:space="0"/>
              <w:bottom w:val="single" w:color="auto" w:sz="4" w:space="0"/>
            </w:tcBorders>
          </w:tcPr>
          <w:p w14:paraId="4DADA80B">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19</w:t>
            </w:r>
          </w:p>
        </w:tc>
      </w:tr>
      <w:tr w14:paraId="66A23BAA">
        <w:tblPrEx>
          <w:tblCellMar>
            <w:top w:w="0" w:type="dxa"/>
            <w:left w:w="115" w:type="dxa"/>
            <w:bottom w:w="0" w:type="dxa"/>
            <w:right w:w="115" w:type="dxa"/>
          </w:tblCellMar>
        </w:tblPrEx>
        <w:trPr>
          <w:trHeight w:val="416" w:hRule="atLeast"/>
        </w:trPr>
        <w:tc>
          <w:tcPr>
            <w:tcW w:w="1560" w:type="dxa"/>
          </w:tcPr>
          <w:p w14:paraId="3AB0A0FA">
            <w:pPr>
              <w:pStyle w:val="35"/>
              <w:autoSpaceDE w:val="0"/>
              <w:autoSpaceDN w:val="0"/>
              <w:adjustRightInd w:val="0"/>
              <w:rPr>
                <w:color w:val="333333"/>
                <w:szCs w:val="24"/>
                <w:lang w:val="en-US" w:eastAsia="en-GB"/>
              </w:rPr>
            </w:pPr>
          </w:p>
        </w:tc>
        <w:tc>
          <w:tcPr>
            <w:tcW w:w="2694" w:type="dxa"/>
          </w:tcPr>
          <w:p w14:paraId="2B28A500">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Ancillary analyses</w:t>
            </w:r>
          </w:p>
        </w:tc>
        <w:tc>
          <w:tcPr>
            <w:tcW w:w="850" w:type="dxa"/>
          </w:tcPr>
          <w:p w14:paraId="514EA945">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28</w:t>
            </w:r>
          </w:p>
        </w:tc>
        <w:tc>
          <w:tcPr>
            <w:tcW w:w="10348" w:type="dxa"/>
          </w:tcPr>
          <w:p w14:paraId="51C0A5B7">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Any other analyses performed, including subgroup and sensitivity analyses, distinguishing pre-specified from post hoc</w:t>
            </w:r>
          </w:p>
        </w:tc>
        <w:tc>
          <w:tcPr>
            <w:tcW w:w="1417" w:type="dxa"/>
            <w:tcBorders>
              <w:top w:val="single" w:color="auto" w:sz="4" w:space="0"/>
              <w:bottom w:val="single" w:color="auto" w:sz="4" w:space="0"/>
            </w:tcBorders>
          </w:tcPr>
          <w:p w14:paraId="236F0E9A">
            <w:pPr>
              <w:pStyle w:val="35"/>
              <w:autoSpaceDE w:val="0"/>
              <w:autoSpaceDN w:val="0"/>
              <w:adjustRightInd w:val="0"/>
              <w:rPr>
                <w:color w:val="333333"/>
                <w:szCs w:val="24"/>
                <w:lang w:val="en-US" w:eastAsia="en-GB"/>
              </w:rPr>
            </w:pPr>
            <w:r>
              <w:rPr>
                <w:rFonts w:hint="eastAsia" w:eastAsia="宋体"/>
                <w:color w:val="333333"/>
                <w:szCs w:val="24"/>
                <w:lang w:val="en-US" w:eastAsia="zh-CN"/>
              </w:rPr>
              <w:t>N/A</w:t>
            </w:r>
          </w:p>
        </w:tc>
      </w:tr>
      <w:tr w14:paraId="0A2B83EB">
        <w:tblPrEx>
          <w:tblCellMar>
            <w:top w:w="0" w:type="dxa"/>
            <w:left w:w="115" w:type="dxa"/>
            <w:bottom w:w="0" w:type="dxa"/>
            <w:right w:w="115" w:type="dxa"/>
          </w:tblCellMar>
        </w:tblPrEx>
        <w:trPr>
          <w:trHeight w:val="56" w:hRule="atLeast"/>
        </w:trPr>
        <w:tc>
          <w:tcPr>
            <w:tcW w:w="1560" w:type="dxa"/>
          </w:tcPr>
          <w:p w14:paraId="4F0C75B6">
            <w:pPr>
              <w:pStyle w:val="35"/>
              <w:autoSpaceDE w:val="0"/>
              <w:autoSpaceDN w:val="0"/>
              <w:adjustRightInd w:val="0"/>
              <w:rPr>
                <w:b/>
                <w:color w:val="333333"/>
                <w:szCs w:val="24"/>
                <w:lang w:val="en-US" w:eastAsia="en-GB"/>
              </w:rPr>
            </w:pPr>
          </w:p>
        </w:tc>
        <w:tc>
          <w:tcPr>
            <w:tcW w:w="13892" w:type="dxa"/>
            <w:gridSpan w:val="3"/>
          </w:tcPr>
          <w:p w14:paraId="78D7CEF5">
            <w:pPr>
              <w:pStyle w:val="35"/>
              <w:autoSpaceDE w:val="0"/>
              <w:autoSpaceDN w:val="0"/>
              <w:adjustRightInd w:val="0"/>
              <w:rPr>
                <w:rFonts w:ascii="Calibri" w:hAnsi="Calibri" w:cs="Calibri"/>
                <w:b/>
                <w:color w:val="000000"/>
                <w:sz w:val="22"/>
                <w:szCs w:val="22"/>
                <w:lang w:val="en-US" w:eastAsia="en-GB"/>
              </w:rPr>
            </w:pPr>
            <w:r>
              <w:rPr>
                <w:b/>
                <w:color w:val="333333"/>
                <w:szCs w:val="24"/>
                <w:lang w:val="en-US" w:eastAsia="en-GB"/>
              </w:rPr>
              <w:t>Discussion</w:t>
            </w:r>
          </w:p>
        </w:tc>
        <w:tc>
          <w:tcPr>
            <w:tcW w:w="1417" w:type="dxa"/>
            <w:tcBorders>
              <w:top w:val="single" w:color="auto" w:sz="4" w:space="0"/>
              <w:bottom w:val="single" w:color="auto" w:sz="4" w:space="0"/>
            </w:tcBorders>
          </w:tcPr>
          <w:p w14:paraId="0B6A24AA">
            <w:pPr>
              <w:pStyle w:val="35"/>
              <w:autoSpaceDE w:val="0"/>
              <w:autoSpaceDN w:val="0"/>
              <w:adjustRightInd w:val="0"/>
              <w:rPr>
                <w:b/>
                <w:color w:val="333333"/>
                <w:szCs w:val="24"/>
                <w:lang w:val="en-US" w:eastAsia="en-GB"/>
              </w:rPr>
            </w:pPr>
          </w:p>
        </w:tc>
      </w:tr>
      <w:tr w14:paraId="7A36E87D">
        <w:tblPrEx>
          <w:tblCellMar>
            <w:top w:w="0" w:type="dxa"/>
            <w:left w:w="115" w:type="dxa"/>
            <w:bottom w:w="0" w:type="dxa"/>
            <w:right w:w="115" w:type="dxa"/>
          </w:tblCellMar>
        </w:tblPrEx>
        <w:trPr>
          <w:trHeight w:val="281" w:hRule="atLeast"/>
        </w:trPr>
        <w:tc>
          <w:tcPr>
            <w:tcW w:w="1560" w:type="dxa"/>
          </w:tcPr>
          <w:p w14:paraId="7E8CE5E2">
            <w:pPr>
              <w:pStyle w:val="35"/>
              <w:autoSpaceDE w:val="0"/>
              <w:autoSpaceDN w:val="0"/>
              <w:adjustRightInd w:val="0"/>
              <w:rPr>
                <w:color w:val="333333"/>
                <w:szCs w:val="24"/>
                <w:lang w:val="en-US" w:eastAsia="en-GB"/>
              </w:rPr>
            </w:pPr>
          </w:p>
        </w:tc>
        <w:tc>
          <w:tcPr>
            <w:tcW w:w="2694" w:type="dxa"/>
          </w:tcPr>
          <w:p w14:paraId="42708C0A">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Interpretation</w:t>
            </w:r>
          </w:p>
        </w:tc>
        <w:tc>
          <w:tcPr>
            <w:tcW w:w="850" w:type="dxa"/>
          </w:tcPr>
          <w:p w14:paraId="72B921EA">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29</w:t>
            </w:r>
          </w:p>
        </w:tc>
        <w:tc>
          <w:tcPr>
            <w:tcW w:w="10348" w:type="dxa"/>
          </w:tcPr>
          <w:p w14:paraId="4356F662">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Interpretation consistent with results, balancing benefits and harms, and considering other relevant evidence</w:t>
            </w:r>
          </w:p>
        </w:tc>
        <w:tc>
          <w:tcPr>
            <w:tcW w:w="1417" w:type="dxa"/>
            <w:tcBorders>
              <w:top w:val="single" w:color="auto" w:sz="4" w:space="0"/>
              <w:bottom w:val="single" w:color="auto" w:sz="4" w:space="0"/>
            </w:tcBorders>
          </w:tcPr>
          <w:p w14:paraId="51DCE8D9">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19-21</w:t>
            </w:r>
          </w:p>
        </w:tc>
      </w:tr>
      <w:tr w14:paraId="19B1801F">
        <w:tblPrEx>
          <w:tblCellMar>
            <w:top w:w="0" w:type="dxa"/>
            <w:left w:w="115" w:type="dxa"/>
            <w:bottom w:w="0" w:type="dxa"/>
            <w:right w:w="115" w:type="dxa"/>
          </w:tblCellMar>
        </w:tblPrEx>
        <w:trPr>
          <w:trHeight w:val="281" w:hRule="atLeast"/>
        </w:trPr>
        <w:tc>
          <w:tcPr>
            <w:tcW w:w="1560" w:type="dxa"/>
          </w:tcPr>
          <w:p w14:paraId="2D4B0F15">
            <w:pPr>
              <w:pStyle w:val="35"/>
              <w:autoSpaceDE w:val="0"/>
              <w:autoSpaceDN w:val="0"/>
              <w:adjustRightInd w:val="0"/>
              <w:rPr>
                <w:color w:val="333333"/>
                <w:szCs w:val="24"/>
                <w:lang w:val="en-US" w:eastAsia="en-GB"/>
              </w:rPr>
            </w:pPr>
          </w:p>
        </w:tc>
        <w:tc>
          <w:tcPr>
            <w:tcW w:w="2694" w:type="dxa"/>
            <w:tcBorders>
              <w:bottom w:val="single" w:color="auto" w:sz="4" w:space="0"/>
            </w:tcBorders>
          </w:tcPr>
          <w:p w14:paraId="2781E9EA">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Limitations</w:t>
            </w:r>
          </w:p>
        </w:tc>
        <w:tc>
          <w:tcPr>
            <w:tcW w:w="850" w:type="dxa"/>
            <w:tcBorders>
              <w:bottom w:val="single" w:color="auto" w:sz="4" w:space="0"/>
            </w:tcBorders>
          </w:tcPr>
          <w:p w14:paraId="3DF77C11">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30</w:t>
            </w:r>
          </w:p>
        </w:tc>
        <w:tc>
          <w:tcPr>
            <w:tcW w:w="10348" w:type="dxa"/>
            <w:tcBorders>
              <w:bottom w:val="single" w:color="auto" w:sz="4" w:space="0"/>
            </w:tcBorders>
          </w:tcPr>
          <w:p w14:paraId="5A5F6BA5">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Trial limitations, addressing sources of potential bias, imprecision, generalisability, and, if relevant, multiplicity of analyses</w:t>
            </w:r>
          </w:p>
        </w:tc>
        <w:tc>
          <w:tcPr>
            <w:tcW w:w="1417" w:type="dxa"/>
            <w:tcBorders>
              <w:top w:val="single" w:color="auto" w:sz="4" w:space="0"/>
              <w:bottom w:val="single" w:color="auto" w:sz="4" w:space="0"/>
            </w:tcBorders>
          </w:tcPr>
          <w:p w14:paraId="2C333E74">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21-</w:t>
            </w:r>
            <w:bookmarkStart w:id="0" w:name="_GoBack"/>
            <w:bookmarkEnd w:id="0"/>
            <w:r>
              <w:rPr>
                <w:rFonts w:hint="eastAsia" w:eastAsia="宋体"/>
                <w:color w:val="333333"/>
                <w:szCs w:val="24"/>
                <w:lang w:val="en-US" w:eastAsia="zh-CN"/>
              </w:rPr>
              <w:t>22</w:t>
            </w:r>
          </w:p>
        </w:tc>
      </w:tr>
    </w:tbl>
    <w:p w14:paraId="26A74134">
      <w:pPr>
        <w:spacing w:after="0"/>
        <w:rPr>
          <w:sz w:val="16"/>
          <w:szCs w:val="16"/>
        </w:rPr>
      </w:pPr>
    </w:p>
    <w:p w14:paraId="1614A667">
      <w:pPr>
        <w:pStyle w:val="38"/>
        <w:tabs>
          <w:tab w:val="left" w:pos="4830"/>
        </w:tabs>
        <w:spacing w:before="80" w:line="240" w:lineRule="auto"/>
        <w:rPr>
          <w:rFonts w:ascii="Arial" w:hAnsi="Arial" w:cs="Arial"/>
          <w:sz w:val="18"/>
          <w:szCs w:val="18"/>
        </w:rPr>
      </w:pPr>
      <w:r>
        <w:rPr>
          <w:rFonts w:ascii="Arial" w:hAnsi="Arial" w:cs="Arial"/>
          <w:sz w:val="18"/>
          <w:szCs w:val="18"/>
        </w:rPr>
        <w:t xml:space="preserve">Citation: Hopewell S, Chan AW, Collins GS, Hróbjartsson A, Moher D, Schulz KF, et al. CONSORT 2025 Statement: updated guideline for reporting randomised trials. BMJ. 2025; 388:e081123. </w:t>
      </w:r>
      <w:r>
        <w:fldChar w:fldCharType="begin"/>
      </w:r>
      <w:r>
        <w:instrText xml:space="preserve"> HYPERLINK "https://dx.doi.org/10.1136/bmj-2024-081123" </w:instrText>
      </w:r>
      <w:r>
        <w:fldChar w:fldCharType="separate"/>
      </w:r>
      <w:r>
        <w:rPr>
          <w:rStyle w:val="15"/>
          <w:rFonts w:ascii="Arial" w:hAnsi="Arial" w:cs="Arial"/>
          <w:sz w:val="18"/>
          <w:szCs w:val="18"/>
        </w:rPr>
        <w:t>https://dx.doi.org/10.1136/bmj-2024-081123</w:t>
      </w:r>
      <w:r>
        <w:rPr>
          <w:rStyle w:val="15"/>
          <w:rFonts w:ascii="Arial" w:hAnsi="Arial" w:cs="Arial"/>
          <w:sz w:val="18"/>
          <w:szCs w:val="18"/>
        </w:rPr>
        <w:fldChar w:fldCharType="end"/>
      </w:r>
      <w:r>
        <w:rPr>
          <w:rFonts w:ascii="Arial" w:hAnsi="Arial" w:cs="Arial"/>
          <w:sz w:val="18"/>
          <w:szCs w:val="18"/>
        </w:rPr>
        <w:t xml:space="preserve"> </w:t>
      </w:r>
      <w:r>
        <w:rPr>
          <w:rFonts w:ascii="Arial" w:hAnsi="Arial" w:cs="Arial"/>
          <w:sz w:val="18"/>
          <w:szCs w:val="18"/>
        </w:rPr>
        <w:br w:type="textWrapping"/>
      </w:r>
      <w:r>
        <w:rPr>
          <w:rFonts w:ascii="Arial" w:hAnsi="Arial" w:cs="Arial"/>
          <w:sz w:val="18"/>
          <w:szCs w:val="18"/>
        </w:rPr>
        <w:t>© 2025 Hopewell et al. This is an Open Access article distributed under the terms of the Creative Commons Attribution License (</w:t>
      </w:r>
      <w:r>
        <w:fldChar w:fldCharType="begin"/>
      </w:r>
      <w:r>
        <w:instrText xml:space="preserve"> HYPERLINK "https://creativecommons.org/licenses/by/4.0/" </w:instrText>
      </w:r>
      <w:r>
        <w:fldChar w:fldCharType="separate"/>
      </w:r>
      <w:r>
        <w:rPr>
          <w:rStyle w:val="15"/>
          <w:rFonts w:ascii="Arial" w:hAnsi="Arial" w:cs="Arial"/>
          <w:sz w:val="18"/>
          <w:szCs w:val="18"/>
        </w:rPr>
        <w:t>https://creativecommons.org/licenses/by/4.0/</w:t>
      </w:r>
      <w:r>
        <w:rPr>
          <w:rStyle w:val="15"/>
          <w:rFonts w:ascii="Arial" w:hAnsi="Arial" w:cs="Arial"/>
          <w:sz w:val="18"/>
          <w:szCs w:val="18"/>
        </w:rPr>
        <w:fldChar w:fldCharType="end"/>
      </w:r>
      <w:r>
        <w:rPr>
          <w:rFonts w:ascii="Arial" w:hAnsi="Arial" w:cs="Arial"/>
          <w:sz w:val="18"/>
          <w:szCs w:val="18"/>
        </w:rPr>
        <w:t>), which permits unrestricted use, distribution, and reproduction in any medium, provided the original work is properly cited.</w:t>
      </w:r>
    </w:p>
    <w:p w14:paraId="518C7FEE">
      <w:pPr>
        <w:pStyle w:val="38"/>
        <w:tabs>
          <w:tab w:val="left" w:pos="4830"/>
        </w:tabs>
        <w:spacing w:before="80" w:line="240" w:lineRule="auto"/>
        <w:rPr>
          <w:rFonts w:ascii="Arial" w:hAnsi="Arial" w:cs="Arial"/>
          <w:sz w:val="18"/>
          <w:szCs w:val="18"/>
        </w:rPr>
      </w:pPr>
      <w:r>
        <w:rPr>
          <w:rFonts w:ascii="Arial" w:hAnsi="Arial" w:cs="Arial"/>
          <w:sz w:val="18"/>
          <w:szCs w:val="18"/>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r>
        <w:fldChar w:fldCharType="begin"/>
      </w:r>
      <w:r>
        <w:instrText xml:space="preserve"> HYPERLINK "http://www.consort-spirit.org" </w:instrText>
      </w:r>
      <w:r>
        <w:fldChar w:fldCharType="separate"/>
      </w:r>
      <w:r>
        <w:rPr>
          <w:rStyle w:val="15"/>
          <w:rFonts w:ascii="Arial" w:hAnsi="Arial" w:cs="Arial"/>
          <w:sz w:val="18"/>
          <w:szCs w:val="18"/>
        </w:rPr>
        <w:t>www.consort-spirit.org</w:t>
      </w:r>
      <w:r>
        <w:rPr>
          <w:rStyle w:val="15"/>
          <w:rFonts w:ascii="Arial" w:hAnsi="Arial" w:cs="Arial"/>
          <w:sz w:val="18"/>
          <w:szCs w:val="18"/>
        </w:rPr>
        <w:fldChar w:fldCharType="end"/>
      </w:r>
      <w:r>
        <w:rPr>
          <w:rFonts w:ascii="Arial" w:hAnsi="Arial" w:cs="Arial"/>
          <w:sz w:val="18"/>
          <w:szCs w:val="18"/>
        </w:rPr>
        <w:t>.</w:t>
      </w:r>
    </w:p>
    <w:sectPr>
      <w:pgSz w:w="16838" w:h="11906" w:orient="landscape"/>
      <w:pgMar w:top="720" w:right="720" w:bottom="720" w:left="72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ptos">
    <w:altName w:val="宋体"/>
    <w:panose1 w:val="00000000000000000000"/>
    <w:charset w:val="86"/>
    <w:family w:val="swiss"/>
    <w:pitch w:val="default"/>
    <w:sig w:usb0="00000000" w:usb1="00000000" w:usb2="00000000" w:usb3="00000000" w:csb0="0000019F" w:csb1="00000000"/>
  </w:font>
  <w:font w:name="Aptos">
    <w:altName w:val="宋体"/>
    <w:panose1 w:val="00000000000000000000"/>
    <w:charset w:val="86"/>
    <w:family w:val="auto"/>
    <w:pitch w:val="default"/>
    <w:sig w:usb0="00000000" w:usb1="00000000" w:usb2="00000000" w:usb3="00000000" w:csb0="00000000" w:csb1="00000000"/>
  </w:font>
  <w:font w:name="Aptos">
    <w:altName w:val="Segoe Print"/>
    <w:panose1 w:val="00000000000000000000"/>
    <w:charset w:val="00"/>
    <w:family w:val="auto"/>
    <w:pitch w:val="default"/>
    <w:sig w:usb0="00000000" w:usb1="00000000" w:usb2="00000000" w:usb3="00000000" w:csb0="00000000" w:csb1="00000000"/>
  </w:font>
  <w:font w:name="Aptos Display">
    <w:altName w:val="Calibri"/>
    <w:panose1 w:val="00000000000000000000"/>
    <w:charset w:val="00"/>
    <w:family w:val="swiss"/>
    <w:pitch w:val="default"/>
    <w:sig w:usb0="00000000" w:usb1="00000000" w:usb2="00000000" w:usb3="00000000" w:csb0="0000019F" w:csb1="00000000"/>
  </w:font>
  <w:font w:name="等线 Light">
    <w:panose1 w:val="02010600030101010101"/>
    <w:charset w:val="86"/>
    <w:family w:val="auto"/>
    <w:pitch w:val="default"/>
    <w:sig w:usb0="A00002BF" w:usb1="38CF7CFA" w:usb2="00000016" w:usb3="00000000" w:csb0="0004000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52A"/>
    <w:rsid w:val="00141134"/>
    <w:rsid w:val="001D66E4"/>
    <w:rsid w:val="003734CC"/>
    <w:rsid w:val="006113B4"/>
    <w:rsid w:val="00715DC2"/>
    <w:rsid w:val="00717D29"/>
    <w:rsid w:val="0076583E"/>
    <w:rsid w:val="007D4228"/>
    <w:rsid w:val="00C9152A"/>
    <w:rsid w:val="00CF759C"/>
    <w:rsid w:val="00D86B53"/>
    <w:rsid w:val="00DB5D01"/>
    <w:rsid w:val="00E72327"/>
    <w:rsid w:val="00F3689F"/>
    <w:rsid w:val="22FA1810"/>
    <w:rsid w:val="3E210C54"/>
    <w:rsid w:val="68074C3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n-GB" w:eastAsia="en-US" w:bidi="ar-SA"/>
      <w14:ligatures w14:val="standardContextual"/>
    </w:rPr>
  </w:style>
  <w:style w:type="paragraph" w:styleId="2">
    <w:name w:val="heading 1"/>
    <w:basedOn w:val="1"/>
    <w:next w:val="1"/>
    <w:link w:val="16"/>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7"/>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18"/>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19"/>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0"/>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1"/>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2"/>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3"/>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4"/>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6"/>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5"/>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styleId="15">
    <w:name w:val="Hyperlink"/>
    <w:qFormat/>
    <w:uiPriority w:val="0"/>
    <w:rPr>
      <w:color w:val="0000FF"/>
      <w:u w:val="single"/>
    </w:rPr>
  </w:style>
  <w:style w:type="character" w:customStyle="1" w:styleId="16">
    <w:name w:val="Heading 1 Char"/>
    <w:basedOn w:val="14"/>
    <w:link w:val="2"/>
    <w:qFormat/>
    <w:uiPriority w:val="9"/>
    <w:rPr>
      <w:rFonts w:asciiTheme="majorHAnsi" w:hAnsiTheme="majorHAnsi" w:eastAsiaTheme="majorEastAsia" w:cstheme="majorBidi"/>
      <w:color w:val="104862" w:themeColor="accent1" w:themeShade="BF"/>
      <w:sz w:val="40"/>
      <w:szCs w:val="40"/>
    </w:rPr>
  </w:style>
  <w:style w:type="character" w:customStyle="1" w:styleId="17">
    <w:name w:val="Heading 2 Char"/>
    <w:basedOn w:val="14"/>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18">
    <w:name w:val="Heading 3 Char"/>
    <w:basedOn w:val="14"/>
    <w:link w:val="4"/>
    <w:semiHidden/>
    <w:qFormat/>
    <w:uiPriority w:val="9"/>
    <w:rPr>
      <w:rFonts w:eastAsiaTheme="majorEastAsia" w:cstheme="majorBidi"/>
      <w:color w:val="104862" w:themeColor="accent1" w:themeShade="BF"/>
      <w:sz w:val="28"/>
      <w:szCs w:val="28"/>
    </w:rPr>
  </w:style>
  <w:style w:type="character" w:customStyle="1" w:styleId="19">
    <w:name w:val="Heading 4 Char"/>
    <w:basedOn w:val="14"/>
    <w:link w:val="5"/>
    <w:semiHidden/>
    <w:qFormat/>
    <w:uiPriority w:val="9"/>
    <w:rPr>
      <w:rFonts w:eastAsiaTheme="majorEastAsia" w:cstheme="majorBidi"/>
      <w:i/>
      <w:iCs/>
      <w:color w:val="104862" w:themeColor="accent1" w:themeShade="BF"/>
    </w:rPr>
  </w:style>
  <w:style w:type="character" w:customStyle="1" w:styleId="20">
    <w:name w:val="Heading 5 Char"/>
    <w:basedOn w:val="14"/>
    <w:link w:val="6"/>
    <w:semiHidden/>
    <w:qFormat/>
    <w:uiPriority w:val="9"/>
    <w:rPr>
      <w:rFonts w:eastAsiaTheme="majorEastAsia" w:cstheme="majorBidi"/>
      <w:color w:val="104862" w:themeColor="accent1" w:themeShade="BF"/>
    </w:rPr>
  </w:style>
  <w:style w:type="character" w:customStyle="1" w:styleId="21">
    <w:name w:val="Heading 6 Char"/>
    <w:basedOn w:val="14"/>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2">
    <w:name w:val="Heading 7 Char"/>
    <w:basedOn w:val="14"/>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3">
    <w:name w:val="Heading 8 Char"/>
    <w:basedOn w:val="14"/>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4">
    <w:name w:val="Heading 9 Char"/>
    <w:basedOn w:val="14"/>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5">
    <w:name w:val="Title Char"/>
    <w:basedOn w:val="14"/>
    <w:link w:val="12"/>
    <w:qFormat/>
    <w:uiPriority w:val="10"/>
    <w:rPr>
      <w:rFonts w:asciiTheme="majorHAnsi" w:hAnsiTheme="majorHAnsi" w:eastAsiaTheme="majorEastAsia" w:cstheme="majorBidi"/>
      <w:spacing w:val="-10"/>
      <w:kern w:val="28"/>
      <w:sz w:val="56"/>
      <w:szCs w:val="56"/>
    </w:rPr>
  </w:style>
  <w:style w:type="character" w:customStyle="1" w:styleId="26">
    <w:name w:val="Subtitle Char"/>
    <w:basedOn w:val="14"/>
    <w:link w:val="11"/>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7">
    <w:name w:val="Quote"/>
    <w:basedOn w:val="1"/>
    <w:next w:val="1"/>
    <w:link w:val="2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8">
    <w:name w:val="Quote Char"/>
    <w:basedOn w:val="14"/>
    <w:link w:val="27"/>
    <w:qFormat/>
    <w:uiPriority w:val="29"/>
    <w:rPr>
      <w:i/>
      <w:iCs/>
      <w:color w:val="404040" w:themeColor="text1" w:themeTint="BF"/>
      <w14:textFill>
        <w14:solidFill>
          <w14:schemeClr w14:val="tx1">
            <w14:lumMod w14:val="75000"/>
            <w14:lumOff w14:val="25000"/>
          </w14:schemeClr>
        </w14:solidFill>
      </w14:textFill>
    </w:rPr>
  </w:style>
  <w:style w:type="paragraph" w:styleId="29">
    <w:name w:val="List Paragraph"/>
    <w:basedOn w:val="1"/>
    <w:qFormat/>
    <w:uiPriority w:val="34"/>
    <w:pPr>
      <w:ind w:left="720"/>
      <w:contextualSpacing/>
    </w:pPr>
  </w:style>
  <w:style w:type="character" w:customStyle="1" w:styleId="30">
    <w:name w:val="Intense Emphasis"/>
    <w:basedOn w:val="14"/>
    <w:qFormat/>
    <w:uiPriority w:val="21"/>
    <w:rPr>
      <w:i/>
      <w:iCs/>
      <w:color w:val="104862" w:themeColor="accent1" w:themeShade="BF"/>
    </w:rPr>
  </w:style>
  <w:style w:type="paragraph" w:styleId="31">
    <w:name w:val="Intense Quote"/>
    <w:basedOn w:val="1"/>
    <w:next w:val="1"/>
    <w:link w:val="32"/>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2">
    <w:name w:val="Intense Quote Char"/>
    <w:basedOn w:val="14"/>
    <w:link w:val="31"/>
    <w:qFormat/>
    <w:uiPriority w:val="30"/>
    <w:rPr>
      <w:i/>
      <w:iCs/>
      <w:color w:val="104862" w:themeColor="accent1" w:themeShade="BF"/>
    </w:rPr>
  </w:style>
  <w:style w:type="character" w:customStyle="1" w:styleId="33">
    <w:name w:val="Intense Reference"/>
    <w:basedOn w:val="14"/>
    <w:qFormat/>
    <w:uiPriority w:val="32"/>
    <w:rPr>
      <w:b/>
      <w:bCs/>
      <w:smallCaps/>
      <w:color w:val="104862" w:themeColor="accent1" w:themeShade="BF"/>
      <w:spacing w:val="5"/>
    </w:rPr>
  </w:style>
  <w:style w:type="table" w:customStyle="1" w:styleId="34">
    <w:name w:val="Style2"/>
    <w:basedOn w:val="13"/>
    <w:qFormat/>
    <w:uiPriority w:val="0"/>
    <w:pPr>
      <w:spacing w:after="0" w:line="480" w:lineRule="auto"/>
    </w:pPr>
    <w:rPr>
      <w:rFonts w:ascii="Times New Roman" w:hAnsi="Times New Roman" w:eastAsia="Times New Roman" w:cs="Times New Roman"/>
      <w:color w:val="333333"/>
      <w:kern w:val="0"/>
      <w:sz w:val="24"/>
      <w:szCs w:val="24"/>
      <w:lang w:val="en-US" w:eastAsia="en-GB"/>
      <w14:ligatures w14:val="none"/>
    </w:rPr>
    <w:tblPr>
      <w:tblCellMar>
        <w:left w:w="115" w:type="dxa"/>
        <w:right w:w="115" w:type="dxa"/>
      </w:tblCellMar>
    </w:tblPr>
  </w:style>
  <w:style w:type="paragraph" w:customStyle="1" w:styleId="35">
    <w:name w:val="TableBody"/>
    <w:basedOn w:val="1"/>
    <w:link w:val="37"/>
    <w:qFormat/>
    <w:uiPriority w:val="0"/>
    <w:pPr>
      <w:spacing w:after="0" w:line="240" w:lineRule="auto"/>
    </w:pPr>
    <w:rPr>
      <w:rFonts w:ascii="Times New Roman" w:hAnsi="Times New Roman" w:eastAsia="Calibri" w:cs="Times New Roman"/>
      <w:kern w:val="0"/>
      <w:sz w:val="20"/>
      <w:szCs w:val="20"/>
      <w14:ligatures w14:val="none"/>
    </w:rPr>
  </w:style>
  <w:style w:type="paragraph" w:customStyle="1" w:styleId="36">
    <w:name w:val="TableHeader"/>
    <w:basedOn w:val="1"/>
    <w:next w:val="1"/>
    <w:qFormat/>
    <w:uiPriority w:val="0"/>
    <w:pPr>
      <w:spacing w:after="0" w:line="240" w:lineRule="auto"/>
    </w:pPr>
    <w:rPr>
      <w:rFonts w:ascii="Times New Roman" w:hAnsi="Times New Roman" w:eastAsia="Calibri" w:cs="Times New Roman"/>
      <w:b/>
      <w:kern w:val="0"/>
      <w:sz w:val="24"/>
      <w:szCs w:val="20"/>
      <w14:ligatures w14:val="none"/>
    </w:rPr>
  </w:style>
  <w:style w:type="character" w:customStyle="1" w:styleId="37">
    <w:name w:val="TableBody Char"/>
    <w:basedOn w:val="14"/>
    <w:link w:val="35"/>
    <w:qFormat/>
    <w:uiPriority w:val="0"/>
    <w:rPr>
      <w:rFonts w:ascii="Times New Roman" w:hAnsi="Times New Roman" w:eastAsia="Calibri" w:cs="Times New Roman"/>
      <w:kern w:val="0"/>
      <w:sz w:val="20"/>
      <w:szCs w:val="20"/>
      <w14:ligatures w14:val="none"/>
    </w:rPr>
  </w:style>
  <w:style w:type="paragraph" w:customStyle="1" w:styleId="38">
    <w:name w:val="TableNote"/>
    <w:basedOn w:val="1"/>
    <w:qFormat/>
    <w:uiPriority w:val="0"/>
    <w:pPr>
      <w:spacing w:after="0" w:line="300" w:lineRule="exact"/>
    </w:pPr>
    <w:rPr>
      <w:rFonts w:ascii="Times New Roman" w:hAnsi="Times New Roman" w:eastAsia="Times New Roman" w:cs="Times New Roman"/>
      <w:kern w:val="0"/>
      <w:sz w:val="24"/>
      <w:szCs w:val="20"/>
      <w14:ligatures w14:val="none"/>
    </w:rPr>
  </w:style>
  <w:style w:type="character" w:customStyle="1" w:styleId="39">
    <w:name w:val="Unresolved Mention"/>
    <w:basedOn w:val="1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912</Words>
  <Characters>5563</Characters>
  <Lines>47</Lines>
  <Paragraphs>13</Paragraphs>
  <TotalTime>0</TotalTime>
  <ScaleCrop>false</ScaleCrop>
  <LinksUpToDate>false</LinksUpToDate>
  <CharactersWithSpaces>6321</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2025-03-15T22:59:00Z</dcterms:created>
  <dc:creator>rtunn2</dc:creator>
  <cp:lastModifiedBy>王晓雅</cp:lastModifiedBy>
  <dcterms:modified xsi:type="dcterms:W3CDTF">2025-05-04T14:44:21Z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0x0101007B911A982BD5734D9987567053EDC080</vt:lpwstr>
  </property>
  <property fmtid="{D5CDD505-2E9C-101B-9397-08002B2CF9AE}" pid="3" name="KSOProductBuildVer">
    <vt:lpwstr>2052-12.1.0.18912</vt:lpwstr>
  </property>
  <property fmtid="{D5CDD505-2E9C-101B-9397-08002B2CF9AE}" pid="4" name="ICV">
    <vt:lpwstr>8750E279E339459F874B1EAF6F1AE96E_12</vt:lpwstr>
  </property>
</Properties>
</file>