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5785A7">
      <w:pPr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Association of DI-GM and PA patterns with mortality in hypertensive patients in NHANES 2007 – 2018</w:t>
      </w:r>
    </w:p>
    <w:tbl>
      <w:tblPr>
        <w:tblStyle w:val="2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1488"/>
        <w:gridCol w:w="1834"/>
        <w:gridCol w:w="1825"/>
        <w:gridCol w:w="1696"/>
        <w:gridCol w:w="1740"/>
        <w:gridCol w:w="1834"/>
        <w:gridCol w:w="1601"/>
      </w:tblGrid>
      <w:tr w14:paraId="05ACD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58" w:type="pct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7A1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Mortality outcome</w:t>
            </w:r>
          </w:p>
        </w:tc>
        <w:tc>
          <w:tcPr>
            <w:tcW w:w="525" w:type="pct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DB73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Death/No.</w:t>
            </w:r>
          </w:p>
        </w:tc>
        <w:tc>
          <w:tcPr>
            <w:tcW w:w="1291" w:type="pct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BAC2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Mode l</w:t>
            </w:r>
          </w:p>
        </w:tc>
        <w:tc>
          <w:tcPr>
            <w:tcW w:w="1212" w:type="pct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77FD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Model 2</w:t>
            </w:r>
          </w:p>
        </w:tc>
        <w:tc>
          <w:tcPr>
            <w:tcW w:w="1212" w:type="pct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3BF4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Model 3</w:t>
            </w:r>
          </w:p>
        </w:tc>
      </w:tr>
      <w:tr w14:paraId="41D5C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758" w:type="pct"/>
            <w:vMerge w:val="continue"/>
            <w:tcBorders>
              <w:top w:val="single" w:color="000000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6DBF22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4ABE0E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01B3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64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E930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  <w:tc>
          <w:tcPr>
            <w:tcW w:w="598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44F3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614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98B1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  <w:tc>
          <w:tcPr>
            <w:tcW w:w="64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D030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564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AC7D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</w:tr>
      <w:tr w14:paraId="59F3B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58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414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525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87C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90AF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5C7C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187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C45F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4EA3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513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4E46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41E0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low DI-GM + inactive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83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2C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67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AC9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71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28E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C1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52CB9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F5D6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low DI-GM+WW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B7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124/1508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B0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0.54(0.39,0.73)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739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C5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0.55(0.40,0.76)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3F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52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0.62(0.46,0.84)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78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0.002</w:t>
            </w:r>
          </w:p>
        </w:tc>
      </w:tr>
      <w:tr w14:paraId="5F896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A1D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low DI-GM+RA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5C8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270/2807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72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0.66(0.51,0.87)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8F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D4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0.68(0.51,0.89)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FE6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0.01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69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0.71(0.54,0.93)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458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0.01</w:t>
            </w:r>
          </w:p>
        </w:tc>
      </w:tr>
      <w:tr w14:paraId="4BDC9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FA9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High DI-GM + inactive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B80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88/724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F92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0.85(0.60,1.21)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8E6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0.37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0E3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0.80(0.56,1.16)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05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0.24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451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0.80(0.55,1.17)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1A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0.25</w:t>
            </w:r>
          </w:p>
        </w:tc>
      </w:tr>
      <w:tr w14:paraId="38FF8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770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High DI-GM+WW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3C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56/988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64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0.43(0.30,0.62)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A5A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9AB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0.40(0.28,0.58)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08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26A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0.45(0.31,0.64)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1E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&lt;0.0001</w:t>
            </w:r>
          </w:p>
        </w:tc>
      </w:tr>
      <w:tr w14:paraId="429CF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D43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High DI-GM+RA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CAF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207/1867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618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0.73(0.56,0.96)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0F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EC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0.66(0.50,0.87)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36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0.004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0C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0.67(0.52,0.88)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EF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0.004</w:t>
            </w:r>
          </w:p>
        </w:tc>
      </w:tr>
      <w:tr w14:paraId="1DCD0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0267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CVD mortality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B4C3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6F664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DF84A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03A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8B3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345D9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1F5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5235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0D44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low DI-GM + inactive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A2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52/1066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C6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693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816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C0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AB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D3C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5D24E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DCF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low DI-GM+WW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2E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30/1414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D0D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0.46(0.27,0.80)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F19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EE6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0.45(0.26, 0.78)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A27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0.005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CBC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0.53(0.31, 0.91)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8EA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0.02</w:t>
            </w:r>
          </w:p>
        </w:tc>
      </w:tr>
      <w:tr w14:paraId="0FD0C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384B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low DI-GM+RA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0D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85/2622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6C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0.59(0.36,0.97)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0B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41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0.59(0.36, 0.97)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FA8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0.04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FA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0.65(0.38, 1.08)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394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0.1</w:t>
            </w:r>
          </w:p>
        </w:tc>
      </w:tr>
      <w:tr w14:paraId="6BC41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5B5A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High DI-GM + inactive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CA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25/661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1A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0.72(0.43,1.20)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C25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0.21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E2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0.68(0.40, 1.14)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D4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0.14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A0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0.74(0.42, 1.30)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533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0.29</w:t>
            </w:r>
          </w:p>
        </w:tc>
      </w:tr>
      <w:tr w14:paraId="09639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B5D0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High DI-GM+WW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4F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15/947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51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0.36(0.20,0.66)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68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A86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0.32(0.17, 0.57)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950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2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0.37(0.19, 0.71)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123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0.003</w:t>
            </w:r>
          </w:p>
        </w:tc>
      </w:tr>
      <w:tr w14:paraId="1DBF5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75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6F8BD9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High DI-GM+RA</w:t>
            </w:r>
          </w:p>
        </w:tc>
        <w:tc>
          <w:tcPr>
            <w:tcW w:w="52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343C0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66/1726</w:t>
            </w:r>
          </w:p>
        </w:tc>
        <w:tc>
          <w:tcPr>
            <w:tcW w:w="64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3B1DD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0.67(0.43,1.04)</w:t>
            </w:r>
          </w:p>
        </w:tc>
        <w:tc>
          <w:tcPr>
            <w:tcW w:w="64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39FB9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0.08</w:t>
            </w:r>
          </w:p>
        </w:tc>
        <w:tc>
          <w:tcPr>
            <w:tcW w:w="59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535DA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0.57(0.37, 0.89)</w:t>
            </w:r>
          </w:p>
        </w:tc>
        <w:tc>
          <w:tcPr>
            <w:tcW w:w="61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30B7D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0.01</w:t>
            </w:r>
          </w:p>
        </w:tc>
        <w:tc>
          <w:tcPr>
            <w:tcW w:w="64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0BFBC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0.61(0.39, 0.98)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0D0AC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0.04</w:t>
            </w:r>
          </w:p>
        </w:tc>
      </w:tr>
    </w:tbl>
    <w:p w14:paraId="39413ABE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Autospacing="0" w:afterAutospacing="0"/>
        <w:textAlignment w:val="center"/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 xml:space="preserve">Note: Model 1 served as the unadjusted analysis; </w:t>
      </w:r>
    </w:p>
    <w:p w14:paraId="14FF3AE8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Autospacing="0" w:afterAutospacing="0"/>
        <w:textAlignment w:val="center"/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 xml:space="preserve">Model 2: further adjusted for sociodemographic characteristics (age, sex, and race); </w:t>
      </w:r>
    </w:p>
    <w:p w14:paraId="1599F753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Autospacing="0" w:afterAutospacing="0"/>
        <w:textAlignment w:val="center"/>
        <w:rPr>
          <w:rFonts w:hint="default" w:ascii="Times New Roman" w:hAnsi="Times New Roman" w:eastAsia="微软雅黑" w:cs="Times New Roman"/>
          <w:color w:val="0070C0"/>
          <w:kern w:val="0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>Model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>3: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>further adjusted for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 xml:space="preserve">personal lifestyle and behavioral variables (education level, 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 xml:space="preserve">family size, insurance,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>marital status, smoking status, drinking status, BMI, sitting time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 xml:space="preserve">, DASH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 xml:space="preserve">), factors associated with health conditions (diabetes mellitus, hyperlipidemia, 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 xml:space="preserve">cancer,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antidiabetic drugs, antihypertensive drugs, and lipid-lowering therapies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>).</w:t>
      </w:r>
    </w:p>
    <w:p w14:paraId="66D3D260">
      <w:pPr>
        <w:spacing w:after="100" w:afterAutospacing="1"/>
        <w:rPr>
          <w:rFonts w:hint="eastAsia"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kern w:val="0"/>
          <w:sz w:val="24"/>
          <w:szCs w:val="24"/>
          <w:lang w:bidi="ar"/>
        </w:rPr>
        <w:t xml:space="preserve">Abbreviations: </w:t>
      </w:r>
      <w:r>
        <w:rPr>
          <w:rFonts w:ascii="Times New Roman" w:hAnsi="Times New Roman" w:cs="Times New Roman"/>
          <w:sz w:val="24"/>
          <w:szCs w:val="24"/>
        </w:rPr>
        <w:t xml:space="preserve">DI-GM, </w:t>
      </w:r>
      <w:r>
        <w:rPr>
          <w:rFonts w:ascii="Times New Roman" w:hAnsi="Times New Roman" w:eastAsia="宋体" w:cs="Times New Roman"/>
          <w:kern w:val="0"/>
          <w:sz w:val="24"/>
          <w:szCs w:val="24"/>
          <w:lang w:bidi="ar"/>
        </w:rPr>
        <w:t>dietary index for gut microbiota. PA patterns: inactive, weekend warrior, regularly active. WW, weekend warrior; RA, regularly active; High DI-G</w:t>
      </w:r>
      <w:r>
        <w:rPr>
          <w:rFonts w:ascii="Times New Roman" w:hAnsi="Times New Roman" w:cs="Times New Roman"/>
          <w:sz w:val="24"/>
          <w:szCs w:val="24"/>
        </w:rPr>
        <w:t>M: ≥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; Low </w:t>
      </w:r>
      <w:r>
        <w:rPr>
          <w:rFonts w:ascii="Times New Roman" w:hAnsi="Times New Roman" w:eastAsia="宋体" w:cs="Times New Roman"/>
          <w:kern w:val="0"/>
          <w:sz w:val="24"/>
          <w:szCs w:val="24"/>
          <w:lang w:bidi="ar"/>
        </w:rPr>
        <w:t>DI-G</w:t>
      </w:r>
      <w:r>
        <w:rPr>
          <w:rFonts w:ascii="Times New Roman" w:hAnsi="Times New Roman" w:cs="Times New Roman"/>
          <w:sz w:val="24"/>
          <w:szCs w:val="24"/>
        </w:rPr>
        <w:t>M: &lt;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AB5B02">
      <w:pPr>
        <w:rPr>
          <w:rFonts w:hint="eastAsia"/>
          <w:sz w:val="24"/>
          <w:szCs w:val="24"/>
          <w:lang w:val="en-US" w:eastAsia="zh-CN"/>
        </w:rPr>
      </w:pPr>
    </w:p>
    <w:p w14:paraId="60F6B9E0">
      <w:pPr>
        <w:rPr>
          <w:rFonts w:hint="eastAsia"/>
          <w:sz w:val="24"/>
          <w:szCs w:val="24"/>
          <w:lang w:val="en-US" w:eastAsia="zh-CN"/>
        </w:rPr>
      </w:pPr>
    </w:p>
    <w:p w14:paraId="1570CCFC">
      <w:pPr>
        <w:spacing w:after="100" w:afterAutospacing="1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sz w:val="24"/>
          <w:szCs w:val="24"/>
        </w:rPr>
        <w:t>Table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Subgroup </w:t>
      </w:r>
      <w:r>
        <w:rPr>
          <w:rFonts w:ascii="Times New Roman" w:hAnsi="Times New Roman" w:cs="Times New Roman"/>
          <w:sz w:val="24"/>
          <w:szCs w:val="24"/>
        </w:rPr>
        <w:t xml:space="preserve">analysis shows the robust association between the joint association of DI-GM and PA patterns with the all-cause and CVD mortality among hypertensive patients in </w:t>
      </w:r>
      <w:r>
        <w:rPr>
          <w:rFonts w:ascii="Times New Roman" w:hAnsi="Times New Roman" w:eastAsia="微软雅黑" w:cs="Times New Roman"/>
          <w:sz w:val="24"/>
          <w:szCs w:val="24"/>
          <w:shd w:val="clear" w:color="auto" w:fill="FFFFFF"/>
        </w:rPr>
        <w:t>NHANES 2007–2018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W w:w="14460" w:type="dxa"/>
        <w:tblInd w:w="98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6"/>
        <w:gridCol w:w="1793"/>
        <w:gridCol w:w="1573"/>
        <w:gridCol w:w="1724"/>
        <w:gridCol w:w="1846"/>
        <w:gridCol w:w="1743"/>
        <w:gridCol w:w="1743"/>
        <w:gridCol w:w="1744"/>
      </w:tblGrid>
      <w:tr w14:paraId="6D99BB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50" w:type="dxa"/>
            <w:tcBorders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046A5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10" w:type="dxa"/>
            <w:gridSpan w:val="2"/>
            <w:tcBorders>
              <w:left w:val="nil"/>
              <w:bottom w:val="single" w:color="auto" w:sz="6" w:space="0"/>
              <w:right w:val="nil"/>
            </w:tcBorders>
            <w:shd w:val="clear"/>
            <w:noWrap/>
            <w:vAlign w:val="center"/>
          </w:tcPr>
          <w:p w14:paraId="6A002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age</w:t>
            </w:r>
          </w:p>
        </w:tc>
        <w:tc>
          <w:tcPr>
            <w:tcW w:w="3570" w:type="dxa"/>
            <w:gridSpan w:val="2"/>
            <w:tcBorders>
              <w:left w:val="nil"/>
              <w:bottom w:val="single" w:color="auto" w:sz="6" w:space="0"/>
              <w:right w:val="nil"/>
            </w:tcBorders>
            <w:shd w:val="clear"/>
            <w:noWrap/>
            <w:vAlign w:val="center"/>
          </w:tcPr>
          <w:p w14:paraId="3FFC7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sex</w:t>
            </w:r>
          </w:p>
        </w:tc>
        <w:tc>
          <w:tcPr>
            <w:tcW w:w="5230" w:type="dxa"/>
            <w:gridSpan w:val="3"/>
            <w:tcBorders>
              <w:left w:val="nil"/>
              <w:bottom w:val="single" w:color="auto" w:sz="6" w:space="0"/>
              <w:right w:val="nil"/>
            </w:tcBorders>
            <w:shd w:val="clear"/>
            <w:noWrap/>
            <w:vAlign w:val="center"/>
          </w:tcPr>
          <w:p w14:paraId="4517C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sitting time</w:t>
            </w:r>
          </w:p>
        </w:tc>
      </w:tr>
      <w:tr w14:paraId="20F1AB6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nil"/>
            </w:tcBorders>
            <w:shd w:val="clear"/>
            <w:noWrap/>
            <w:vAlign w:val="center"/>
          </w:tcPr>
          <w:p w14:paraId="62D18BA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/>
            <w:noWrap/>
            <w:vAlign w:val="center"/>
          </w:tcPr>
          <w:p w14:paraId="07EDB8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&lt;45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/>
            <w:noWrap/>
            <w:vAlign w:val="center"/>
          </w:tcPr>
          <w:p w14:paraId="07F9D2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&gt;=45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/>
            <w:noWrap/>
            <w:vAlign w:val="center"/>
          </w:tcPr>
          <w:p w14:paraId="0E656C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/>
            <w:noWrap/>
            <w:vAlign w:val="center"/>
          </w:tcPr>
          <w:p w14:paraId="659586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       Female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/>
            <w:noWrap/>
            <w:vAlign w:val="center"/>
          </w:tcPr>
          <w:p w14:paraId="36B34E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&lt;4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/>
            <w:noWrap/>
            <w:vAlign w:val="center"/>
          </w:tcPr>
          <w:p w14:paraId="50D7C6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4~6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/>
            <w:noWrap/>
            <w:vAlign w:val="center"/>
          </w:tcPr>
          <w:p w14:paraId="7DDAD1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&gt;6</w:t>
            </w:r>
          </w:p>
        </w:tc>
      </w:tr>
      <w:tr w14:paraId="3A7F09D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auto" w:sz="6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1D6D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All-cause mortality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82846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5CDC9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61301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6D0E7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CB182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B8F21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D66DA4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A3D08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3B4A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DI-GM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D375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1.01(0.84, 1.22)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D97B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0.94(0.89,0.99)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3B8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0.97(0.92,1.04)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5E60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0.88(0.80,0.96)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CE13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1.01(0.93,1.09)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9EC4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0.92(0.83,1.02)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CD9C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0.93(0.86,1.02)</w:t>
            </w:r>
          </w:p>
        </w:tc>
      </w:tr>
      <w:tr w14:paraId="3EC1AC7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660B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Unfavorable to gut microbiota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AFD8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0.99(0.72, 1.37)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91AE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1.10(0.99,1.21)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072D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1.16(1.04,1.29)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0167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0.97(0.80,1.16)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99C3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1.11(0.94,1.30)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BBEE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1.11(0.94,1.31)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9B0F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1.05(0.88,1.26)</w:t>
            </w:r>
          </w:p>
        </w:tc>
      </w:tr>
      <w:tr w14:paraId="412483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8740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Beneficial to gut microbiota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DA1B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1.00(0.80, 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7783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0.88(0.82,0.94)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02DD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0.89(0.81,0.98)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1A65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0.86(0.78,0.94)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099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0.95(0.85,1.07)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6C13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0.86(0.77,0.96)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96D4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0.89(0.81,0.97)</w:t>
            </w:r>
          </w:p>
        </w:tc>
      </w:tr>
      <w:tr w14:paraId="147D3B4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C3C8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DI-GM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A3C1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F99D3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12CD7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2CCB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EB0F1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2E2E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3270D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F5350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6D51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565D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3523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B07E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C1A3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39D2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11F0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CF9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</w:tr>
      <w:tr w14:paraId="102A1E7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FD5D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905A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0.93(0.35, 2.44)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9D06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0.86(0.64,1.14)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CB8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0.89(0.63,1.26)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DE2C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0.74(0.48,1.15)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A24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0.78(0.46,1.32)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862E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0.70(0.44,1.11)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484F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1.23(0.76,2.00)</w:t>
            </w:r>
          </w:p>
        </w:tc>
      </w:tr>
      <w:tr w14:paraId="68E3BDC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9E70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79DB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0.93(0.43, 2.00)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AF8B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0.82(0.64,1.05)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97B0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0.93(0.68,1.26)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2F2E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0.61(0.40,0.92)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F270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0.95(0.56,1.63)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C164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0.61(0.38,0.96)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758A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1.09(0.67,1.79)</w:t>
            </w:r>
          </w:p>
        </w:tc>
      </w:tr>
      <w:tr w14:paraId="4042AEF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9DD0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≥6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08A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0.84(0.33, 2.16)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8CE6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0.73(0.58,0.92)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E1FF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0.82(0.60,1.12)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4BD9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0.56(0.37,0.84)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3256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0.86(0.61,1.23)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11F4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0.65(0.42,1.02)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A815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0.82(0.52,1.31)</w:t>
            </w:r>
          </w:p>
        </w:tc>
      </w:tr>
      <w:tr w14:paraId="51DA107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E1A6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 patterns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764004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471AC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E0D044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5FFC7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C18ED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E68ED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0CE4C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BDDF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457B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Inactive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C017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FFD1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5930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0416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38C9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F5AF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A089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</w:tr>
      <w:tr w14:paraId="429E0E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B77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F05E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0.79(0.28, 2.23)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1BD0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0.57(0.45,0.73)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6D15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0.57(0.44,0.75)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7D75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0.60(0.40,0.89)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AFD6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0.62(0.38,1.02)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D38E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0.63(0.41,0.96)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A316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0.62(0.42,0.90)</w:t>
            </w:r>
          </w:p>
        </w:tc>
      </w:tr>
      <w:tr w14:paraId="1F6779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A5C1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CEFC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0.96(0.41, 2.26)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7692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0.75(0.62,0.90)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5082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0.69(0.54,0.90)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5BAD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0.83(0.63,1.07)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65B7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0.83(0.57,1.19)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CC95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0.93(0.67,1.28)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C977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0.57(0.41,0.81)</w:t>
            </w:r>
          </w:p>
        </w:tc>
      </w:tr>
      <w:tr w14:paraId="142C6F0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E096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PAGM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9E98E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71DCC4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0D760B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160F3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E35BA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E7440B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57266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12C25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51AF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low DI-GM + inactive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F2DE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913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9823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09CE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335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138E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DC35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</w:tr>
      <w:tr w14:paraId="635FFB2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F8C9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low DI-GM+WW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23F1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0.64(0.22, 1.90)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181B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0.62(0.45,0.85)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F110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0.66(0.47,0.93)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EABC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0.65(0.40,1.07)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4021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0.80(0.41,1.55)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A668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0.84(0.49,1.41)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0D4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0.49(0.33,0.74)</w:t>
            </w:r>
          </w:p>
        </w:tc>
      </w:tr>
      <w:tr w14:paraId="7D324F1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B3F7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low DI-GM+RA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2DD7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0.95(0.38, 2.38)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36C7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0.69(0.51,0.94)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37FA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0.80(0.56,1.15)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D9F0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0.60(0.40,0.91)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CADE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0.83(0.48,1.43)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194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0.94(0.61,1.46)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3737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0.53(0.34,0.82)</w:t>
            </w:r>
          </w:p>
        </w:tc>
      </w:tr>
      <w:tr w14:paraId="6C32A48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6CC0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High DI-GM + inactive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7B3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0.73(0.08, 6.47)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653A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0.80(0.54,1.17)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C33F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1.19(0.75,1.91)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A6F2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0.56(0.31,1.02)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1109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1.12(0.46,2.69)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51D2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1.07(0.62,1.82)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FF79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0.60(0.35,1.04)</w:t>
            </w:r>
          </w:p>
        </w:tc>
      </w:tr>
      <w:tr w14:paraId="49E7F9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BD0F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High DI-GM+WW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B244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0.88(0.18, 4.24)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5EDD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0.42(0.30,0.59)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9774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0.56(0.37,0.83)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CAF5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0.26(0.14,0.49)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150F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0.49(0.22,1.08)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06C6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0.43(0.23,0.81)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47D1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0.52(0.30,0.92)</w:t>
            </w:r>
          </w:p>
        </w:tc>
      </w:tr>
      <w:tr w14:paraId="2F795D5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42B7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High DI-GM+RA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C997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0.76(0.24, 2.39)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351A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0.66(0.51,0.86)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0DCE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0.67(0.47,0.95)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568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0.67(0.45,1.01)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212C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0.91(0.54,1.54)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8236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0.96(0.63,1.48)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1B5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0.41(0.25,0.69)</w:t>
            </w:r>
          </w:p>
        </w:tc>
      </w:tr>
      <w:tr w14:paraId="64DD80E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83FE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CVD mortality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5DC5B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EB1EF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CC199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85BB04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BF8FC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7595F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7C9A2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8E05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1C1E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DI-GM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5C72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0.80( 0.39, 1.63)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7E41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0.92(0.84,1.01)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CFCC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0.96(0.85, 1.09)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2E2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0.80(0.68, 0.93)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78E8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1.05(0.87, 1.26)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7BE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0.89(0.74, 1.08)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6006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0.93(0.80, 1.07)</w:t>
            </w:r>
          </w:p>
        </w:tc>
      </w:tr>
      <w:tr w14:paraId="184F44B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7FCA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Unfavorable to gut microbiota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C870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1.22( 0.51, 2.91)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661D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1.09(0.93,1.26)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69C6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1.10(0.93, 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898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1.03(0.71, 1.50)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1D19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1.17(0.90, 1.52)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934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1.10(0.84, 1.44)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1C83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1.15(0.90, 1.46)</w:t>
            </w:r>
          </w:p>
        </w:tc>
      </w:tr>
      <w:tr w14:paraId="0B3790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A80F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Beneficial to gut microbiota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E048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0.66( 0.29, 1.49)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FAE1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0.86(0.77,0.96)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C18A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0.90(0.78, 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740D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0.73(0.60, 0.88)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0BF5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1.00(0.80, 1.24)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B9B1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0.82(0.68, 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96E2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0.83(0.69, 0.99)</w:t>
            </w:r>
          </w:p>
        </w:tc>
      </w:tr>
      <w:tr w14:paraId="711C47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0226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DI-GM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C37AB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2A378B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73F96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1ABED5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36AAC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4590F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2AE19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F244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725C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1E82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7C65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73A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1FE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6643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C924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55F2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</w:tr>
      <w:tr w14:paraId="342CDD8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E125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68C8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0.30( 0.03, 3.46)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3C7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0.72(0.45,1.13)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50C3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0.78(0.42, 1.45)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ED3B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0.45(0.22, 0.88)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8266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0.86(0.30, 2.50)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2C53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0.48(0.23, 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9CD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0.96(0.42, 2.18)</w:t>
            </w:r>
          </w:p>
        </w:tc>
      </w:tr>
      <w:tr w14:paraId="748385A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9FDE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44B2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0.46( 0.03, 7.11)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4860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0.67(0.38,1.18)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8EBC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0.85(0.41, 1.77)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5D5F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0.35(0.16, 0.76)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4C2D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0.78(0.34, 1.78)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BB21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0.42(0.17, 1.06)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FA1C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1.17(0.48, 2.85)</w:t>
            </w:r>
          </w:p>
        </w:tc>
      </w:tr>
      <w:tr w14:paraId="066AD96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4D07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≥6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0D71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0.24( 0.01, 9.67)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DB4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0.63(0.43,0.94)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EE04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0.76(0.42, 1.38)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1428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0.33(0.18, 0.62)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0A5D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0.92(0.45, 1.88)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4AC7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0.49(0.24, 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8EC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0.76(0.35, 1.63)</w:t>
            </w:r>
          </w:p>
        </w:tc>
      </w:tr>
      <w:tr w14:paraId="06CE83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E007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 patterns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4149C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DA039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DB1C9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C981A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E6BA1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000FF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81B78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81A0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98F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Inactive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25BA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2239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33E5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099E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DF3C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0C25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56E5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</w:tr>
      <w:tr w14:paraId="7062FCD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2552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C698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0.55( 0.14, 2.11)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DB68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0.51(0.32,0.81)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BCE1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0.46(0.26, 0.84)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DAA3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0.59(0.30, 1.16)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27EE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0.62(0.20, 1.88)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3E7D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0.61(0.29, 1.29)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BEF1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0.41(0.21, 0.81)</w:t>
            </w:r>
          </w:p>
        </w:tc>
      </w:tr>
      <w:tr w14:paraId="4C97187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193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A1C1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0.54( 0.08, 3.42)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8C80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0.71(0.49,1.02)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1562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0.66(0.40, 1.11)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BF81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0.75(0.49, 1.14)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D45E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0.54(0.27, 1.08)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2E49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0.98(0.57, 1.69)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66E1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0.58(0.31, 1.05)</w:t>
            </w:r>
          </w:p>
        </w:tc>
      </w:tr>
      <w:tr w14:paraId="7D00B6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8093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PAGM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74BAA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1E757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9FBBE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6C6B7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8651C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EE519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8AEB2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3EA5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3BCE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low DI-GM + inactive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2119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06A3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BD22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D508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3A40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D516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C59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</w:tr>
      <w:tr w14:paraId="405BF6D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643C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low DI-GM+WW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2789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0.19( 0.01, 2.55)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1226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0.51(0.27,0.97)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AF4D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0.49(0.24, 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8D91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0.65(0.29, 1.46)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79E1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0.64(0.21, 2.02)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3BE6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0.78(0.29, 2.06)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6459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0.26(0.13, 0.54)</w:t>
            </w:r>
          </w:p>
        </w:tc>
      </w:tr>
      <w:tr w14:paraId="66D7612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6D96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low DI-GM+RA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5137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0.42( 0.05, 3.59)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070C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0.64(0.35,1.16)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C102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0.64(0.31, 1.35)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433F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0.63(0.32, 1.22)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9A3F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0.29(0.12, 0.68)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8978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0.85(0.38, 1.92)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93BA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0.71(0.30, 1.67)</w:t>
            </w:r>
          </w:p>
        </w:tc>
      </w:tr>
      <w:tr w14:paraId="028CC6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1C08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High DI-GM + inactive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F828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0.00( 0.00, 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E24F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0.81(0.43,1.51)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7CE0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0.88(0.42, 1.82)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170B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0.57(0.25, 1.34)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2B96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0.51(0.11, 2.38)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2227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0.79(0.29, 2.17)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80A5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0.79(0.41, 1.51)</w:t>
            </w:r>
          </w:p>
        </w:tc>
      </w:tr>
      <w:tr w14:paraId="5444FD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03BA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High DI-GM+WW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4837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0.93( 0.05, 16.00)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95B8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0.36(0.18,0.72)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8CB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0.39(0.16, 0.97)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CB3E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0.26(0.10, 0.71)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F9C1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0.32(0.07, 1.49)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3EF2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0.34(0.11, 1.05)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9774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0.50(0.17, 1.43)</w:t>
            </w:r>
          </w:p>
        </w:tc>
      </w:tr>
      <w:tr w14:paraId="6AC3085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10F70D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High DI-GM+RA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4D22EE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0.20( 0.00, 11.02)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03202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0.67(0.40,1.13)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67E4F0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0.63(0.34, 1.16)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6C2C9A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0.54(0.29, 0.99)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3E8F84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0.65(0.27, 1.58)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47F187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0.97(0.46, 2.04)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6EBAAD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0.32(0.15, 0.69)</w:t>
            </w:r>
          </w:p>
        </w:tc>
      </w:tr>
    </w:tbl>
    <w:p w14:paraId="790224F2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Autospacing="0" w:afterAutospacing="0"/>
        <w:textAlignment w:val="center"/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 xml:space="preserve">The model adjusted for sociodemographic characteristics (age, sex, and race), personal lifestyle and behavioral variables (education level, 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 xml:space="preserve">family size, insurance,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>marital status, smoking status, drinking status, BMI, sitting time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 xml:space="preserve">, DASH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 xml:space="preserve">), factors associated with health conditions (diabetes mellitus, hyperlipidemia, 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 xml:space="preserve">cancer,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antidiabetic drugs, antihypertensive drugs, and lipid-lowering therapies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 xml:space="preserve">). </w:t>
      </w:r>
    </w:p>
    <w:p w14:paraId="495F7F1C">
      <w:pPr>
        <w:rPr>
          <w:rFonts w:hint="default"/>
          <w:sz w:val="24"/>
          <w:szCs w:val="24"/>
          <w:lang w:val="en-US" w:eastAsia="zh-CN"/>
        </w:rPr>
      </w:pPr>
    </w:p>
    <w:p w14:paraId="5E4713F0">
      <w:pPr>
        <w:rPr>
          <w:rFonts w:hint="default"/>
          <w:sz w:val="24"/>
          <w:szCs w:val="24"/>
          <w:lang w:val="en-US" w:eastAsia="zh-CN"/>
        </w:rPr>
      </w:pPr>
    </w:p>
    <w:p w14:paraId="36828A57">
      <w:pPr>
        <w:spacing w:after="100" w:afterAutospacing="1"/>
        <w:rPr>
          <w:rFonts w:ascii="Times New Roman" w:hAnsi="Times New Roman" w:cs="Times New Roman"/>
          <w:sz w:val="24"/>
          <w:szCs w:val="24"/>
        </w:rPr>
      </w:pPr>
    </w:p>
    <w:p w14:paraId="4C379551">
      <w:pPr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Sensitive analysis shows the robust association between the joint association of DI-GM and PA patterns with the all-cause and CVD mortality among hypertensive patients in </w:t>
      </w:r>
      <w:r>
        <w:rPr>
          <w:rFonts w:ascii="Times New Roman" w:hAnsi="Times New Roman" w:eastAsia="微软雅黑" w:cs="Times New Roman"/>
          <w:sz w:val="24"/>
          <w:szCs w:val="24"/>
          <w:shd w:val="clear" w:color="auto" w:fill="FFFFFF"/>
        </w:rPr>
        <w:t>NHANES 2007–2018</w:t>
      </w:r>
      <w:r>
        <w:rPr>
          <w:rFonts w:ascii="Times New Roman" w:hAnsi="Times New Roman" w:cs="Times New Roman"/>
          <w:sz w:val="24"/>
          <w:szCs w:val="24"/>
        </w:rPr>
        <w:t>. (Excluding the participants who died within 24 months).</w:t>
      </w:r>
    </w:p>
    <w:tbl>
      <w:tblPr>
        <w:tblStyle w:val="3"/>
        <w:tblW w:w="4992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4"/>
        <w:gridCol w:w="1667"/>
        <w:gridCol w:w="2024"/>
        <w:gridCol w:w="2309"/>
        <w:gridCol w:w="1379"/>
        <w:gridCol w:w="1725"/>
        <w:gridCol w:w="1963"/>
      </w:tblGrid>
      <w:tr w14:paraId="5DCB0F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4" w:type="dxa"/>
            <w:vMerge w:val="restart"/>
            <w:tcBorders>
              <w:bottom w:val="nil"/>
            </w:tcBorders>
            <w:vAlign w:val="center"/>
          </w:tcPr>
          <w:p w14:paraId="517CFF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Mortality outcome</w:t>
            </w:r>
          </w:p>
        </w:tc>
        <w:tc>
          <w:tcPr>
            <w:tcW w:w="3691" w:type="dxa"/>
            <w:gridSpan w:val="2"/>
            <w:tcBorders>
              <w:bottom w:val="single" w:color="auto" w:sz="6" w:space="0"/>
            </w:tcBorders>
            <w:vAlign w:val="center"/>
          </w:tcPr>
          <w:p w14:paraId="1F33B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 l</w:t>
            </w:r>
          </w:p>
        </w:tc>
        <w:tc>
          <w:tcPr>
            <w:tcW w:w="3688" w:type="dxa"/>
            <w:gridSpan w:val="2"/>
            <w:tcBorders>
              <w:bottom w:val="single" w:color="auto" w:sz="6" w:space="0"/>
            </w:tcBorders>
            <w:vAlign w:val="center"/>
          </w:tcPr>
          <w:p w14:paraId="6540E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 2</w:t>
            </w:r>
          </w:p>
        </w:tc>
        <w:tc>
          <w:tcPr>
            <w:tcW w:w="3688" w:type="dxa"/>
            <w:gridSpan w:val="2"/>
            <w:tcBorders>
              <w:bottom w:val="single" w:color="auto" w:sz="6" w:space="0"/>
            </w:tcBorders>
            <w:vAlign w:val="center"/>
          </w:tcPr>
          <w:p w14:paraId="10AEC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 3</w:t>
            </w:r>
          </w:p>
        </w:tc>
      </w:tr>
      <w:tr w14:paraId="2FEAAD1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4" w:type="dxa"/>
            <w:vMerge w:val="continue"/>
            <w:tcBorders>
              <w:top w:val="nil"/>
              <w:bottom w:val="single" w:color="auto" w:sz="6" w:space="0"/>
            </w:tcBorders>
            <w:vAlign w:val="center"/>
          </w:tcPr>
          <w:p w14:paraId="721DC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57A1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202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C11B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  <w:tc>
          <w:tcPr>
            <w:tcW w:w="230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8B70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137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6BE1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  <w:tc>
          <w:tcPr>
            <w:tcW w:w="172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0C3C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196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5830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</w:tr>
      <w:tr w14:paraId="1F45636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4" w:type="dxa"/>
            <w:tcBorders>
              <w:top w:val="single" w:color="auto" w:sz="6" w:space="0"/>
              <w:bottom w:val="nil"/>
            </w:tcBorders>
            <w:vAlign w:val="center"/>
          </w:tcPr>
          <w:p w14:paraId="4531FD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667" w:type="dxa"/>
            <w:tcBorders>
              <w:top w:val="single" w:color="auto" w:sz="6" w:space="0"/>
              <w:bottom w:val="nil"/>
            </w:tcBorders>
            <w:vAlign w:val="center"/>
          </w:tcPr>
          <w:p w14:paraId="68443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color="auto" w:sz="6" w:space="0"/>
              <w:bottom w:val="nil"/>
            </w:tcBorders>
            <w:vAlign w:val="center"/>
          </w:tcPr>
          <w:p w14:paraId="73A7F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  <w:tcBorders>
              <w:top w:val="single" w:color="auto" w:sz="6" w:space="0"/>
              <w:bottom w:val="nil"/>
            </w:tcBorders>
            <w:vAlign w:val="center"/>
          </w:tcPr>
          <w:p w14:paraId="224BEE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color="auto" w:sz="6" w:space="0"/>
              <w:bottom w:val="nil"/>
            </w:tcBorders>
            <w:vAlign w:val="center"/>
          </w:tcPr>
          <w:p w14:paraId="27098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color="auto" w:sz="6" w:space="0"/>
              <w:bottom w:val="nil"/>
            </w:tcBorders>
            <w:vAlign w:val="center"/>
          </w:tcPr>
          <w:p w14:paraId="68AC8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single" w:color="auto" w:sz="6" w:space="0"/>
              <w:bottom w:val="nil"/>
            </w:tcBorders>
            <w:vAlign w:val="center"/>
          </w:tcPr>
          <w:p w14:paraId="61684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92966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4" w:type="dxa"/>
            <w:tcBorders>
              <w:top w:val="nil"/>
              <w:bottom w:val="nil"/>
            </w:tcBorders>
            <w:vAlign w:val="center"/>
          </w:tcPr>
          <w:p w14:paraId="2BF680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low DI-GM + inactive</w:t>
            </w:r>
          </w:p>
        </w:tc>
        <w:tc>
          <w:tcPr>
            <w:tcW w:w="1667" w:type="dxa"/>
            <w:tcBorders>
              <w:top w:val="nil"/>
              <w:bottom w:val="nil"/>
            </w:tcBorders>
            <w:vAlign w:val="center"/>
          </w:tcPr>
          <w:p w14:paraId="166D5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024" w:type="dxa"/>
            <w:tcBorders>
              <w:top w:val="nil"/>
              <w:bottom w:val="nil"/>
            </w:tcBorders>
            <w:vAlign w:val="center"/>
          </w:tcPr>
          <w:p w14:paraId="6D4C3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309" w:type="dxa"/>
            <w:tcBorders>
              <w:top w:val="nil"/>
              <w:bottom w:val="nil"/>
            </w:tcBorders>
            <w:vAlign w:val="center"/>
          </w:tcPr>
          <w:p w14:paraId="44DF1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1379" w:type="dxa"/>
            <w:tcBorders>
              <w:top w:val="nil"/>
              <w:bottom w:val="nil"/>
            </w:tcBorders>
            <w:vAlign w:val="center"/>
          </w:tcPr>
          <w:p w14:paraId="7648A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1725" w:type="dxa"/>
            <w:tcBorders>
              <w:top w:val="nil"/>
              <w:bottom w:val="nil"/>
            </w:tcBorders>
            <w:vAlign w:val="center"/>
          </w:tcPr>
          <w:p w14:paraId="7D750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1963" w:type="dxa"/>
            <w:tcBorders>
              <w:top w:val="nil"/>
              <w:bottom w:val="nil"/>
            </w:tcBorders>
            <w:vAlign w:val="center"/>
          </w:tcPr>
          <w:p w14:paraId="6A6AA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4C73E4B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4" w:type="dxa"/>
            <w:tcBorders>
              <w:top w:val="nil"/>
              <w:bottom w:val="nil"/>
            </w:tcBorders>
            <w:vAlign w:val="center"/>
          </w:tcPr>
          <w:p w14:paraId="75FA73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low DI-GM+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WW</w:t>
            </w:r>
          </w:p>
        </w:tc>
        <w:tc>
          <w:tcPr>
            <w:tcW w:w="1667" w:type="dxa"/>
            <w:tcBorders>
              <w:top w:val="nil"/>
              <w:bottom w:val="nil"/>
            </w:tcBorders>
            <w:vAlign w:val="top"/>
          </w:tcPr>
          <w:p w14:paraId="1D75D865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0.57(0.42,0.78)</w:t>
            </w:r>
          </w:p>
        </w:tc>
        <w:tc>
          <w:tcPr>
            <w:tcW w:w="2024" w:type="dxa"/>
            <w:tcBorders>
              <w:top w:val="nil"/>
              <w:bottom w:val="nil"/>
            </w:tcBorders>
            <w:vAlign w:val="top"/>
          </w:tcPr>
          <w:p w14:paraId="3015FDD8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309" w:type="dxa"/>
            <w:tcBorders>
              <w:top w:val="nil"/>
              <w:bottom w:val="nil"/>
            </w:tcBorders>
            <w:vAlign w:val="top"/>
          </w:tcPr>
          <w:p w14:paraId="29979A73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0.58(0.42,0.81)</w:t>
            </w:r>
          </w:p>
        </w:tc>
        <w:tc>
          <w:tcPr>
            <w:tcW w:w="1379" w:type="dxa"/>
            <w:tcBorders>
              <w:top w:val="nil"/>
              <w:bottom w:val="nil"/>
            </w:tcBorders>
            <w:vAlign w:val="top"/>
          </w:tcPr>
          <w:p w14:paraId="48ABCD65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  <w:tc>
          <w:tcPr>
            <w:tcW w:w="1725" w:type="dxa"/>
            <w:tcBorders>
              <w:top w:val="nil"/>
              <w:bottom w:val="nil"/>
            </w:tcBorders>
            <w:vAlign w:val="top"/>
          </w:tcPr>
          <w:p w14:paraId="03C69576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0.65(0.48,0.88)</w:t>
            </w:r>
          </w:p>
        </w:tc>
        <w:tc>
          <w:tcPr>
            <w:tcW w:w="1963" w:type="dxa"/>
            <w:tcBorders>
              <w:top w:val="nil"/>
              <w:bottom w:val="nil"/>
            </w:tcBorders>
            <w:vAlign w:val="top"/>
          </w:tcPr>
          <w:p w14:paraId="4107AC53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</w:tr>
      <w:tr w14:paraId="2C587C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4" w:type="dxa"/>
            <w:tcBorders>
              <w:top w:val="nil"/>
              <w:bottom w:val="nil"/>
            </w:tcBorders>
            <w:vAlign w:val="center"/>
          </w:tcPr>
          <w:p w14:paraId="28060F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low DI-GM+RA</w:t>
            </w:r>
          </w:p>
        </w:tc>
        <w:tc>
          <w:tcPr>
            <w:tcW w:w="1667" w:type="dxa"/>
            <w:tcBorders>
              <w:top w:val="nil"/>
              <w:bottom w:val="nil"/>
            </w:tcBorders>
            <w:vAlign w:val="top"/>
          </w:tcPr>
          <w:p w14:paraId="7A387563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0.63(0.49,0.81)</w:t>
            </w:r>
          </w:p>
        </w:tc>
        <w:tc>
          <w:tcPr>
            <w:tcW w:w="2024" w:type="dxa"/>
            <w:tcBorders>
              <w:top w:val="nil"/>
              <w:bottom w:val="nil"/>
            </w:tcBorders>
            <w:vAlign w:val="top"/>
          </w:tcPr>
          <w:p w14:paraId="035C7626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309" w:type="dxa"/>
            <w:tcBorders>
              <w:top w:val="nil"/>
              <w:bottom w:val="nil"/>
            </w:tcBorders>
            <w:vAlign w:val="top"/>
          </w:tcPr>
          <w:p w14:paraId="35D8F452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0.64(0.49,0.83)</w:t>
            </w:r>
          </w:p>
        </w:tc>
        <w:tc>
          <w:tcPr>
            <w:tcW w:w="1379" w:type="dxa"/>
            <w:tcBorders>
              <w:top w:val="nil"/>
              <w:bottom w:val="nil"/>
            </w:tcBorders>
            <w:vAlign w:val="top"/>
          </w:tcPr>
          <w:p w14:paraId="69ED12B2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25" w:type="dxa"/>
            <w:tcBorders>
              <w:top w:val="nil"/>
              <w:bottom w:val="nil"/>
            </w:tcBorders>
            <w:vAlign w:val="top"/>
          </w:tcPr>
          <w:p w14:paraId="4A1A2D37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0.66(0.51,0.87)</w:t>
            </w:r>
          </w:p>
        </w:tc>
        <w:tc>
          <w:tcPr>
            <w:tcW w:w="1963" w:type="dxa"/>
            <w:tcBorders>
              <w:top w:val="nil"/>
              <w:bottom w:val="nil"/>
            </w:tcBorders>
            <w:vAlign w:val="top"/>
          </w:tcPr>
          <w:p w14:paraId="3C656DA0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0.003</w:t>
            </w:r>
          </w:p>
        </w:tc>
      </w:tr>
      <w:tr w14:paraId="34BA8D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4" w:type="dxa"/>
            <w:tcBorders>
              <w:top w:val="nil"/>
              <w:bottom w:val="nil"/>
            </w:tcBorders>
            <w:vAlign w:val="center"/>
          </w:tcPr>
          <w:p w14:paraId="5CDAD6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High DI-GM+inactive</w:t>
            </w:r>
          </w:p>
        </w:tc>
        <w:tc>
          <w:tcPr>
            <w:tcW w:w="1667" w:type="dxa"/>
            <w:tcBorders>
              <w:top w:val="nil"/>
              <w:bottom w:val="nil"/>
            </w:tcBorders>
            <w:vAlign w:val="top"/>
          </w:tcPr>
          <w:p w14:paraId="6BCF2B5B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0.92(0.64,1.33)</w:t>
            </w:r>
          </w:p>
        </w:tc>
        <w:tc>
          <w:tcPr>
            <w:tcW w:w="2024" w:type="dxa"/>
            <w:tcBorders>
              <w:top w:val="nil"/>
              <w:bottom w:val="nil"/>
            </w:tcBorders>
            <w:vAlign w:val="top"/>
          </w:tcPr>
          <w:p w14:paraId="74CA6050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0.67</w:t>
            </w:r>
          </w:p>
        </w:tc>
        <w:tc>
          <w:tcPr>
            <w:tcW w:w="2309" w:type="dxa"/>
            <w:tcBorders>
              <w:top w:val="nil"/>
              <w:bottom w:val="nil"/>
            </w:tcBorders>
            <w:vAlign w:val="top"/>
          </w:tcPr>
          <w:p w14:paraId="763B978D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0.87(0.59,1.27)</w:t>
            </w:r>
          </w:p>
        </w:tc>
        <w:tc>
          <w:tcPr>
            <w:tcW w:w="1379" w:type="dxa"/>
            <w:tcBorders>
              <w:top w:val="nil"/>
              <w:bottom w:val="nil"/>
            </w:tcBorders>
            <w:vAlign w:val="top"/>
          </w:tcPr>
          <w:p w14:paraId="04523092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0.46</w:t>
            </w:r>
          </w:p>
        </w:tc>
        <w:tc>
          <w:tcPr>
            <w:tcW w:w="1725" w:type="dxa"/>
            <w:tcBorders>
              <w:top w:val="nil"/>
              <w:bottom w:val="nil"/>
            </w:tcBorders>
            <w:vAlign w:val="top"/>
          </w:tcPr>
          <w:p w14:paraId="0EF91B67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0.85(0.58,1.26)</w:t>
            </w:r>
          </w:p>
        </w:tc>
        <w:tc>
          <w:tcPr>
            <w:tcW w:w="1963" w:type="dxa"/>
            <w:tcBorders>
              <w:top w:val="nil"/>
              <w:bottom w:val="nil"/>
            </w:tcBorders>
            <w:vAlign w:val="top"/>
          </w:tcPr>
          <w:p w14:paraId="2E37B2A6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0.43</w:t>
            </w:r>
          </w:p>
        </w:tc>
      </w:tr>
      <w:tr w14:paraId="35C8A1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4" w:type="dxa"/>
            <w:tcBorders>
              <w:top w:val="nil"/>
              <w:bottom w:val="nil"/>
            </w:tcBorders>
            <w:vAlign w:val="center"/>
          </w:tcPr>
          <w:p w14:paraId="207CD5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High DI-GM+WW</w:t>
            </w:r>
          </w:p>
        </w:tc>
        <w:tc>
          <w:tcPr>
            <w:tcW w:w="1667" w:type="dxa"/>
            <w:tcBorders>
              <w:top w:val="nil"/>
              <w:bottom w:val="nil"/>
            </w:tcBorders>
            <w:vAlign w:val="top"/>
          </w:tcPr>
          <w:p w14:paraId="48AA7D8B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0.45(0.31,0.64)</w:t>
            </w:r>
          </w:p>
        </w:tc>
        <w:tc>
          <w:tcPr>
            <w:tcW w:w="2024" w:type="dxa"/>
            <w:tcBorders>
              <w:top w:val="nil"/>
              <w:bottom w:val="nil"/>
            </w:tcBorders>
            <w:vAlign w:val="top"/>
          </w:tcPr>
          <w:p w14:paraId="7245EFA3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2309" w:type="dxa"/>
            <w:tcBorders>
              <w:top w:val="nil"/>
              <w:bottom w:val="nil"/>
            </w:tcBorders>
            <w:vAlign w:val="top"/>
          </w:tcPr>
          <w:p w14:paraId="0DED876A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0.41(0.29,0.59)</w:t>
            </w:r>
          </w:p>
        </w:tc>
        <w:tc>
          <w:tcPr>
            <w:tcW w:w="1379" w:type="dxa"/>
            <w:tcBorders>
              <w:top w:val="nil"/>
              <w:bottom w:val="nil"/>
            </w:tcBorders>
            <w:vAlign w:val="top"/>
          </w:tcPr>
          <w:p w14:paraId="47EA9FC6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725" w:type="dxa"/>
            <w:tcBorders>
              <w:top w:val="nil"/>
              <w:bottom w:val="nil"/>
            </w:tcBorders>
            <w:vAlign w:val="top"/>
          </w:tcPr>
          <w:p w14:paraId="4461C482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0.46(0.33,0.65)</w:t>
            </w:r>
          </w:p>
        </w:tc>
        <w:tc>
          <w:tcPr>
            <w:tcW w:w="1963" w:type="dxa"/>
            <w:tcBorders>
              <w:top w:val="nil"/>
              <w:bottom w:val="nil"/>
            </w:tcBorders>
            <w:vAlign w:val="top"/>
          </w:tcPr>
          <w:p w14:paraId="1D09C7B5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&lt;0.0001</w:t>
            </w:r>
          </w:p>
        </w:tc>
      </w:tr>
      <w:tr w14:paraId="5B85327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4" w:type="dxa"/>
            <w:tcBorders>
              <w:top w:val="nil"/>
              <w:bottom w:val="nil"/>
            </w:tcBorders>
            <w:vAlign w:val="center"/>
          </w:tcPr>
          <w:p w14:paraId="408F96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High DI-GM+RA</w:t>
            </w:r>
          </w:p>
        </w:tc>
        <w:tc>
          <w:tcPr>
            <w:tcW w:w="1667" w:type="dxa"/>
            <w:tcBorders>
              <w:top w:val="nil"/>
              <w:bottom w:val="nil"/>
            </w:tcBorders>
            <w:vAlign w:val="top"/>
          </w:tcPr>
          <w:p w14:paraId="7389DE64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0.76(0.58,1.00)</w:t>
            </w:r>
          </w:p>
        </w:tc>
        <w:tc>
          <w:tcPr>
            <w:tcW w:w="2024" w:type="dxa"/>
            <w:tcBorders>
              <w:top w:val="nil"/>
              <w:bottom w:val="nil"/>
            </w:tcBorders>
            <w:vAlign w:val="top"/>
          </w:tcPr>
          <w:p w14:paraId="641355FF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0.05</w:t>
            </w:r>
          </w:p>
        </w:tc>
        <w:tc>
          <w:tcPr>
            <w:tcW w:w="2309" w:type="dxa"/>
            <w:tcBorders>
              <w:top w:val="nil"/>
              <w:bottom w:val="nil"/>
            </w:tcBorders>
            <w:vAlign w:val="top"/>
          </w:tcPr>
          <w:p w14:paraId="0AD8B753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0.68(0.52,0.90)</w:t>
            </w:r>
          </w:p>
        </w:tc>
        <w:tc>
          <w:tcPr>
            <w:tcW w:w="1379" w:type="dxa"/>
            <w:tcBorders>
              <w:top w:val="nil"/>
              <w:bottom w:val="nil"/>
            </w:tcBorders>
            <w:vAlign w:val="top"/>
          </w:tcPr>
          <w:p w14:paraId="0E384054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1725" w:type="dxa"/>
            <w:tcBorders>
              <w:top w:val="nil"/>
              <w:bottom w:val="nil"/>
            </w:tcBorders>
            <w:vAlign w:val="top"/>
          </w:tcPr>
          <w:p w14:paraId="542EA435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0.68(0.52,0.90)</w:t>
            </w:r>
          </w:p>
        </w:tc>
        <w:tc>
          <w:tcPr>
            <w:tcW w:w="1963" w:type="dxa"/>
            <w:tcBorders>
              <w:top w:val="nil"/>
              <w:bottom w:val="nil"/>
            </w:tcBorders>
            <w:vAlign w:val="top"/>
          </w:tcPr>
          <w:p w14:paraId="5BFC6E7C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</w:tr>
      <w:tr w14:paraId="290E4B3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4" w:type="dxa"/>
            <w:tcBorders>
              <w:top w:val="nil"/>
              <w:bottom w:val="nil"/>
            </w:tcBorders>
            <w:vAlign w:val="center"/>
          </w:tcPr>
          <w:p w14:paraId="145670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CVD mortality</w:t>
            </w:r>
          </w:p>
        </w:tc>
        <w:tc>
          <w:tcPr>
            <w:tcW w:w="1667" w:type="dxa"/>
            <w:tcBorders>
              <w:top w:val="nil"/>
              <w:bottom w:val="nil"/>
            </w:tcBorders>
            <w:vAlign w:val="center"/>
          </w:tcPr>
          <w:p w14:paraId="37A8E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bottom w:val="nil"/>
            </w:tcBorders>
            <w:vAlign w:val="center"/>
          </w:tcPr>
          <w:p w14:paraId="6192E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  <w:vAlign w:val="center"/>
          </w:tcPr>
          <w:p w14:paraId="06D5D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nil"/>
              <w:bottom w:val="nil"/>
            </w:tcBorders>
            <w:vAlign w:val="center"/>
          </w:tcPr>
          <w:p w14:paraId="4892E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nil"/>
              <w:bottom w:val="nil"/>
            </w:tcBorders>
            <w:vAlign w:val="center"/>
          </w:tcPr>
          <w:p w14:paraId="6BB0F1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nil"/>
              <w:bottom w:val="nil"/>
            </w:tcBorders>
            <w:vAlign w:val="center"/>
          </w:tcPr>
          <w:p w14:paraId="473AA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D0ED0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4" w:type="dxa"/>
            <w:tcBorders>
              <w:top w:val="nil"/>
              <w:bottom w:val="nil"/>
            </w:tcBorders>
            <w:vAlign w:val="center"/>
          </w:tcPr>
          <w:p w14:paraId="3F4212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low DI-GM + inactive</w:t>
            </w:r>
          </w:p>
        </w:tc>
        <w:tc>
          <w:tcPr>
            <w:tcW w:w="1667" w:type="dxa"/>
            <w:tcBorders>
              <w:top w:val="nil"/>
              <w:bottom w:val="nil"/>
            </w:tcBorders>
            <w:vAlign w:val="center"/>
          </w:tcPr>
          <w:p w14:paraId="74931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024" w:type="dxa"/>
            <w:tcBorders>
              <w:top w:val="nil"/>
              <w:bottom w:val="nil"/>
            </w:tcBorders>
            <w:vAlign w:val="center"/>
          </w:tcPr>
          <w:p w14:paraId="54B5F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309" w:type="dxa"/>
            <w:tcBorders>
              <w:top w:val="nil"/>
              <w:bottom w:val="nil"/>
            </w:tcBorders>
            <w:vAlign w:val="center"/>
          </w:tcPr>
          <w:p w14:paraId="7F7A5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1379" w:type="dxa"/>
            <w:tcBorders>
              <w:top w:val="nil"/>
              <w:bottom w:val="nil"/>
            </w:tcBorders>
            <w:vAlign w:val="center"/>
          </w:tcPr>
          <w:p w14:paraId="21065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1725" w:type="dxa"/>
            <w:tcBorders>
              <w:top w:val="nil"/>
              <w:bottom w:val="nil"/>
            </w:tcBorders>
            <w:vAlign w:val="center"/>
          </w:tcPr>
          <w:p w14:paraId="78286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1963" w:type="dxa"/>
            <w:tcBorders>
              <w:top w:val="nil"/>
              <w:bottom w:val="nil"/>
            </w:tcBorders>
            <w:vAlign w:val="center"/>
          </w:tcPr>
          <w:p w14:paraId="333C2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1EA8932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4" w:type="dxa"/>
            <w:tcBorders>
              <w:top w:val="nil"/>
              <w:bottom w:val="nil"/>
            </w:tcBorders>
            <w:vAlign w:val="center"/>
          </w:tcPr>
          <w:p w14:paraId="68F134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low DI-GM+WW</w:t>
            </w:r>
          </w:p>
        </w:tc>
        <w:tc>
          <w:tcPr>
            <w:tcW w:w="1667" w:type="dxa"/>
            <w:tcBorders>
              <w:top w:val="nil"/>
              <w:bottom w:val="nil"/>
            </w:tcBorders>
            <w:vAlign w:val="top"/>
          </w:tcPr>
          <w:p w14:paraId="5B04E5AF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0.49(0.28,0.85)</w:t>
            </w:r>
          </w:p>
        </w:tc>
        <w:tc>
          <w:tcPr>
            <w:tcW w:w="2024" w:type="dxa"/>
            <w:tcBorders>
              <w:top w:val="nil"/>
              <w:bottom w:val="nil"/>
            </w:tcBorders>
            <w:vAlign w:val="top"/>
          </w:tcPr>
          <w:p w14:paraId="4A4DDB4A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2309" w:type="dxa"/>
            <w:tcBorders>
              <w:top w:val="nil"/>
              <w:bottom w:val="nil"/>
            </w:tcBorders>
            <w:vAlign w:val="top"/>
          </w:tcPr>
          <w:p w14:paraId="54E8951A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0.47(0.27, 0.82)</w:t>
            </w:r>
          </w:p>
        </w:tc>
        <w:tc>
          <w:tcPr>
            <w:tcW w:w="1379" w:type="dxa"/>
            <w:tcBorders>
              <w:top w:val="nil"/>
              <w:bottom w:val="nil"/>
            </w:tcBorders>
            <w:vAlign w:val="top"/>
          </w:tcPr>
          <w:p w14:paraId="42625112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1725" w:type="dxa"/>
            <w:tcBorders>
              <w:top w:val="nil"/>
              <w:bottom w:val="nil"/>
            </w:tcBorders>
            <w:vAlign w:val="top"/>
          </w:tcPr>
          <w:p w14:paraId="3223731D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0.55(0.32, 0.95)</w:t>
            </w:r>
          </w:p>
        </w:tc>
        <w:tc>
          <w:tcPr>
            <w:tcW w:w="1963" w:type="dxa"/>
            <w:tcBorders>
              <w:top w:val="nil"/>
              <w:bottom w:val="nil"/>
            </w:tcBorders>
            <w:vAlign w:val="top"/>
          </w:tcPr>
          <w:p w14:paraId="2776A2E8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</w:tr>
      <w:tr w14:paraId="0F00D9C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4" w:type="dxa"/>
            <w:tcBorders>
              <w:top w:val="nil"/>
              <w:bottom w:val="nil"/>
            </w:tcBorders>
            <w:vAlign w:val="center"/>
          </w:tcPr>
          <w:p w14:paraId="66B0B8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low DI-GM+RA</w:t>
            </w:r>
          </w:p>
        </w:tc>
        <w:tc>
          <w:tcPr>
            <w:tcW w:w="1667" w:type="dxa"/>
            <w:tcBorders>
              <w:top w:val="nil"/>
              <w:bottom w:val="nil"/>
            </w:tcBorders>
            <w:vAlign w:val="top"/>
          </w:tcPr>
          <w:p w14:paraId="55248EC7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0.46(0.28,0.75)</w:t>
            </w:r>
          </w:p>
        </w:tc>
        <w:tc>
          <w:tcPr>
            <w:tcW w:w="2024" w:type="dxa"/>
            <w:tcBorders>
              <w:top w:val="nil"/>
              <w:bottom w:val="nil"/>
            </w:tcBorders>
            <w:vAlign w:val="top"/>
          </w:tcPr>
          <w:p w14:paraId="78D74129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309" w:type="dxa"/>
            <w:tcBorders>
              <w:top w:val="nil"/>
              <w:bottom w:val="nil"/>
            </w:tcBorders>
            <w:vAlign w:val="top"/>
          </w:tcPr>
          <w:p w14:paraId="53DCDC99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0.46(0.28, 0.74)</w:t>
            </w:r>
          </w:p>
        </w:tc>
        <w:tc>
          <w:tcPr>
            <w:tcW w:w="1379" w:type="dxa"/>
            <w:tcBorders>
              <w:top w:val="nil"/>
              <w:bottom w:val="nil"/>
            </w:tcBorders>
            <w:vAlign w:val="top"/>
          </w:tcPr>
          <w:p w14:paraId="529587F8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1725" w:type="dxa"/>
            <w:tcBorders>
              <w:top w:val="nil"/>
              <w:bottom w:val="nil"/>
            </w:tcBorders>
            <w:vAlign w:val="top"/>
          </w:tcPr>
          <w:p w14:paraId="0E717E9D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0.49(0.30, 0.81)</w:t>
            </w:r>
          </w:p>
        </w:tc>
        <w:tc>
          <w:tcPr>
            <w:tcW w:w="1963" w:type="dxa"/>
            <w:tcBorders>
              <w:top w:val="nil"/>
              <w:bottom w:val="nil"/>
            </w:tcBorders>
            <w:vAlign w:val="top"/>
          </w:tcPr>
          <w:p w14:paraId="5424E8ED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</w:tr>
      <w:tr w14:paraId="61883FB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4" w:type="dxa"/>
            <w:tcBorders>
              <w:top w:val="nil"/>
              <w:bottom w:val="nil"/>
            </w:tcBorders>
            <w:vAlign w:val="center"/>
          </w:tcPr>
          <w:p w14:paraId="30BCAD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High DI-GM+inactive</w:t>
            </w:r>
          </w:p>
        </w:tc>
        <w:tc>
          <w:tcPr>
            <w:tcW w:w="1667" w:type="dxa"/>
            <w:tcBorders>
              <w:top w:val="nil"/>
              <w:bottom w:val="nil"/>
            </w:tcBorders>
            <w:vAlign w:val="top"/>
          </w:tcPr>
          <w:p w14:paraId="18CC7506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0.73(0.43,1.23)</w:t>
            </w:r>
          </w:p>
        </w:tc>
        <w:tc>
          <w:tcPr>
            <w:tcW w:w="2024" w:type="dxa"/>
            <w:tcBorders>
              <w:top w:val="nil"/>
              <w:bottom w:val="nil"/>
            </w:tcBorders>
            <w:vAlign w:val="top"/>
          </w:tcPr>
          <w:p w14:paraId="5237011E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0.24</w:t>
            </w:r>
          </w:p>
        </w:tc>
        <w:tc>
          <w:tcPr>
            <w:tcW w:w="2309" w:type="dxa"/>
            <w:tcBorders>
              <w:top w:val="nil"/>
              <w:bottom w:val="nil"/>
            </w:tcBorders>
            <w:vAlign w:val="top"/>
          </w:tcPr>
          <w:p w14:paraId="6F54FA58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0.68(0.40, 1.17)</w:t>
            </w:r>
          </w:p>
        </w:tc>
        <w:tc>
          <w:tcPr>
            <w:tcW w:w="1379" w:type="dxa"/>
            <w:tcBorders>
              <w:top w:val="nil"/>
              <w:bottom w:val="nil"/>
            </w:tcBorders>
            <w:vAlign w:val="top"/>
          </w:tcPr>
          <w:p w14:paraId="42C9C163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0.17</w:t>
            </w:r>
          </w:p>
        </w:tc>
        <w:tc>
          <w:tcPr>
            <w:tcW w:w="1725" w:type="dxa"/>
            <w:tcBorders>
              <w:top w:val="nil"/>
              <w:bottom w:val="nil"/>
            </w:tcBorders>
            <w:vAlign w:val="top"/>
          </w:tcPr>
          <w:p w14:paraId="2488D868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0.72(0.40, 1.30)</w:t>
            </w:r>
          </w:p>
        </w:tc>
        <w:tc>
          <w:tcPr>
            <w:tcW w:w="1963" w:type="dxa"/>
            <w:tcBorders>
              <w:top w:val="nil"/>
              <w:bottom w:val="nil"/>
            </w:tcBorders>
            <w:vAlign w:val="top"/>
          </w:tcPr>
          <w:p w14:paraId="16E73EF2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0.28</w:t>
            </w:r>
          </w:p>
        </w:tc>
      </w:tr>
      <w:tr w14:paraId="1561DAE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4" w:type="dxa"/>
            <w:tcBorders>
              <w:top w:val="nil"/>
              <w:bottom w:val="nil"/>
            </w:tcBorders>
            <w:vAlign w:val="center"/>
          </w:tcPr>
          <w:p w14:paraId="10800A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High DI-GM+WW</w:t>
            </w:r>
          </w:p>
        </w:tc>
        <w:tc>
          <w:tcPr>
            <w:tcW w:w="1667" w:type="dxa"/>
            <w:tcBorders>
              <w:top w:val="nil"/>
              <w:bottom w:val="nil"/>
            </w:tcBorders>
            <w:vAlign w:val="top"/>
          </w:tcPr>
          <w:p w14:paraId="551DC055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0.38(0.21,0.70)</w:t>
            </w:r>
          </w:p>
        </w:tc>
        <w:tc>
          <w:tcPr>
            <w:tcW w:w="2024" w:type="dxa"/>
            <w:tcBorders>
              <w:top w:val="nil"/>
              <w:bottom w:val="nil"/>
            </w:tcBorders>
            <w:vAlign w:val="top"/>
          </w:tcPr>
          <w:p w14:paraId="6ACDEF22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309" w:type="dxa"/>
            <w:tcBorders>
              <w:top w:val="nil"/>
              <w:bottom w:val="nil"/>
            </w:tcBorders>
            <w:vAlign w:val="top"/>
          </w:tcPr>
          <w:p w14:paraId="745FDA7B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0.33(0.18, 0.60)</w:t>
            </w:r>
          </w:p>
        </w:tc>
        <w:tc>
          <w:tcPr>
            <w:tcW w:w="1379" w:type="dxa"/>
            <w:tcBorders>
              <w:top w:val="nil"/>
              <w:bottom w:val="nil"/>
            </w:tcBorders>
            <w:vAlign w:val="top"/>
          </w:tcPr>
          <w:p w14:paraId="35E2FCCF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25" w:type="dxa"/>
            <w:tcBorders>
              <w:top w:val="nil"/>
              <w:bottom w:val="nil"/>
            </w:tcBorders>
            <w:vAlign w:val="top"/>
          </w:tcPr>
          <w:p w14:paraId="1EA91A03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0.39(0.20, 0.74)</w:t>
            </w:r>
          </w:p>
        </w:tc>
        <w:tc>
          <w:tcPr>
            <w:tcW w:w="1963" w:type="dxa"/>
            <w:tcBorders>
              <w:top w:val="nil"/>
              <w:bottom w:val="nil"/>
            </w:tcBorders>
            <w:vAlign w:val="top"/>
          </w:tcPr>
          <w:p w14:paraId="01C0F9FC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0.004</w:t>
            </w:r>
          </w:p>
        </w:tc>
      </w:tr>
      <w:tr w14:paraId="5F00EF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4" w:type="dxa"/>
            <w:tcBorders>
              <w:top w:val="nil"/>
            </w:tcBorders>
            <w:vAlign w:val="center"/>
          </w:tcPr>
          <w:p w14:paraId="29EF81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High DI-GM+RA</w:t>
            </w:r>
          </w:p>
        </w:tc>
        <w:tc>
          <w:tcPr>
            <w:tcW w:w="1667" w:type="dxa"/>
            <w:tcBorders>
              <w:top w:val="nil"/>
            </w:tcBorders>
            <w:vAlign w:val="top"/>
          </w:tcPr>
          <w:p w14:paraId="220D1886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0.65(0.41,1.05)</w:t>
            </w:r>
          </w:p>
        </w:tc>
        <w:tc>
          <w:tcPr>
            <w:tcW w:w="2024" w:type="dxa"/>
            <w:tcBorders>
              <w:top w:val="nil"/>
            </w:tcBorders>
            <w:vAlign w:val="top"/>
          </w:tcPr>
          <w:p w14:paraId="1C5CFB00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0.08</w:t>
            </w:r>
          </w:p>
        </w:tc>
        <w:tc>
          <w:tcPr>
            <w:tcW w:w="2309" w:type="dxa"/>
            <w:tcBorders>
              <w:top w:val="nil"/>
            </w:tcBorders>
            <w:vAlign w:val="top"/>
          </w:tcPr>
          <w:p w14:paraId="30E9A95E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0.55(0.34, 0.89)</w:t>
            </w:r>
          </w:p>
        </w:tc>
        <w:tc>
          <w:tcPr>
            <w:tcW w:w="1379" w:type="dxa"/>
            <w:tcBorders>
              <w:top w:val="nil"/>
            </w:tcBorders>
            <w:vAlign w:val="top"/>
          </w:tcPr>
          <w:p w14:paraId="6AFB4106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1725" w:type="dxa"/>
            <w:tcBorders>
              <w:top w:val="nil"/>
            </w:tcBorders>
            <w:vAlign w:val="top"/>
          </w:tcPr>
          <w:p w14:paraId="4149383F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0.58(0.36, 0.93)</w:t>
            </w:r>
          </w:p>
        </w:tc>
        <w:tc>
          <w:tcPr>
            <w:tcW w:w="1963" w:type="dxa"/>
            <w:tcBorders>
              <w:top w:val="nil"/>
            </w:tcBorders>
            <w:vAlign w:val="top"/>
          </w:tcPr>
          <w:p w14:paraId="7F1EADE8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</w:tr>
    </w:tbl>
    <w:p w14:paraId="47286496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Autospacing="0" w:afterAutospacing="0"/>
        <w:textAlignment w:val="center"/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 xml:space="preserve">Note: Model 1 served as the unadjusted analysis; </w:t>
      </w:r>
    </w:p>
    <w:p w14:paraId="2874F695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Autospacing="0" w:afterAutospacing="0"/>
        <w:textAlignment w:val="center"/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 xml:space="preserve">Model 2: further adjusted for sociodemographic characteristics (age, sex, and race); </w:t>
      </w:r>
    </w:p>
    <w:p w14:paraId="1631DD14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Autospacing="0" w:afterAutospacing="0"/>
        <w:textAlignment w:val="center"/>
        <w:rPr>
          <w:rFonts w:hint="default" w:ascii="Times New Roman" w:hAnsi="Times New Roman" w:eastAsia="微软雅黑" w:cs="Times New Roman"/>
          <w:color w:val="0070C0"/>
          <w:kern w:val="0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>Model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>3: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>further adjusted for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 xml:space="preserve">personal lifestyle and behavioral variables (education level, 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 xml:space="preserve">family size, insurance,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>marital status, smoking status, drinking status, BMI, sitting time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 xml:space="preserve">, DASH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 xml:space="preserve">), factors associated with health conditions (diabetes mellitus, hyperlipidemia, 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 xml:space="preserve">cancer,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antidiabetic drugs, antihypertensive drugs, and lipid-lowering therapies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>).</w:t>
      </w:r>
    </w:p>
    <w:p w14:paraId="7232C6BD">
      <w:pPr>
        <w:spacing w:after="100" w:afterAutospacing="1"/>
        <w:rPr>
          <w:rFonts w:hint="eastAsia"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kern w:val="0"/>
          <w:sz w:val="24"/>
          <w:szCs w:val="24"/>
          <w:lang w:bidi="ar"/>
        </w:rPr>
        <w:t xml:space="preserve">Abbreviations: </w:t>
      </w:r>
      <w:r>
        <w:rPr>
          <w:rFonts w:ascii="Times New Roman" w:hAnsi="Times New Roman" w:cs="Times New Roman"/>
          <w:sz w:val="24"/>
          <w:szCs w:val="24"/>
        </w:rPr>
        <w:t xml:space="preserve">DI-GM, </w:t>
      </w:r>
      <w:r>
        <w:rPr>
          <w:rFonts w:ascii="Times New Roman" w:hAnsi="Times New Roman" w:eastAsia="宋体" w:cs="Times New Roman"/>
          <w:kern w:val="0"/>
          <w:sz w:val="24"/>
          <w:szCs w:val="24"/>
          <w:lang w:bidi="ar"/>
        </w:rPr>
        <w:t>dietary index for gut microbiota. PA patterns: inactive, weekend warrior, regularly active. WW, weekend warrior; RA, regularly active; High DI-G</w:t>
      </w:r>
      <w:r>
        <w:rPr>
          <w:rFonts w:ascii="Times New Roman" w:hAnsi="Times New Roman" w:cs="Times New Roman"/>
          <w:sz w:val="24"/>
          <w:szCs w:val="24"/>
        </w:rPr>
        <w:t>M: ≥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; Low </w:t>
      </w:r>
      <w:r>
        <w:rPr>
          <w:rFonts w:ascii="Times New Roman" w:hAnsi="Times New Roman" w:eastAsia="宋体" w:cs="Times New Roman"/>
          <w:kern w:val="0"/>
          <w:sz w:val="24"/>
          <w:szCs w:val="24"/>
          <w:lang w:bidi="ar"/>
        </w:rPr>
        <w:t>DI-G</w:t>
      </w:r>
      <w:r>
        <w:rPr>
          <w:rFonts w:ascii="Times New Roman" w:hAnsi="Times New Roman" w:cs="Times New Roman"/>
          <w:sz w:val="24"/>
          <w:szCs w:val="24"/>
        </w:rPr>
        <w:t>M: &lt;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9651B4">
      <w:pPr>
        <w:rPr>
          <w:rFonts w:hint="default"/>
          <w:sz w:val="24"/>
          <w:szCs w:val="24"/>
          <w:lang w:val="en-US" w:eastAsia="zh-CN"/>
        </w:rPr>
      </w:pPr>
    </w:p>
    <w:sectPr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7F5F8E"/>
    <w:rsid w:val="047D5273"/>
    <w:rsid w:val="377F5F8E"/>
    <w:rsid w:val="50123B5E"/>
    <w:rsid w:val="65A86947"/>
    <w:rsid w:val="6BF16DF6"/>
    <w:rsid w:val="6FF41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793</Words>
  <Characters>5908</Characters>
  <Lines>0</Lines>
  <Paragraphs>0</Paragraphs>
  <TotalTime>6</TotalTime>
  <ScaleCrop>false</ScaleCrop>
  <LinksUpToDate>false</LinksUpToDate>
  <CharactersWithSpaces>6261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2025-09-11T08:02:00Z</dcterms:created>
  <dc:creator>stoic calm</dc:creator>
  <cp:lastModifiedBy>stoic calm</cp:lastModifiedBy>
  <dcterms:modified xsi:type="dcterms:W3CDTF">2025-09-12T03:21:46Z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D1F84CC16721460888B8C08D6BA9B989_11</vt:lpwstr>
  </property>
  <property fmtid="{D5CDD505-2E9C-101B-9397-08002B2CF9AE}" pid="4" name="KSOTemplateDocerSaveRecord">
    <vt:lpwstr>eyJoZGlkIjoiZjI2NjFmNjJjMDU0MDgzZGZhMjdiMTQ5ZGQ3MTQ1OGUiLCJ1c2VySWQiOiI2MDQzOTc5NjUifQ==</vt:lpwstr>
  </property>
</Properties>
</file>