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5375" w:rsidRPr="00BE1AAC" w:rsidRDefault="00D95375" w:rsidP="00D95375">
      <w:pPr>
        <w:pStyle w:val="Default"/>
        <w:rPr>
          <w:rFonts w:asciiTheme="majorBidi" w:hAnsiTheme="majorBidi" w:cstheme="majorBidi"/>
        </w:rPr>
      </w:pPr>
    </w:p>
    <w:p w:rsidR="00D95375" w:rsidRDefault="00D95375" w:rsidP="00D95375">
      <w:pPr>
        <w:jc w:val="center"/>
        <w:rPr>
          <w:rFonts w:asciiTheme="majorBidi" w:hAnsiTheme="majorBidi" w:cstheme="majorBidi"/>
          <w:b/>
          <w:bCs/>
          <w:sz w:val="28"/>
          <w:szCs w:val="28"/>
          <w:lang w:val="en-US"/>
        </w:rPr>
      </w:pPr>
      <w:r w:rsidRPr="00BE1AAC">
        <w:rPr>
          <w:rFonts w:asciiTheme="majorBidi" w:hAnsiTheme="majorBidi" w:cstheme="majorBidi"/>
          <w:b/>
          <w:bCs/>
          <w:sz w:val="28"/>
          <w:szCs w:val="28"/>
        </w:rPr>
        <w:t xml:space="preserve">Supplementary </w:t>
      </w:r>
      <w:r w:rsidR="00CD5930">
        <w:rPr>
          <w:rFonts w:asciiTheme="majorBidi" w:hAnsiTheme="majorBidi" w:cstheme="majorBidi"/>
          <w:b/>
          <w:bCs/>
          <w:sz w:val="28"/>
          <w:szCs w:val="28"/>
          <w:lang w:val="en-US"/>
        </w:rPr>
        <w:t xml:space="preserve">File </w:t>
      </w:r>
      <w:r w:rsidR="00960D8C">
        <w:rPr>
          <w:rFonts w:asciiTheme="majorBidi" w:hAnsiTheme="majorBidi" w:cstheme="majorBidi"/>
          <w:b/>
          <w:bCs/>
          <w:sz w:val="28"/>
          <w:szCs w:val="28"/>
          <w:lang w:val="en-US"/>
        </w:rPr>
        <w:t>2</w:t>
      </w:r>
    </w:p>
    <w:p w:rsidR="00960D8C" w:rsidRDefault="005058B6" w:rsidP="00D95375">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Evidence Profile </w:t>
      </w:r>
      <w:r w:rsidR="00F8684E">
        <w:rPr>
          <w:rFonts w:asciiTheme="majorBidi" w:hAnsiTheme="majorBidi" w:cstheme="majorBidi"/>
          <w:b/>
          <w:bCs/>
          <w:sz w:val="28"/>
          <w:szCs w:val="28"/>
          <w:lang w:val="en-US"/>
        </w:rPr>
        <w:t>2</w:t>
      </w:r>
    </w:p>
    <w:p w:rsidR="00CD5930" w:rsidRDefault="00CD5930" w:rsidP="00CD5930">
      <w:pPr>
        <w:suppressLineNumbers/>
        <w:jc w:val="both"/>
        <w:rPr>
          <w:rFonts w:asciiTheme="majorBidi" w:eastAsia="Calibri" w:hAnsiTheme="majorBidi" w:cstheme="majorBidi"/>
          <w:b/>
          <w:bCs/>
          <w:sz w:val="28"/>
          <w:szCs w:val="28"/>
        </w:rPr>
      </w:pPr>
    </w:p>
    <w:p w:rsidR="00CD5930" w:rsidRDefault="00CD5930" w:rsidP="00CD5930">
      <w:pPr>
        <w:suppressLineNumbers/>
        <w:jc w:val="both"/>
        <w:rPr>
          <w:rFonts w:asciiTheme="majorBidi" w:eastAsia="Calibri" w:hAnsiTheme="majorBidi" w:cstheme="majorBidi"/>
        </w:rPr>
      </w:pPr>
      <w:r w:rsidRPr="00CD5930">
        <w:rPr>
          <w:rFonts w:asciiTheme="majorBidi" w:eastAsia="Calibri" w:hAnsiTheme="majorBidi" w:cstheme="majorBidi"/>
          <w:lang w:val="en-US"/>
        </w:rPr>
        <w:t xml:space="preserve">Manuscript title: </w:t>
      </w:r>
      <w:r w:rsidRPr="00CD5930">
        <w:rPr>
          <w:rFonts w:asciiTheme="majorBidi" w:eastAsia="Calibri" w:hAnsiTheme="majorBidi" w:cstheme="majorBidi"/>
        </w:rPr>
        <w:t>The Mediterranean diet and acne vulgaris: A systematic review and meta-analysis</w:t>
      </w:r>
    </w:p>
    <w:p w:rsidR="005058B6" w:rsidRDefault="00CD5930" w:rsidP="005058B6">
      <w:pPr>
        <w:suppressLineNumbers/>
        <w:jc w:val="both"/>
        <w:rPr>
          <w:rFonts w:asciiTheme="majorBidi" w:hAnsiTheme="majorBidi" w:cstheme="majorBidi"/>
          <w:b/>
          <w:bCs/>
          <w:lang w:val="en-US"/>
        </w:rPr>
      </w:pPr>
      <w:r>
        <w:rPr>
          <w:rFonts w:asciiTheme="majorBidi" w:eastAsia="Calibri" w:hAnsiTheme="majorBidi" w:cstheme="majorBidi"/>
          <w:lang w:val="en-US"/>
        </w:rPr>
        <w:t>First author: Sari Taha</w:t>
      </w:r>
    </w:p>
    <w:p w:rsidR="005058B6" w:rsidRDefault="005058B6" w:rsidP="005058B6">
      <w:pPr>
        <w:suppressLineNumbers/>
        <w:jc w:val="both"/>
        <w:rPr>
          <w:rFonts w:asciiTheme="majorBidi" w:hAnsiTheme="majorBidi" w:cstheme="majorBidi"/>
          <w:b/>
          <w:bCs/>
        </w:rPr>
      </w:pPr>
    </w:p>
    <w:p w:rsidR="00F8684E" w:rsidRDefault="00F8684E" w:rsidP="00F8684E">
      <w:pPr>
        <w:rPr>
          <w:rFonts w:asciiTheme="majorBidi" w:hAnsiTheme="majorBidi" w:cstheme="majorBidi"/>
          <w:b/>
          <w:bCs/>
        </w:rPr>
      </w:pPr>
    </w:p>
    <w:p w:rsidR="00F8684E" w:rsidRPr="00BE1AAC" w:rsidRDefault="00F8684E" w:rsidP="00F8684E">
      <w:pPr>
        <w:rPr>
          <w:rFonts w:asciiTheme="majorBidi" w:hAnsiTheme="majorBidi" w:cstheme="majorBidi"/>
          <w:b/>
          <w:bCs/>
          <w:sz w:val="23"/>
          <w:szCs w:val="23"/>
        </w:rPr>
      </w:pPr>
      <w:r w:rsidRPr="00BE1AAC">
        <w:rPr>
          <w:rFonts w:asciiTheme="majorBidi" w:hAnsiTheme="majorBidi" w:cstheme="majorBidi"/>
          <w:b/>
          <w:bCs/>
        </w:rPr>
        <w:t xml:space="preserve">eTable </w:t>
      </w:r>
      <w:r w:rsidRPr="00BE1AAC">
        <w:rPr>
          <w:rFonts w:asciiTheme="majorBidi" w:hAnsiTheme="majorBidi" w:cstheme="majorBidi"/>
          <w:b/>
          <w:bCs/>
          <w:lang w:val="en-US"/>
        </w:rPr>
        <w:t xml:space="preserve">4: </w:t>
      </w:r>
      <w:r w:rsidRPr="00BE1AAC">
        <w:rPr>
          <w:rFonts w:asciiTheme="majorBidi" w:hAnsiTheme="majorBidi" w:cstheme="majorBidi"/>
        </w:rPr>
        <w:t xml:space="preserve">Evidence profile (EP) for the association between adherence to the Mediterranean diet and acne </w:t>
      </w:r>
      <w:r w:rsidRPr="00BE1AAC">
        <w:rPr>
          <w:rFonts w:asciiTheme="majorBidi" w:hAnsiTheme="majorBidi" w:cstheme="majorBidi"/>
          <w:lang w:val="en-US"/>
        </w:rPr>
        <w:t>severity</w:t>
      </w:r>
      <w:r w:rsidRPr="00BE1AAC">
        <w:rPr>
          <w:rFonts w:asciiTheme="majorBidi" w:hAnsiTheme="majorBidi" w:cstheme="majorBidi"/>
        </w:rPr>
        <w:t xml:space="preserve"> using GRADE tool.</w:t>
      </w:r>
    </w:p>
    <w:p w:rsidR="00F8684E" w:rsidRPr="00BE1AAC" w:rsidRDefault="00F8684E" w:rsidP="00F8684E">
      <w:pPr>
        <w:rPr>
          <w:rFonts w:asciiTheme="majorBidi" w:hAnsiTheme="majorBidi" w:cstheme="majorBidi"/>
        </w:rPr>
      </w:pPr>
    </w:p>
    <w:tbl>
      <w:tblPr>
        <w:tblStyle w:val="TableGrid"/>
        <w:tblW w:w="11221" w:type="dxa"/>
        <w:tblInd w:w="-856" w:type="dxa"/>
        <w:tblLook w:val="04A0" w:firstRow="1" w:lastRow="0" w:firstColumn="1" w:lastColumn="0" w:noHBand="0" w:noVBand="1"/>
      </w:tblPr>
      <w:tblGrid>
        <w:gridCol w:w="1525"/>
        <w:gridCol w:w="7854"/>
        <w:gridCol w:w="1842"/>
      </w:tblGrid>
      <w:tr w:rsidR="00F8684E" w:rsidRPr="00BE1AAC" w:rsidTr="007113F9">
        <w:trPr>
          <w:trHeight w:val="299"/>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Study design</w:t>
            </w:r>
          </w:p>
        </w:tc>
        <w:tc>
          <w:tcPr>
            <w:tcW w:w="7854" w:type="dxa"/>
          </w:tcPr>
          <w:p w:rsidR="00F8684E" w:rsidRPr="00BE1AAC" w:rsidRDefault="00F8684E"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Detailed judgment</w:t>
            </w:r>
          </w:p>
        </w:tc>
        <w:tc>
          <w:tcPr>
            <w:tcW w:w="1842" w:type="dxa"/>
          </w:tcPr>
          <w:p w:rsidR="00F8684E" w:rsidRPr="00BE1AAC" w:rsidRDefault="00F8684E"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Overall judgment</w:t>
            </w:r>
          </w:p>
        </w:tc>
      </w:tr>
      <w:tr w:rsidR="00F8684E" w:rsidRPr="00BE1AAC" w:rsidTr="007113F9">
        <w:trPr>
          <w:trHeight w:val="293"/>
        </w:trPr>
        <w:tc>
          <w:tcPr>
            <w:tcW w:w="11221" w:type="dxa"/>
            <w:gridSpan w:val="3"/>
          </w:tcPr>
          <w:p w:rsidR="00F8684E" w:rsidRPr="00BE1AAC" w:rsidRDefault="00F8684E" w:rsidP="007113F9">
            <w:pPr>
              <w:jc w:val="center"/>
              <w:rPr>
                <w:rFonts w:asciiTheme="majorBidi" w:hAnsiTheme="majorBidi" w:cstheme="majorBidi"/>
                <w:b/>
                <w:bCs/>
                <w:sz w:val="20"/>
                <w:szCs w:val="20"/>
                <w:lang w:val="en-PS"/>
              </w:rPr>
            </w:pPr>
            <w:r w:rsidRPr="00BE1AAC">
              <w:rPr>
                <w:rFonts w:asciiTheme="majorBidi" w:hAnsiTheme="majorBidi" w:cstheme="majorBidi"/>
                <w:b/>
                <w:bCs/>
                <w:sz w:val="20"/>
                <w:szCs w:val="20"/>
                <w:lang w:val="en-PS"/>
              </w:rPr>
              <w:t>Factors that can reduce the quality of the evidence</w:t>
            </w:r>
          </w:p>
        </w:tc>
      </w:tr>
      <w:tr w:rsidR="00F8684E" w:rsidRPr="00BE1AAC" w:rsidTr="007113F9">
        <w:trPr>
          <w:trHeight w:val="2966"/>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sz w:val="20"/>
                <w:szCs w:val="20"/>
              </w:rPr>
            </w:pPr>
          </w:p>
          <w:p w:rsidR="00F8684E" w:rsidRPr="00BE1AAC" w:rsidRDefault="00F8684E" w:rsidP="007113F9">
            <w:pPr>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Risk of bias</w:t>
            </w:r>
          </w:p>
          <w:p w:rsidR="00F8684E" w:rsidRPr="00BE1AAC" w:rsidRDefault="00F8684E" w:rsidP="007113F9">
            <w:pPr>
              <w:ind w:left="-142" w:right="68" w:firstLine="142"/>
              <w:jc w:val="center"/>
              <w:rPr>
                <w:rFonts w:asciiTheme="majorBidi" w:hAnsiTheme="majorBidi" w:cstheme="majorBidi"/>
                <w:sz w:val="20"/>
                <w:szCs w:val="20"/>
              </w:rPr>
            </w:pPr>
          </w:p>
        </w:tc>
        <w:tc>
          <w:tcPr>
            <w:tcW w:w="7854" w:type="dxa"/>
          </w:tcPr>
          <w:p w:rsidR="00F8684E" w:rsidRPr="00BE1AAC" w:rsidRDefault="00F8684E" w:rsidP="007113F9">
            <w:pPr>
              <w:pStyle w:val="ListParagraph"/>
              <w:numPr>
                <w:ilvl w:val="0"/>
                <w:numId w:val="4"/>
              </w:numPr>
              <w:rPr>
                <w:rFonts w:asciiTheme="majorBidi" w:hAnsiTheme="majorBidi" w:cstheme="majorBidi"/>
                <w:color w:val="000000" w:themeColor="text1"/>
                <w:sz w:val="20"/>
                <w:szCs w:val="20"/>
              </w:rPr>
            </w:pPr>
            <w:r w:rsidRPr="00BE1AAC">
              <w:rPr>
                <w:rFonts w:asciiTheme="majorBidi" w:hAnsiTheme="majorBidi" w:cstheme="majorBidi"/>
                <w:b/>
                <w:bCs/>
                <w:color w:val="000000" w:themeColor="text1"/>
                <w:sz w:val="20"/>
                <w:szCs w:val="20"/>
              </w:rPr>
              <w:t>Matching eligibility</w:t>
            </w:r>
            <w:r w:rsidRPr="00BE1AAC">
              <w:rPr>
                <w:rFonts w:asciiTheme="majorBidi" w:hAnsiTheme="majorBidi" w:cstheme="majorBidi"/>
                <w:color w:val="000000" w:themeColor="text1"/>
                <w:sz w:val="20"/>
                <w:szCs w:val="20"/>
              </w:rPr>
              <w:t xml:space="preserve"> criteria: selection of matching variables is consistent with methodological reasoning and/or clinical evidence, without under- or over-matching. Sampling of controls were not appropriately conducted nor adequately reported in three studies. However, this outcome is less affected by limitations in matching because it only assesses the cases. </w:t>
            </w:r>
          </w:p>
          <w:p w:rsidR="00F8684E" w:rsidRPr="00BE1AAC" w:rsidRDefault="00F8684E" w:rsidP="007113F9">
            <w:pPr>
              <w:pStyle w:val="ListParagraph"/>
              <w:numPr>
                <w:ilvl w:val="0"/>
                <w:numId w:val="4"/>
              </w:numPr>
              <w:rPr>
                <w:rFonts w:asciiTheme="majorBidi" w:hAnsiTheme="majorBidi" w:cstheme="majorBidi"/>
                <w:color w:val="000000" w:themeColor="text1"/>
                <w:sz w:val="20"/>
                <w:szCs w:val="20"/>
              </w:rPr>
            </w:pPr>
            <w:r w:rsidRPr="00BE1AAC">
              <w:rPr>
                <w:rFonts w:asciiTheme="majorBidi" w:hAnsiTheme="majorBidi" w:cstheme="majorBidi"/>
                <w:b/>
                <w:bCs/>
                <w:color w:val="000000" w:themeColor="text1"/>
                <w:sz w:val="20"/>
                <w:szCs w:val="20"/>
              </w:rPr>
              <w:t>Measurement</w:t>
            </w:r>
            <w:r w:rsidRPr="00BE1AAC">
              <w:rPr>
                <w:rFonts w:asciiTheme="majorBidi" w:hAnsiTheme="majorBidi" w:cstheme="majorBidi"/>
                <w:color w:val="000000" w:themeColor="text1"/>
                <w:sz w:val="20"/>
                <w:szCs w:val="20"/>
              </w:rPr>
              <w:t xml:space="preserve"> of exposure and outcomes: </w:t>
            </w:r>
            <w:r w:rsidRPr="00BE1AAC">
              <w:rPr>
                <w:rFonts w:asciiTheme="majorBidi" w:hAnsiTheme="majorBidi" w:cstheme="majorBidi"/>
                <w:color w:val="000000" w:themeColor="text1"/>
                <w:sz w:val="20"/>
                <w:szCs w:val="20"/>
              </w:rPr>
              <w:br/>
              <w:t xml:space="preserve">- All studies used validated questionnaires for the measurement of exposures. </w:t>
            </w:r>
            <w:r w:rsidRPr="00BE1AAC">
              <w:rPr>
                <w:rFonts w:asciiTheme="majorBidi" w:hAnsiTheme="majorBidi" w:cstheme="majorBidi"/>
                <w:color w:val="000000" w:themeColor="text1"/>
                <w:sz w:val="20"/>
                <w:szCs w:val="20"/>
              </w:rPr>
              <w:br/>
              <w:t xml:space="preserve">- Case definitions are not reported adequately in three studies. </w:t>
            </w:r>
            <w:r w:rsidRPr="00BE1AAC">
              <w:rPr>
                <w:rFonts w:asciiTheme="majorBidi" w:hAnsiTheme="majorBidi" w:cstheme="majorBidi"/>
                <w:color w:val="000000" w:themeColor="text1"/>
                <w:sz w:val="20"/>
                <w:szCs w:val="20"/>
              </w:rPr>
              <w:br/>
              <w:t>- Misclassification between cases and control is not relevant to the outcome because it only assesses the cases.</w:t>
            </w:r>
          </w:p>
          <w:p w:rsidR="00F8684E" w:rsidRPr="00BE1AAC" w:rsidRDefault="00F8684E" w:rsidP="007113F9">
            <w:pPr>
              <w:pStyle w:val="ListParagraph"/>
              <w:numPr>
                <w:ilvl w:val="0"/>
                <w:numId w:val="4"/>
              </w:numPr>
              <w:rPr>
                <w:rFonts w:asciiTheme="majorBidi" w:hAnsiTheme="majorBidi" w:cstheme="majorBidi"/>
                <w:color w:val="000000" w:themeColor="text1"/>
                <w:sz w:val="20"/>
                <w:szCs w:val="20"/>
              </w:rPr>
            </w:pPr>
            <w:r w:rsidRPr="00BE1AAC">
              <w:rPr>
                <w:rFonts w:asciiTheme="majorBidi" w:hAnsiTheme="majorBidi" w:cstheme="majorBidi"/>
                <w:b/>
                <w:bCs/>
                <w:color w:val="000000" w:themeColor="text1"/>
                <w:sz w:val="20"/>
                <w:szCs w:val="20"/>
              </w:rPr>
              <w:t xml:space="preserve">Confounding </w:t>
            </w:r>
            <w:r w:rsidRPr="00BE1AAC">
              <w:rPr>
                <w:rFonts w:asciiTheme="majorBidi" w:hAnsiTheme="majorBidi" w:cstheme="majorBidi"/>
                <w:color w:val="000000" w:themeColor="text1"/>
                <w:sz w:val="20"/>
                <w:szCs w:val="20"/>
              </w:rPr>
              <w:t>(borderline): no partial correlation analysis was carried out in any study to account for confounding.</w:t>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Serious limitations in adjusting for confounders.</w:t>
            </w:r>
            <w:r w:rsidRPr="00BE1AAC">
              <w:rPr>
                <w:rFonts w:asciiTheme="majorBidi" w:hAnsiTheme="majorBidi" w:cstheme="majorBidi"/>
                <w:sz w:val="20"/>
                <w:szCs w:val="20"/>
              </w:rPr>
              <w:br/>
            </w:r>
            <w:r w:rsidRPr="00BE1AAC">
              <w:rPr>
                <w:rFonts w:asciiTheme="majorBidi" w:hAnsiTheme="majorBidi" w:cstheme="majorBidi"/>
                <w:b/>
                <w:bCs/>
                <w:sz w:val="20"/>
                <w:szCs w:val="20"/>
              </w:rPr>
              <w:t>Downgrade by one.</w:t>
            </w:r>
          </w:p>
        </w:tc>
      </w:tr>
      <w:tr w:rsidR="00F8684E" w:rsidRPr="00BE1AAC" w:rsidTr="007113F9">
        <w:trPr>
          <w:trHeight w:val="2186"/>
        </w:trPr>
        <w:tc>
          <w:tcPr>
            <w:tcW w:w="1525" w:type="dxa"/>
          </w:tcPr>
          <w:p w:rsidR="00F8684E" w:rsidRPr="00BE1AAC" w:rsidRDefault="00F8684E" w:rsidP="007113F9">
            <w:pPr>
              <w:tabs>
                <w:tab w:val="right" w:pos="-375"/>
              </w:tabs>
              <w:ind w:left="-142" w:right="23" w:firstLine="142"/>
              <w:jc w:val="center"/>
              <w:rPr>
                <w:rFonts w:asciiTheme="majorBidi" w:hAnsiTheme="majorBidi" w:cstheme="majorBidi"/>
                <w:b/>
                <w:bCs/>
                <w:sz w:val="20"/>
                <w:szCs w:val="20"/>
              </w:rPr>
            </w:pPr>
            <w:r w:rsidRPr="00BE1AAC">
              <w:rPr>
                <w:rFonts w:asciiTheme="majorBidi" w:hAnsiTheme="majorBidi" w:cstheme="majorBidi"/>
                <w:b/>
                <w:bCs/>
                <w:sz w:val="20"/>
                <w:szCs w:val="20"/>
              </w:rPr>
              <w:t>Inconsistency of results</w:t>
            </w:r>
          </w:p>
        </w:tc>
        <w:tc>
          <w:tcPr>
            <w:tcW w:w="7854" w:type="dxa"/>
          </w:tcPr>
          <w:p w:rsidR="00F8684E" w:rsidRPr="00BE1AAC" w:rsidRDefault="00F8684E" w:rsidP="007113F9">
            <w:pPr>
              <w:pStyle w:val="ListParagraph"/>
              <w:numPr>
                <w:ilvl w:val="0"/>
                <w:numId w:val="3"/>
              </w:numPr>
              <w:rPr>
                <w:rFonts w:asciiTheme="majorBidi" w:hAnsiTheme="majorBidi" w:cstheme="majorBidi"/>
                <w:sz w:val="20"/>
                <w:szCs w:val="20"/>
              </w:rPr>
            </w:pPr>
            <w:r w:rsidRPr="00BE1AAC">
              <w:rPr>
                <w:rFonts w:asciiTheme="majorBidi" w:hAnsiTheme="majorBidi" w:cstheme="majorBidi"/>
                <w:sz w:val="20"/>
                <w:szCs w:val="20"/>
              </w:rPr>
              <w:t xml:space="preserve">coefficients varied between the three studies. Statistical analysis indicates a substantial level of heterogeneity (heterogeneity </w:t>
            </w:r>
            <w:r w:rsidRPr="00BE1AAC">
              <w:rPr>
                <w:rFonts w:asciiTheme="majorBidi" w:hAnsiTheme="majorBidi" w:cstheme="majorBidi"/>
                <w:i/>
                <w:iCs/>
                <w:sz w:val="20"/>
                <w:szCs w:val="20"/>
              </w:rPr>
              <w:t>p</w:t>
            </w:r>
            <w:r w:rsidRPr="00BE1AAC">
              <w:rPr>
                <w:rFonts w:asciiTheme="majorBidi" w:hAnsiTheme="majorBidi" w:cstheme="majorBidi"/>
                <w:sz w:val="20"/>
                <w:szCs w:val="20"/>
              </w:rPr>
              <w:t>=0.008, I</w:t>
            </w:r>
            <w:r w:rsidRPr="00BE1AAC">
              <w:rPr>
                <w:rFonts w:asciiTheme="majorBidi" w:hAnsiTheme="majorBidi" w:cstheme="majorBidi"/>
                <w:sz w:val="20"/>
                <w:szCs w:val="20"/>
                <w:vertAlign w:val="superscript"/>
              </w:rPr>
              <w:t>2</w:t>
            </w:r>
            <w:r w:rsidRPr="00BE1AAC">
              <w:rPr>
                <w:rFonts w:asciiTheme="majorBidi" w:hAnsiTheme="majorBidi" w:cstheme="majorBidi"/>
                <w:sz w:val="20"/>
                <w:szCs w:val="20"/>
              </w:rPr>
              <w:t xml:space="preserve">=79.3%). </w:t>
            </w:r>
            <w:r w:rsidRPr="00BE1AAC">
              <w:rPr>
                <w:rFonts w:asciiTheme="majorBidi" w:hAnsiTheme="majorBidi" w:cstheme="majorBidi"/>
                <w:sz w:val="20"/>
                <w:szCs w:val="20"/>
              </w:rPr>
              <w:br/>
            </w:r>
          </w:p>
          <w:p w:rsidR="00F8684E" w:rsidRPr="00BE1AAC" w:rsidRDefault="00F8684E" w:rsidP="007113F9">
            <w:pPr>
              <w:pStyle w:val="ListParagraph"/>
              <w:numPr>
                <w:ilvl w:val="0"/>
                <w:numId w:val="3"/>
              </w:numPr>
              <w:rPr>
                <w:rFonts w:asciiTheme="majorBidi" w:hAnsiTheme="majorBidi" w:cstheme="majorBidi"/>
                <w:sz w:val="20"/>
                <w:szCs w:val="20"/>
              </w:rPr>
            </w:pPr>
            <w:r w:rsidRPr="00BE1AAC">
              <w:rPr>
                <w:rFonts w:asciiTheme="majorBidi" w:hAnsiTheme="majorBidi" w:cstheme="majorBidi"/>
                <w:sz w:val="20"/>
                <w:szCs w:val="20"/>
              </w:rPr>
              <w:t>While exposure measurement is similar across studies, the correlation analysis still might have been affected by differences in outcome measurement, analytical tests, and target populations. Studies used different acne severity assessment scales (GEA and GAGS scales) and different correlation tests (Pearson’s and Spearman’s correlation tests). Although this might explain the heterogeneity of results, the explanation behind the heterogeneity offers little practical implication.</w:t>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Serious inconsistency</w:t>
            </w:r>
          </w:p>
          <w:p w:rsidR="00F8684E" w:rsidRPr="00BE1AAC" w:rsidRDefault="00F8684E" w:rsidP="007113F9">
            <w:pPr>
              <w:rPr>
                <w:rFonts w:asciiTheme="majorBidi" w:hAnsiTheme="majorBidi" w:cstheme="majorBidi"/>
                <w:b/>
                <w:bCs/>
                <w:sz w:val="20"/>
                <w:szCs w:val="20"/>
              </w:rPr>
            </w:pPr>
            <w:r w:rsidRPr="00BE1AAC">
              <w:rPr>
                <w:rFonts w:asciiTheme="majorBidi" w:hAnsiTheme="majorBidi" w:cstheme="majorBidi"/>
                <w:b/>
                <w:bCs/>
                <w:sz w:val="20"/>
                <w:szCs w:val="20"/>
              </w:rPr>
              <w:t>Downgrade by one</w:t>
            </w:r>
          </w:p>
        </w:tc>
      </w:tr>
      <w:tr w:rsidR="00F8684E" w:rsidRPr="00BE1AAC" w:rsidTr="007113F9">
        <w:trPr>
          <w:trHeight w:val="848"/>
        </w:trPr>
        <w:tc>
          <w:tcPr>
            <w:tcW w:w="1525" w:type="dxa"/>
          </w:tcPr>
          <w:p w:rsidR="00F8684E" w:rsidRPr="00BE1AAC" w:rsidRDefault="00F8684E" w:rsidP="007113F9">
            <w:pPr>
              <w:tabs>
                <w:tab w:val="right" w:pos="0"/>
              </w:tabs>
              <w:ind w:left="-142" w:right="165" w:firstLine="142"/>
              <w:jc w:val="center"/>
              <w:rPr>
                <w:rFonts w:asciiTheme="majorBidi" w:hAnsiTheme="majorBidi" w:cstheme="majorBidi"/>
                <w:b/>
                <w:bCs/>
                <w:sz w:val="20"/>
                <w:szCs w:val="20"/>
              </w:rPr>
            </w:pPr>
            <w:r w:rsidRPr="00BE1AAC">
              <w:rPr>
                <w:rFonts w:asciiTheme="majorBidi" w:hAnsiTheme="majorBidi" w:cstheme="majorBidi"/>
                <w:b/>
                <w:bCs/>
                <w:sz w:val="20"/>
                <w:szCs w:val="20"/>
              </w:rPr>
              <w:t>Indirectness of evidence</w:t>
            </w:r>
          </w:p>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p>
        </w:tc>
        <w:tc>
          <w:tcPr>
            <w:tcW w:w="7854" w:type="dxa"/>
          </w:tcPr>
          <w:p w:rsidR="00F8684E" w:rsidRPr="00BE1AAC" w:rsidRDefault="00F8684E" w:rsidP="007113F9">
            <w:pPr>
              <w:pStyle w:val="ListParagraph"/>
              <w:numPr>
                <w:ilvl w:val="0"/>
                <w:numId w:val="3"/>
              </w:numPr>
              <w:rPr>
                <w:rFonts w:asciiTheme="majorBidi" w:hAnsiTheme="majorBidi" w:cstheme="majorBidi"/>
                <w:sz w:val="20"/>
                <w:szCs w:val="20"/>
              </w:rPr>
            </w:pPr>
            <w:r w:rsidRPr="00BE1AAC">
              <w:rPr>
                <w:rFonts w:asciiTheme="majorBidi" w:hAnsiTheme="majorBidi" w:cstheme="majorBidi"/>
                <w:sz w:val="20"/>
                <w:szCs w:val="20"/>
              </w:rPr>
              <w:t>The studies directly addressed the intervention, comparator, comparison, and outcome measures included in the review question, with minor indirectness in the target population.</w:t>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No serious indirectness</w:t>
            </w:r>
            <w:r w:rsidRPr="00BE1AAC">
              <w:rPr>
                <w:rFonts w:asciiTheme="majorBidi" w:hAnsiTheme="majorBidi" w:cstheme="majorBidi"/>
                <w:b/>
                <w:bCs/>
                <w:sz w:val="20"/>
                <w:szCs w:val="20"/>
              </w:rPr>
              <w:br/>
              <w:t>No downgrading</w:t>
            </w:r>
          </w:p>
        </w:tc>
      </w:tr>
      <w:tr w:rsidR="00F8684E" w:rsidRPr="00BE1AAC" w:rsidTr="007113F9">
        <w:trPr>
          <w:trHeight w:val="918"/>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Imprecision</w:t>
            </w:r>
          </w:p>
          <w:p w:rsidR="00F8684E" w:rsidRPr="00BE1AAC" w:rsidRDefault="00F8684E" w:rsidP="007113F9">
            <w:pPr>
              <w:tabs>
                <w:tab w:val="right" w:pos="-375"/>
              </w:tabs>
              <w:ind w:left="-142" w:right="68" w:firstLine="142"/>
              <w:rPr>
                <w:rFonts w:asciiTheme="majorBidi" w:hAnsiTheme="majorBidi" w:cstheme="majorBidi"/>
                <w:sz w:val="20"/>
                <w:szCs w:val="20"/>
              </w:rPr>
            </w:pPr>
          </w:p>
        </w:tc>
        <w:tc>
          <w:tcPr>
            <w:tcW w:w="7854" w:type="dxa"/>
          </w:tcPr>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The threshold for the optimal information size (OIS) is not met.</w:t>
            </w:r>
          </w:p>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The summary confidence interval (CI 95%) is wide (-0.55 to -0.03, summary correlation coefficient= -0.29).</w:t>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Serious limitation in imprecision</w:t>
            </w:r>
            <w:r w:rsidRPr="00BE1AAC">
              <w:rPr>
                <w:rFonts w:asciiTheme="majorBidi" w:hAnsiTheme="majorBidi" w:cstheme="majorBidi"/>
                <w:b/>
                <w:bCs/>
                <w:sz w:val="20"/>
                <w:szCs w:val="20"/>
              </w:rPr>
              <w:br/>
              <w:t>Downgrade by one</w:t>
            </w:r>
          </w:p>
        </w:tc>
      </w:tr>
      <w:tr w:rsidR="00F8684E" w:rsidRPr="00BE1AAC" w:rsidTr="007113F9">
        <w:trPr>
          <w:trHeight w:val="848"/>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Publication bias</w:t>
            </w:r>
          </w:p>
          <w:p w:rsidR="00F8684E" w:rsidRPr="00BE1AAC" w:rsidRDefault="00F8684E" w:rsidP="007113F9">
            <w:pPr>
              <w:tabs>
                <w:tab w:val="right" w:pos="-375"/>
              </w:tabs>
              <w:ind w:left="-142" w:right="68" w:firstLine="142"/>
              <w:jc w:val="center"/>
              <w:rPr>
                <w:rFonts w:asciiTheme="majorBidi" w:hAnsiTheme="majorBidi" w:cstheme="majorBidi"/>
                <w:i/>
                <w:iCs/>
                <w:sz w:val="20"/>
                <w:szCs w:val="20"/>
              </w:rPr>
            </w:pPr>
          </w:p>
        </w:tc>
        <w:tc>
          <w:tcPr>
            <w:tcW w:w="7854" w:type="dxa"/>
          </w:tcPr>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Clues to possible publication bias exist (a small number of observational studies reporting positive results in a landscape of a recently suggested topic)</w:t>
            </w:r>
          </w:p>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The small number of published studies and lack of comprehensive search strategy limited qualitative and quantitative assessment of publication bias.</w:t>
            </w:r>
            <w:r w:rsidRPr="00BE1AAC">
              <w:rPr>
                <w:rFonts w:asciiTheme="majorBidi" w:hAnsiTheme="majorBidi" w:cstheme="majorBidi"/>
                <w:sz w:val="20"/>
                <w:szCs w:val="20"/>
              </w:rPr>
              <w:br/>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Undetected</w:t>
            </w:r>
            <w:r w:rsidRPr="00BE1AAC">
              <w:rPr>
                <w:rFonts w:asciiTheme="majorBidi" w:hAnsiTheme="majorBidi" w:cstheme="majorBidi"/>
                <w:sz w:val="20"/>
                <w:szCs w:val="20"/>
              </w:rPr>
              <w:br/>
            </w:r>
            <w:r w:rsidRPr="00BE1AAC">
              <w:rPr>
                <w:rFonts w:asciiTheme="majorBidi" w:hAnsiTheme="majorBidi" w:cstheme="majorBidi"/>
                <w:b/>
                <w:bCs/>
                <w:sz w:val="20"/>
                <w:szCs w:val="20"/>
              </w:rPr>
              <w:t>No downgrading</w:t>
            </w:r>
          </w:p>
        </w:tc>
      </w:tr>
      <w:tr w:rsidR="00F8684E" w:rsidRPr="00BE1AAC" w:rsidTr="007113F9">
        <w:trPr>
          <w:trHeight w:val="391"/>
        </w:trPr>
        <w:tc>
          <w:tcPr>
            <w:tcW w:w="11221" w:type="dxa"/>
            <w:gridSpan w:val="3"/>
          </w:tcPr>
          <w:p w:rsidR="00F8684E" w:rsidRPr="00BE1AAC" w:rsidRDefault="00F8684E" w:rsidP="007113F9">
            <w:pPr>
              <w:jc w:val="center"/>
              <w:rPr>
                <w:rFonts w:asciiTheme="majorBidi" w:hAnsiTheme="majorBidi" w:cstheme="majorBidi"/>
                <w:b/>
                <w:bCs/>
                <w:sz w:val="20"/>
                <w:szCs w:val="20"/>
              </w:rPr>
            </w:pPr>
            <w:r w:rsidRPr="00BE1AAC">
              <w:rPr>
                <w:rFonts w:asciiTheme="majorBidi" w:hAnsiTheme="majorBidi" w:cstheme="majorBidi"/>
                <w:b/>
                <w:bCs/>
                <w:sz w:val="20"/>
                <w:szCs w:val="20"/>
              </w:rPr>
              <w:t>Factors that can increase the quality of the evidence</w:t>
            </w:r>
          </w:p>
        </w:tc>
      </w:tr>
      <w:tr w:rsidR="00F8684E" w:rsidRPr="00BE1AAC" w:rsidTr="007113F9">
        <w:trPr>
          <w:trHeight w:val="848"/>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Large magnitude of an effect</w:t>
            </w:r>
          </w:p>
          <w:p w:rsidR="00F8684E" w:rsidRPr="00BE1AAC" w:rsidRDefault="00F8684E" w:rsidP="007113F9">
            <w:pPr>
              <w:tabs>
                <w:tab w:val="right" w:pos="-375"/>
              </w:tabs>
              <w:ind w:left="-142" w:right="68" w:firstLine="142"/>
              <w:jc w:val="center"/>
              <w:rPr>
                <w:rFonts w:asciiTheme="majorBidi" w:hAnsiTheme="majorBidi" w:cstheme="majorBidi"/>
                <w:sz w:val="20"/>
                <w:szCs w:val="20"/>
              </w:rPr>
            </w:pPr>
          </w:p>
        </w:tc>
        <w:tc>
          <w:tcPr>
            <w:tcW w:w="7854" w:type="dxa"/>
          </w:tcPr>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The correlation magnitude (correlation coefficient= -0.29) is weak (reference for weak correlation (</w:t>
            </w:r>
            <w:r w:rsidRPr="00BE1AAC">
              <w:rPr>
                <w:rFonts w:asciiTheme="majorBidi" w:hAnsiTheme="majorBidi" w:cstheme="majorBidi"/>
                <w:i/>
                <w:iCs/>
                <w:sz w:val="20"/>
                <w:szCs w:val="20"/>
              </w:rPr>
              <w:t>BMJ</w:t>
            </w:r>
            <w:r w:rsidRPr="00BE1AAC">
              <w:rPr>
                <w:rFonts w:asciiTheme="majorBidi" w:hAnsiTheme="majorBidi" w:cstheme="majorBidi"/>
                <w:sz w:val="20"/>
                <w:szCs w:val="20"/>
              </w:rPr>
              <w:t xml:space="preserve">) = 0.20-0.39) </w:t>
            </w:r>
          </w:p>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 Albeit significant, the confidence interval is wide (-0.55 to -0.03) and overlaps with a very weak, weak, and moderate correlation ranges.</w:t>
            </w:r>
          </w:p>
          <w:p w:rsidR="00F8684E" w:rsidRPr="00BE1AAC" w:rsidRDefault="00F8684E" w:rsidP="007113F9">
            <w:pPr>
              <w:rPr>
                <w:rFonts w:asciiTheme="majorBidi" w:hAnsiTheme="majorBidi" w:cstheme="majorBidi"/>
                <w:sz w:val="20"/>
                <w:szCs w:val="20"/>
              </w:rPr>
            </w:pP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Weak correlation</w:t>
            </w:r>
            <w:r w:rsidRPr="00BE1AAC">
              <w:rPr>
                <w:rFonts w:asciiTheme="majorBidi" w:hAnsiTheme="majorBidi" w:cstheme="majorBidi"/>
                <w:b/>
                <w:bCs/>
                <w:sz w:val="20"/>
                <w:szCs w:val="20"/>
              </w:rPr>
              <w:br/>
              <w:t>No upgrading</w:t>
            </w:r>
            <w:r w:rsidRPr="00BE1AAC">
              <w:rPr>
                <w:rFonts w:asciiTheme="majorBidi" w:hAnsiTheme="majorBidi" w:cstheme="majorBidi"/>
                <w:sz w:val="20"/>
                <w:szCs w:val="20"/>
              </w:rPr>
              <w:t>.</w:t>
            </w:r>
          </w:p>
        </w:tc>
      </w:tr>
      <w:tr w:rsidR="00F8684E" w:rsidRPr="00BE1AAC" w:rsidTr="007113F9">
        <w:trPr>
          <w:trHeight w:val="503"/>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t>Dose-response gradient</w:t>
            </w:r>
          </w:p>
        </w:tc>
        <w:tc>
          <w:tcPr>
            <w:tcW w:w="7854" w:type="dxa"/>
          </w:tcPr>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 xml:space="preserve">The dose response is an inherent part of correlation analysis. </w:t>
            </w:r>
          </w:p>
        </w:tc>
        <w:tc>
          <w:tcPr>
            <w:tcW w:w="1842" w:type="dxa"/>
          </w:tcPr>
          <w:p w:rsidR="00F8684E" w:rsidRPr="00BE1AAC" w:rsidRDefault="00F8684E" w:rsidP="007113F9">
            <w:pPr>
              <w:rPr>
                <w:rFonts w:asciiTheme="majorBidi" w:hAnsiTheme="majorBidi" w:cstheme="majorBidi"/>
                <w:b/>
                <w:bCs/>
                <w:sz w:val="20"/>
                <w:szCs w:val="20"/>
              </w:rPr>
            </w:pPr>
            <w:r w:rsidRPr="00BE1AAC">
              <w:rPr>
                <w:rFonts w:asciiTheme="majorBidi" w:hAnsiTheme="majorBidi" w:cstheme="majorBidi"/>
                <w:b/>
                <w:bCs/>
                <w:sz w:val="20"/>
                <w:szCs w:val="20"/>
              </w:rPr>
              <w:t>Upgrade by one</w:t>
            </w:r>
          </w:p>
          <w:p w:rsidR="00F8684E" w:rsidRPr="00BE1AAC" w:rsidRDefault="00F8684E" w:rsidP="007113F9">
            <w:pPr>
              <w:rPr>
                <w:rFonts w:asciiTheme="majorBidi" w:hAnsiTheme="majorBidi" w:cstheme="majorBidi"/>
                <w:sz w:val="20"/>
                <w:szCs w:val="20"/>
              </w:rPr>
            </w:pPr>
          </w:p>
        </w:tc>
      </w:tr>
      <w:tr w:rsidR="00F8684E" w:rsidRPr="00BE1AAC" w:rsidTr="007113F9">
        <w:trPr>
          <w:trHeight w:val="1203"/>
        </w:trPr>
        <w:tc>
          <w:tcPr>
            <w:tcW w:w="1525" w:type="dxa"/>
          </w:tcPr>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r w:rsidRPr="00BE1AAC">
              <w:rPr>
                <w:rFonts w:asciiTheme="majorBidi" w:hAnsiTheme="majorBidi" w:cstheme="majorBidi"/>
                <w:b/>
                <w:bCs/>
                <w:sz w:val="20"/>
                <w:szCs w:val="20"/>
              </w:rPr>
              <w:lastRenderedPageBreak/>
              <w:t>Effect of plausible residual confounding</w:t>
            </w:r>
          </w:p>
          <w:p w:rsidR="00F8684E" w:rsidRPr="00BE1AAC" w:rsidRDefault="00F8684E" w:rsidP="007113F9">
            <w:pPr>
              <w:tabs>
                <w:tab w:val="right" w:pos="-375"/>
              </w:tabs>
              <w:ind w:left="-142" w:right="68" w:firstLine="142"/>
              <w:jc w:val="center"/>
              <w:rPr>
                <w:rFonts w:asciiTheme="majorBidi" w:hAnsiTheme="majorBidi" w:cstheme="majorBidi"/>
                <w:b/>
                <w:bCs/>
                <w:sz w:val="20"/>
                <w:szCs w:val="20"/>
              </w:rPr>
            </w:pPr>
          </w:p>
        </w:tc>
        <w:tc>
          <w:tcPr>
            <w:tcW w:w="7854" w:type="dxa"/>
          </w:tcPr>
          <w:p w:rsidR="00F8684E" w:rsidRPr="00BE1AAC" w:rsidRDefault="00F8684E" w:rsidP="007113F9">
            <w:pPr>
              <w:pStyle w:val="ListParagraph"/>
              <w:numPr>
                <w:ilvl w:val="0"/>
                <w:numId w:val="2"/>
              </w:numPr>
              <w:rPr>
                <w:rFonts w:asciiTheme="majorBidi" w:hAnsiTheme="majorBidi" w:cstheme="majorBidi"/>
                <w:sz w:val="20"/>
                <w:szCs w:val="20"/>
              </w:rPr>
            </w:pPr>
            <w:r w:rsidRPr="00BE1AAC">
              <w:rPr>
                <w:rFonts w:asciiTheme="majorBidi" w:hAnsiTheme="majorBidi" w:cstheme="majorBidi"/>
                <w:sz w:val="20"/>
                <w:szCs w:val="20"/>
              </w:rPr>
              <w:t>Diet research is by nature susceptible to residual confounding whose effect may push an effect in either positive or negative direction. Identifying, measuring, ascertaining, and adjusting for these confounders are difficult.</w:t>
            </w:r>
          </w:p>
        </w:tc>
        <w:tc>
          <w:tcPr>
            <w:tcW w:w="1842" w:type="dxa"/>
          </w:tcPr>
          <w:p w:rsidR="00F8684E" w:rsidRPr="00BE1AAC" w:rsidRDefault="00F8684E" w:rsidP="007113F9">
            <w:pPr>
              <w:rPr>
                <w:rFonts w:asciiTheme="majorBidi" w:hAnsiTheme="majorBidi" w:cstheme="majorBidi"/>
                <w:sz w:val="20"/>
                <w:szCs w:val="20"/>
              </w:rPr>
            </w:pPr>
            <w:r w:rsidRPr="00BE1AAC">
              <w:rPr>
                <w:rFonts w:asciiTheme="majorBidi" w:hAnsiTheme="majorBidi" w:cstheme="majorBidi"/>
                <w:sz w:val="20"/>
                <w:szCs w:val="20"/>
              </w:rPr>
              <w:t xml:space="preserve">Identifying plausible residual confounding is not possible. </w:t>
            </w:r>
            <w:r w:rsidRPr="00BE1AAC">
              <w:rPr>
                <w:rFonts w:asciiTheme="majorBidi" w:hAnsiTheme="majorBidi" w:cstheme="majorBidi"/>
                <w:sz w:val="20"/>
                <w:szCs w:val="20"/>
              </w:rPr>
              <w:br/>
            </w:r>
            <w:r w:rsidRPr="00BE1AAC">
              <w:rPr>
                <w:rFonts w:asciiTheme="majorBidi" w:hAnsiTheme="majorBidi" w:cstheme="majorBidi"/>
                <w:b/>
                <w:bCs/>
                <w:sz w:val="20"/>
                <w:szCs w:val="20"/>
              </w:rPr>
              <w:t>No upgrading</w:t>
            </w:r>
          </w:p>
        </w:tc>
      </w:tr>
    </w:tbl>
    <w:p w:rsidR="00F8684E" w:rsidRPr="00BE1AAC" w:rsidRDefault="00F8684E" w:rsidP="00F8684E">
      <w:pPr>
        <w:rPr>
          <w:rFonts w:asciiTheme="majorBidi" w:hAnsiTheme="majorBidi" w:cstheme="majorBidi"/>
          <w:b/>
          <w:bCs/>
          <w:lang w:val="en-US"/>
        </w:rPr>
      </w:pPr>
    </w:p>
    <w:p w:rsidR="005058B6" w:rsidRPr="00BE1AAC" w:rsidRDefault="005058B6" w:rsidP="005058B6">
      <w:pPr>
        <w:rPr>
          <w:rFonts w:asciiTheme="majorBidi" w:hAnsiTheme="majorBidi" w:cstheme="majorBidi"/>
          <w:b/>
          <w:bCs/>
          <w:lang w:val="en-US"/>
        </w:rPr>
      </w:pPr>
    </w:p>
    <w:p w:rsidR="0097527A" w:rsidRPr="00960D8C" w:rsidRDefault="0097527A" w:rsidP="005058B6">
      <w:pPr>
        <w:rPr>
          <w:rFonts w:asciiTheme="majorBidi" w:hAnsiTheme="majorBidi" w:cstheme="majorBidi"/>
          <w:sz w:val="23"/>
          <w:szCs w:val="23"/>
          <w:lang w:val="en-US"/>
        </w:rPr>
      </w:pPr>
    </w:p>
    <w:sectPr w:rsidR="0097527A" w:rsidRPr="00960D8C" w:rsidSect="00BA17F2">
      <w:footerReference w:type="even" r:id="rId7"/>
      <w:footerReference w:type="default" r:id="rId8"/>
      <w:pgSz w:w="12240" w:h="15840"/>
      <w:pgMar w:top="698" w:right="1440" w:bottom="4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533D" w:rsidRDefault="0084533D">
      <w:r>
        <w:separator/>
      </w:r>
    </w:p>
  </w:endnote>
  <w:endnote w:type="continuationSeparator" w:id="0">
    <w:p w:rsidR="0084533D" w:rsidRDefault="0084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9503640"/>
      <w:docPartObj>
        <w:docPartGallery w:val="Page Numbers (Bottom of Page)"/>
        <w:docPartUnique/>
      </w:docPartObj>
    </w:sdtPr>
    <w:sdtContent>
      <w:p w:rsidR="009A3B0F" w:rsidRDefault="00000000" w:rsidP="00C947F4">
        <w:pPr>
          <w:pStyle w:val="Footer"/>
          <w:framePr w:wrap="none" w:vAnchor="text" w:hAnchor="margin" w:xAlign="center" w:y="1"/>
          <w:rPr>
            <w:rStyle w:val="PageNumber"/>
          </w:rPr>
        </w:pPr>
        <w:r>
          <w:rPr>
            <w:rStyle w:val="PageNumber"/>
          </w:rPr>
          <w:fldChar w:fldCharType="begin"/>
        </w:r>
        <w:r>
          <w:rPr>
            <w:rStyle w:val="PageNumber"/>
          </w:rPr>
          <w:instrText xml:space="preserve"> PAGE</w:instrText>
        </w:r>
        <w:r>
          <w:rPr>
            <w:rStyle w:val="PageNumber"/>
          </w:rPr>
          <w:fldChar w:fldCharType="separate"/>
        </w:r>
        <w:r>
          <w:rPr>
            <w:rStyle w:val="PageNumber"/>
            <w:noProof/>
          </w:rPr>
          <w:t>23</w:t>
        </w:r>
        <w:r>
          <w:rPr>
            <w:rStyle w:val="PageNumber"/>
          </w:rPr>
          <w:fldChar w:fldCharType="end"/>
        </w:r>
      </w:p>
    </w:sdtContent>
  </w:sdt>
  <w:p w:rsidR="009A3B0F" w:rsidRDefault="009A3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9811437"/>
      <w:docPartObj>
        <w:docPartGallery w:val="Page Numbers (Bottom of Page)"/>
        <w:docPartUnique/>
      </w:docPartObj>
    </w:sdtPr>
    <w:sdtContent>
      <w:p w:rsidR="009A3B0F" w:rsidRDefault="00000000" w:rsidP="00C947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A3B0F" w:rsidRDefault="009A3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533D" w:rsidRDefault="0084533D">
      <w:r>
        <w:separator/>
      </w:r>
    </w:p>
  </w:footnote>
  <w:footnote w:type="continuationSeparator" w:id="0">
    <w:p w:rsidR="0084533D" w:rsidRDefault="00845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84838"/>
    <w:multiLevelType w:val="hybridMultilevel"/>
    <w:tmpl w:val="9E0CAB90"/>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11018"/>
    <w:multiLevelType w:val="hybridMultilevel"/>
    <w:tmpl w:val="A5DC5BDA"/>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1028D"/>
    <w:multiLevelType w:val="hybridMultilevel"/>
    <w:tmpl w:val="3634F89E"/>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668B9"/>
    <w:multiLevelType w:val="hybridMultilevel"/>
    <w:tmpl w:val="90ACAC0C"/>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4136C"/>
    <w:multiLevelType w:val="hybridMultilevel"/>
    <w:tmpl w:val="20DCF474"/>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5403D"/>
    <w:multiLevelType w:val="hybridMultilevel"/>
    <w:tmpl w:val="2A16FB94"/>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62448"/>
    <w:multiLevelType w:val="hybridMultilevel"/>
    <w:tmpl w:val="ADE6BF7A"/>
    <w:lvl w:ilvl="0" w:tplc="DA3A927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36A5D"/>
    <w:multiLevelType w:val="hybridMultilevel"/>
    <w:tmpl w:val="5308AC64"/>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43FF2"/>
    <w:multiLevelType w:val="hybridMultilevel"/>
    <w:tmpl w:val="DD6E7620"/>
    <w:lvl w:ilvl="0" w:tplc="A9D25CC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EB0183"/>
    <w:multiLevelType w:val="hybridMultilevel"/>
    <w:tmpl w:val="3C282B50"/>
    <w:lvl w:ilvl="0" w:tplc="0252815C">
      <w:start w:val="5"/>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36F0F"/>
    <w:multiLevelType w:val="hybridMultilevel"/>
    <w:tmpl w:val="8B803B14"/>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C3C66"/>
    <w:multiLevelType w:val="hybridMultilevel"/>
    <w:tmpl w:val="0038DE08"/>
    <w:lvl w:ilvl="0" w:tplc="22EE671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5C3121"/>
    <w:multiLevelType w:val="hybridMultilevel"/>
    <w:tmpl w:val="9E722BC2"/>
    <w:lvl w:ilvl="0" w:tplc="207C9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250230"/>
    <w:multiLevelType w:val="hybridMultilevel"/>
    <w:tmpl w:val="D8AE3F3C"/>
    <w:lvl w:ilvl="0" w:tplc="0BC045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D87119"/>
    <w:multiLevelType w:val="hybridMultilevel"/>
    <w:tmpl w:val="48C066C6"/>
    <w:lvl w:ilvl="0" w:tplc="22EE671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2A0789"/>
    <w:multiLevelType w:val="hybridMultilevel"/>
    <w:tmpl w:val="709446BA"/>
    <w:lvl w:ilvl="0" w:tplc="BE0EBF4C">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6F19FF"/>
    <w:multiLevelType w:val="hybridMultilevel"/>
    <w:tmpl w:val="0F8CDF96"/>
    <w:lvl w:ilvl="0" w:tplc="C6729CD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3977426">
    <w:abstractNumId w:val="4"/>
  </w:num>
  <w:num w:numId="2" w16cid:durableId="91049931">
    <w:abstractNumId w:val="16"/>
  </w:num>
  <w:num w:numId="3" w16cid:durableId="1466388107">
    <w:abstractNumId w:val="14"/>
  </w:num>
  <w:num w:numId="4" w16cid:durableId="1470780104">
    <w:abstractNumId w:val="9"/>
  </w:num>
  <w:num w:numId="5" w16cid:durableId="2043623921">
    <w:abstractNumId w:val="11"/>
  </w:num>
  <w:num w:numId="6" w16cid:durableId="1317150568">
    <w:abstractNumId w:val="2"/>
  </w:num>
  <w:num w:numId="7" w16cid:durableId="1995840608">
    <w:abstractNumId w:val="1"/>
  </w:num>
  <w:num w:numId="8" w16cid:durableId="2070614385">
    <w:abstractNumId w:val="5"/>
  </w:num>
  <w:num w:numId="9" w16cid:durableId="1503743092">
    <w:abstractNumId w:val="0"/>
  </w:num>
  <w:num w:numId="10" w16cid:durableId="1298300134">
    <w:abstractNumId w:val="10"/>
  </w:num>
  <w:num w:numId="11" w16cid:durableId="1105077437">
    <w:abstractNumId w:val="7"/>
  </w:num>
  <w:num w:numId="12" w16cid:durableId="1670406969">
    <w:abstractNumId w:val="3"/>
  </w:num>
  <w:num w:numId="13" w16cid:durableId="1451120554">
    <w:abstractNumId w:val="6"/>
  </w:num>
  <w:num w:numId="14" w16cid:durableId="840507576">
    <w:abstractNumId w:val="15"/>
  </w:num>
  <w:num w:numId="15" w16cid:durableId="1133720155">
    <w:abstractNumId w:val="12"/>
  </w:num>
  <w:num w:numId="16" w16cid:durableId="907688592">
    <w:abstractNumId w:val="8"/>
  </w:num>
  <w:num w:numId="17" w16cid:durableId="12431734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75"/>
    <w:rsid w:val="000753C3"/>
    <w:rsid w:val="00087041"/>
    <w:rsid w:val="000B149B"/>
    <w:rsid w:val="000E2D3B"/>
    <w:rsid w:val="00111CD9"/>
    <w:rsid w:val="00123926"/>
    <w:rsid w:val="00135D2E"/>
    <w:rsid w:val="001F1052"/>
    <w:rsid w:val="001F680D"/>
    <w:rsid w:val="00223C6A"/>
    <w:rsid w:val="00232DA2"/>
    <w:rsid w:val="00237461"/>
    <w:rsid w:val="00282408"/>
    <w:rsid w:val="002A68A2"/>
    <w:rsid w:val="002F1941"/>
    <w:rsid w:val="00314ACC"/>
    <w:rsid w:val="0037071A"/>
    <w:rsid w:val="003837D6"/>
    <w:rsid w:val="00385F1A"/>
    <w:rsid w:val="003C2B70"/>
    <w:rsid w:val="003C33CE"/>
    <w:rsid w:val="00417B41"/>
    <w:rsid w:val="0046469B"/>
    <w:rsid w:val="0049136E"/>
    <w:rsid w:val="004A1CA1"/>
    <w:rsid w:val="004A4BCA"/>
    <w:rsid w:val="004A6658"/>
    <w:rsid w:val="004F0EC9"/>
    <w:rsid w:val="004F48D7"/>
    <w:rsid w:val="004F76A7"/>
    <w:rsid w:val="005058B6"/>
    <w:rsid w:val="005125F3"/>
    <w:rsid w:val="005615EB"/>
    <w:rsid w:val="00583239"/>
    <w:rsid w:val="00591B52"/>
    <w:rsid w:val="005D2BBB"/>
    <w:rsid w:val="00611883"/>
    <w:rsid w:val="00627DCA"/>
    <w:rsid w:val="0064413C"/>
    <w:rsid w:val="006555DD"/>
    <w:rsid w:val="006905D3"/>
    <w:rsid w:val="006C00C1"/>
    <w:rsid w:val="007052BB"/>
    <w:rsid w:val="00752112"/>
    <w:rsid w:val="007B240D"/>
    <w:rsid w:val="008149AD"/>
    <w:rsid w:val="0084533D"/>
    <w:rsid w:val="00875478"/>
    <w:rsid w:val="00895E4B"/>
    <w:rsid w:val="0091241E"/>
    <w:rsid w:val="00943245"/>
    <w:rsid w:val="0095458B"/>
    <w:rsid w:val="00960D8C"/>
    <w:rsid w:val="0097527A"/>
    <w:rsid w:val="00983147"/>
    <w:rsid w:val="009A366B"/>
    <w:rsid w:val="009A3B0F"/>
    <w:rsid w:val="009B6EA1"/>
    <w:rsid w:val="00A10863"/>
    <w:rsid w:val="00A31F5D"/>
    <w:rsid w:val="00A504AB"/>
    <w:rsid w:val="00A94BC6"/>
    <w:rsid w:val="00AC6E4A"/>
    <w:rsid w:val="00B05A5B"/>
    <w:rsid w:val="00B06A1C"/>
    <w:rsid w:val="00BA17F2"/>
    <w:rsid w:val="00BB39EA"/>
    <w:rsid w:val="00BC47BE"/>
    <w:rsid w:val="00BE1AAC"/>
    <w:rsid w:val="00C666A5"/>
    <w:rsid w:val="00CD5930"/>
    <w:rsid w:val="00D135D3"/>
    <w:rsid w:val="00D33CF8"/>
    <w:rsid w:val="00D53CBA"/>
    <w:rsid w:val="00D8315F"/>
    <w:rsid w:val="00D95375"/>
    <w:rsid w:val="00DC34D8"/>
    <w:rsid w:val="00E108F6"/>
    <w:rsid w:val="00E24A7C"/>
    <w:rsid w:val="00EC5AFF"/>
    <w:rsid w:val="00ED7C46"/>
    <w:rsid w:val="00EE6012"/>
    <w:rsid w:val="00F0578F"/>
    <w:rsid w:val="00F12256"/>
    <w:rsid w:val="00F525F1"/>
    <w:rsid w:val="00F8684E"/>
    <w:rsid w:val="00FA1800"/>
    <w:rsid w:val="00FB72D7"/>
    <w:rsid w:val="00FB7607"/>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7515"/>
  <w15:chartTrackingRefBased/>
  <w15:docId w15:val="{EAB85A0D-47F7-BA44-A19D-4C42BE92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5375"/>
    <w:pPr>
      <w:autoSpaceDE w:val="0"/>
      <w:autoSpaceDN w:val="0"/>
      <w:adjustRightInd w:val="0"/>
    </w:pPr>
    <w:rPr>
      <w:rFonts w:ascii="Arial" w:hAnsi="Arial" w:cs="Arial"/>
      <w:color w:val="000000"/>
      <w:kern w:val="0"/>
      <w:lang w:val="en-US"/>
    </w:rPr>
  </w:style>
  <w:style w:type="table" w:styleId="TableGrid">
    <w:name w:val="Table Grid"/>
    <w:basedOn w:val="TableNormal"/>
    <w:uiPriority w:val="39"/>
    <w:rsid w:val="00D9537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5375"/>
    <w:rPr>
      <w:kern w:val="0"/>
      <w:sz w:val="22"/>
      <w:szCs w:val="22"/>
      <w:lang w:val="en-US"/>
      <w14:ligatures w14:val="none"/>
    </w:rPr>
  </w:style>
  <w:style w:type="paragraph" w:styleId="ListParagraph">
    <w:name w:val="List Paragraph"/>
    <w:basedOn w:val="Normal"/>
    <w:uiPriority w:val="34"/>
    <w:qFormat/>
    <w:rsid w:val="006C00C1"/>
    <w:pPr>
      <w:ind w:left="720"/>
      <w:contextualSpacing/>
    </w:pPr>
  </w:style>
  <w:style w:type="paragraph" w:styleId="Footer">
    <w:name w:val="footer"/>
    <w:basedOn w:val="Normal"/>
    <w:link w:val="FooterChar"/>
    <w:uiPriority w:val="99"/>
    <w:unhideWhenUsed/>
    <w:rsid w:val="007052BB"/>
    <w:pPr>
      <w:tabs>
        <w:tab w:val="center" w:pos="4680"/>
        <w:tab w:val="right" w:pos="9360"/>
      </w:tabs>
    </w:pPr>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sid w:val="007052BB"/>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70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03514">
      <w:bodyDiv w:val="1"/>
      <w:marLeft w:val="0"/>
      <w:marRight w:val="0"/>
      <w:marTop w:val="0"/>
      <w:marBottom w:val="0"/>
      <w:divBdr>
        <w:top w:val="none" w:sz="0" w:space="0" w:color="auto"/>
        <w:left w:val="none" w:sz="0" w:space="0" w:color="auto"/>
        <w:bottom w:val="none" w:sz="0" w:space="0" w:color="auto"/>
        <w:right w:val="none" w:sz="0" w:space="0" w:color="auto"/>
      </w:divBdr>
    </w:div>
    <w:div w:id="205542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Sari Taha</cp:lastModifiedBy>
  <cp:revision>2</cp:revision>
  <dcterms:created xsi:type="dcterms:W3CDTF">2025-01-23T17:38:00Z</dcterms:created>
  <dcterms:modified xsi:type="dcterms:W3CDTF">2025-01-23T17:38:00Z</dcterms:modified>
</cp:coreProperties>
</file>