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5375" w:rsidRPr="00BE1AAC" w:rsidRDefault="00D95375" w:rsidP="00D95375">
      <w:pPr>
        <w:pStyle w:val="Default"/>
        <w:rPr>
          <w:rFonts w:asciiTheme="majorBidi" w:hAnsiTheme="majorBidi" w:cstheme="majorBidi"/>
        </w:rPr>
      </w:pPr>
    </w:p>
    <w:p w:rsidR="00D95375" w:rsidRDefault="00D95375" w:rsidP="00D95375">
      <w:pPr>
        <w:jc w:val="center"/>
        <w:rPr>
          <w:rFonts w:asciiTheme="majorBidi" w:hAnsiTheme="majorBidi" w:cstheme="majorBidi"/>
          <w:b/>
          <w:bCs/>
          <w:sz w:val="28"/>
          <w:szCs w:val="28"/>
          <w:lang w:val="en-US"/>
        </w:rPr>
      </w:pPr>
      <w:r w:rsidRPr="00BE1AAC">
        <w:rPr>
          <w:rFonts w:asciiTheme="majorBidi" w:hAnsiTheme="majorBidi" w:cstheme="majorBidi"/>
          <w:b/>
          <w:bCs/>
          <w:sz w:val="28"/>
          <w:szCs w:val="28"/>
        </w:rPr>
        <w:t xml:space="preserve">Supplementary </w:t>
      </w:r>
      <w:r w:rsidR="00CD5930">
        <w:rPr>
          <w:rFonts w:asciiTheme="majorBidi" w:hAnsiTheme="majorBidi" w:cstheme="majorBidi"/>
          <w:b/>
          <w:bCs/>
          <w:sz w:val="28"/>
          <w:szCs w:val="28"/>
          <w:lang w:val="en-US"/>
        </w:rPr>
        <w:t xml:space="preserve">File </w:t>
      </w:r>
      <w:r w:rsidR="00960D8C">
        <w:rPr>
          <w:rFonts w:asciiTheme="majorBidi" w:hAnsiTheme="majorBidi" w:cstheme="majorBidi"/>
          <w:b/>
          <w:bCs/>
          <w:sz w:val="28"/>
          <w:szCs w:val="28"/>
          <w:lang w:val="en-US"/>
        </w:rPr>
        <w:t>2</w:t>
      </w:r>
    </w:p>
    <w:p w:rsidR="00960D8C" w:rsidRDefault="005058B6" w:rsidP="00D95375">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Evidence Profile 1</w:t>
      </w:r>
    </w:p>
    <w:p w:rsidR="00CD5930" w:rsidRDefault="00CD5930" w:rsidP="00CD5930">
      <w:pPr>
        <w:suppressLineNumbers/>
        <w:jc w:val="both"/>
        <w:rPr>
          <w:rFonts w:asciiTheme="majorBidi" w:eastAsia="Calibri" w:hAnsiTheme="majorBidi" w:cstheme="majorBidi"/>
          <w:b/>
          <w:bCs/>
          <w:sz w:val="28"/>
          <w:szCs w:val="28"/>
        </w:rPr>
      </w:pPr>
    </w:p>
    <w:p w:rsidR="00CD5930" w:rsidRDefault="00CD5930" w:rsidP="00CD5930">
      <w:pPr>
        <w:suppressLineNumbers/>
        <w:jc w:val="both"/>
        <w:rPr>
          <w:rFonts w:asciiTheme="majorBidi" w:eastAsia="Calibri" w:hAnsiTheme="majorBidi" w:cstheme="majorBidi"/>
        </w:rPr>
      </w:pPr>
      <w:r w:rsidRPr="00CD5930">
        <w:rPr>
          <w:rFonts w:asciiTheme="majorBidi" w:eastAsia="Calibri" w:hAnsiTheme="majorBidi" w:cstheme="majorBidi"/>
          <w:lang w:val="en-US"/>
        </w:rPr>
        <w:t xml:space="preserve">Manuscript title: </w:t>
      </w:r>
      <w:r w:rsidRPr="00CD5930">
        <w:rPr>
          <w:rFonts w:asciiTheme="majorBidi" w:eastAsia="Calibri" w:hAnsiTheme="majorBidi" w:cstheme="majorBidi"/>
        </w:rPr>
        <w:t>The Mediterranean diet and acne vulgaris: A systematic review and meta-analysis</w:t>
      </w:r>
    </w:p>
    <w:p w:rsidR="005058B6" w:rsidRDefault="00CD5930" w:rsidP="005058B6">
      <w:pPr>
        <w:suppressLineNumbers/>
        <w:jc w:val="both"/>
        <w:rPr>
          <w:rFonts w:asciiTheme="majorBidi" w:hAnsiTheme="majorBidi" w:cstheme="majorBidi"/>
          <w:b/>
          <w:bCs/>
          <w:lang w:val="en-US"/>
        </w:rPr>
      </w:pPr>
      <w:r>
        <w:rPr>
          <w:rFonts w:asciiTheme="majorBidi" w:eastAsia="Calibri" w:hAnsiTheme="majorBidi" w:cstheme="majorBidi"/>
          <w:lang w:val="en-US"/>
        </w:rPr>
        <w:t>First author: Sari Taha</w:t>
      </w:r>
    </w:p>
    <w:p w:rsidR="005058B6" w:rsidRDefault="005058B6" w:rsidP="005058B6">
      <w:pPr>
        <w:suppressLineNumbers/>
        <w:jc w:val="both"/>
        <w:rPr>
          <w:rFonts w:asciiTheme="majorBidi" w:hAnsiTheme="majorBidi" w:cstheme="majorBidi"/>
          <w:b/>
          <w:bCs/>
        </w:rPr>
      </w:pPr>
    </w:p>
    <w:p w:rsidR="005058B6" w:rsidRPr="005058B6" w:rsidRDefault="005058B6" w:rsidP="005058B6">
      <w:pPr>
        <w:suppressLineNumbers/>
        <w:jc w:val="both"/>
        <w:rPr>
          <w:rFonts w:asciiTheme="majorBidi" w:eastAsia="Calibri" w:hAnsiTheme="majorBidi" w:cstheme="majorBidi"/>
          <w:lang w:val="en-US"/>
        </w:rPr>
      </w:pPr>
      <w:r w:rsidRPr="00BE1AAC">
        <w:rPr>
          <w:rFonts w:asciiTheme="majorBidi" w:hAnsiTheme="majorBidi" w:cstheme="majorBidi"/>
          <w:b/>
          <w:bCs/>
        </w:rPr>
        <w:t xml:space="preserve">eTable 3: </w:t>
      </w:r>
      <w:r w:rsidRPr="00BE1AAC">
        <w:rPr>
          <w:rFonts w:asciiTheme="majorBidi" w:hAnsiTheme="majorBidi" w:cstheme="majorBidi"/>
        </w:rPr>
        <w:t>Evidence profile (EP) for the association between adherence to the Mediterranean diet and acne development using GRADE tool.</w:t>
      </w:r>
    </w:p>
    <w:tbl>
      <w:tblPr>
        <w:tblStyle w:val="TableGrid"/>
        <w:tblW w:w="11221" w:type="dxa"/>
        <w:tblInd w:w="-856" w:type="dxa"/>
        <w:tblLook w:val="04A0" w:firstRow="1" w:lastRow="0" w:firstColumn="1" w:lastColumn="0" w:noHBand="0" w:noVBand="1"/>
      </w:tblPr>
      <w:tblGrid>
        <w:gridCol w:w="1525"/>
        <w:gridCol w:w="7854"/>
        <w:gridCol w:w="1842"/>
      </w:tblGrid>
      <w:tr w:rsidR="005058B6" w:rsidRPr="00BE1AAC" w:rsidTr="007113F9">
        <w:trPr>
          <w:trHeight w:val="315"/>
        </w:trPr>
        <w:tc>
          <w:tcPr>
            <w:tcW w:w="1525" w:type="dxa"/>
          </w:tcPr>
          <w:p w:rsidR="005058B6" w:rsidRPr="00BE1AAC" w:rsidRDefault="005058B6"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Study design</w:t>
            </w:r>
          </w:p>
        </w:tc>
        <w:tc>
          <w:tcPr>
            <w:tcW w:w="7854" w:type="dxa"/>
          </w:tcPr>
          <w:p w:rsidR="005058B6" w:rsidRPr="00BE1AAC" w:rsidRDefault="005058B6" w:rsidP="007113F9">
            <w:pPr>
              <w:jc w:val="center"/>
              <w:rPr>
                <w:rFonts w:asciiTheme="majorBidi" w:hAnsiTheme="majorBidi" w:cstheme="majorBidi"/>
                <w:b/>
                <w:bCs/>
                <w:sz w:val="20"/>
                <w:szCs w:val="20"/>
              </w:rPr>
            </w:pPr>
            <w:r w:rsidRPr="00BE1AAC">
              <w:rPr>
                <w:rFonts w:asciiTheme="majorBidi" w:hAnsiTheme="majorBidi" w:cstheme="majorBidi"/>
                <w:b/>
                <w:bCs/>
                <w:sz w:val="20"/>
                <w:szCs w:val="20"/>
              </w:rPr>
              <w:t>Detailed judgment</w:t>
            </w:r>
          </w:p>
        </w:tc>
        <w:tc>
          <w:tcPr>
            <w:tcW w:w="1842" w:type="dxa"/>
          </w:tcPr>
          <w:p w:rsidR="005058B6" w:rsidRPr="00BE1AAC" w:rsidRDefault="005058B6" w:rsidP="007113F9">
            <w:pPr>
              <w:jc w:val="center"/>
              <w:rPr>
                <w:rFonts w:asciiTheme="majorBidi" w:hAnsiTheme="majorBidi" w:cstheme="majorBidi"/>
                <w:b/>
                <w:bCs/>
                <w:sz w:val="20"/>
                <w:szCs w:val="20"/>
              </w:rPr>
            </w:pPr>
            <w:r w:rsidRPr="00BE1AAC">
              <w:rPr>
                <w:rFonts w:asciiTheme="majorBidi" w:hAnsiTheme="majorBidi" w:cstheme="majorBidi"/>
                <w:b/>
                <w:bCs/>
                <w:sz w:val="20"/>
                <w:szCs w:val="20"/>
              </w:rPr>
              <w:t>Overall judgment</w:t>
            </w:r>
          </w:p>
        </w:tc>
      </w:tr>
      <w:tr w:rsidR="005058B6" w:rsidRPr="00BE1AAC" w:rsidTr="007113F9">
        <w:trPr>
          <w:trHeight w:val="293"/>
        </w:trPr>
        <w:tc>
          <w:tcPr>
            <w:tcW w:w="11221" w:type="dxa"/>
            <w:gridSpan w:val="3"/>
          </w:tcPr>
          <w:p w:rsidR="005058B6" w:rsidRPr="00BE1AAC" w:rsidRDefault="005058B6" w:rsidP="007113F9">
            <w:pPr>
              <w:jc w:val="center"/>
              <w:rPr>
                <w:rFonts w:asciiTheme="majorBidi" w:hAnsiTheme="majorBidi" w:cstheme="majorBidi"/>
                <w:b/>
                <w:bCs/>
                <w:sz w:val="20"/>
                <w:szCs w:val="20"/>
                <w:lang w:val="en-PS"/>
              </w:rPr>
            </w:pPr>
            <w:r w:rsidRPr="00BE1AAC">
              <w:rPr>
                <w:rFonts w:asciiTheme="majorBidi" w:hAnsiTheme="majorBidi" w:cstheme="majorBidi"/>
                <w:b/>
                <w:bCs/>
                <w:sz w:val="20"/>
                <w:szCs w:val="20"/>
                <w:lang w:val="en-PS"/>
              </w:rPr>
              <w:t>Factors that can reduce the quality of the evidence</w:t>
            </w:r>
          </w:p>
        </w:tc>
      </w:tr>
      <w:tr w:rsidR="005058B6" w:rsidRPr="00BE1AAC" w:rsidTr="007113F9">
        <w:trPr>
          <w:trHeight w:val="3689"/>
        </w:trPr>
        <w:tc>
          <w:tcPr>
            <w:tcW w:w="1525" w:type="dxa"/>
          </w:tcPr>
          <w:p w:rsidR="005058B6" w:rsidRPr="00BE1AAC" w:rsidRDefault="005058B6" w:rsidP="007113F9">
            <w:pPr>
              <w:tabs>
                <w:tab w:val="right" w:pos="-375"/>
              </w:tabs>
              <w:ind w:left="-142" w:right="68" w:firstLine="142"/>
              <w:jc w:val="center"/>
              <w:rPr>
                <w:rFonts w:asciiTheme="majorBidi" w:hAnsiTheme="majorBidi" w:cstheme="majorBidi"/>
                <w:sz w:val="20"/>
                <w:szCs w:val="20"/>
              </w:rPr>
            </w:pPr>
          </w:p>
          <w:p w:rsidR="005058B6" w:rsidRPr="00BE1AAC" w:rsidRDefault="005058B6" w:rsidP="007113F9">
            <w:pPr>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Risk of bias</w:t>
            </w:r>
          </w:p>
        </w:tc>
        <w:tc>
          <w:tcPr>
            <w:tcW w:w="7854" w:type="dxa"/>
          </w:tcPr>
          <w:p w:rsidR="005058B6" w:rsidRPr="00BE1AAC" w:rsidRDefault="005058B6" w:rsidP="007113F9">
            <w:pPr>
              <w:pStyle w:val="ListParagraph"/>
              <w:numPr>
                <w:ilvl w:val="0"/>
                <w:numId w:val="12"/>
              </w:numPr>
              <w:rPr>
                <w:rFonts w:asciiTheme="majorBidi" w:hAnsiTheme="majorBidi" w:cstheme="majorBidi"/>
                <w:sz w:val="20"/>
                <w:szCs w:val="20"/>
              </w:rPr>
            </w:pPr>
            <w:r w:rsidRPr="00BE1AAC">
              <w:rPr>
                <w:rFonts w:asciiTheme="majorBidi" w:hAnsiTheme="majorBidi" w:cstheme="majorBidi"/>
                <w:b/>
                <w:bCs/>
                <w:sz w:val="20"/>
                <w:szCs w:val="20"/>
              </w:rPr>
              <w:t>Matching eligibility</w:t>
            </w:r>
            <w:r w:rsidRPr="00BE1AAC">
              <w:rPr>
                <w:rFonts w:asciiTheme="majorBidi" w:hAnsiTheme="majorBidi" w:cstheme="majorBidi"/>
                <w:sz w:val="20"/>
                <w:szCs w:val="20"/>
              </w:rPr>
              <w:t xml:space="preserve"> criteria: selection of matching variables is consistent with methodological reasoning and/or clinical evidence, without under- or over-matching. Randomization of control sampling was not adequately reported in three studies.</w:t>
            </w:r>
          </w:p>
          <w:p w:rsidR="005058B6" w:rsidRPr="00BE1AAC" w:rsidRDefault="005058B6" w:rsidP="007113F9">
            <w:pPr>
              <w:pStyle w:val="ListParagraph"/>
              <w:numPr>
                <w:ilvl w:val="0"/>
                <w:numId w:val="12"/>
              </w:numPr>
              <w:rPr>
                <w:rFonts w:asciiTheme="majorBidi" w:hAnsiTheme="majorBidi" w:cstheme="majorBidi"/>
                <w:sz w:val="20"/>
                <w:szCs w:val="20"/>
              </w:rPr>
            </w:pPr>
            <w:r w:rsidRPr="00BE1AAC">
              <w:rPr>
                <w:rFonts w:asciiTheme="majorBidi" w:hAnsiTheme="majorBidi" w:cstheme="majorBidi"/>
                <w:b/>
                <w:bCs/>
                <w:sz w:val="20"/>
                <w:szCs w:val="20"/>
              </w:rPr>
              <w:t>Measurement</w:t>
            </w:r>
            <w:r w:rsidRPr="00BE1AAC">
              <w:rPr>
                <w:rFonts w:asciiTheme="majorBidi" w:hAnsiTheme="majorBidi" w:cstheme="majorBidi"/>
                <w:sz w:val="20"/>
                <w:szCs w:val="20"/>
              </w:rPr>
              <w:t>:</w:t>
            </w:r>
            <w:r w:rsidRPr="00BE1AAC">
              <w:rPr>
                <w:rFonts w:asciiTheme="majorBidi" w:hAnsiTheme="majorBidi" w:cstheme="majorBidi"/>
                <w:sz w:val="20"/>
                <w:szCs w:val="20"/>
              </w:rPr>
              <w:br/>
            </w:r>
            <w:r w:rsidRPr="00BE1AAC">
              <w:rPr>
                <w:rFonts w:asciiTheme="majorBidi" w:hAnsiTheme="majorBidi" w:cstheme="majorBidi"/>
                <w:sz w:val="20"/>
                <w:szCs w:val="20"/>
                <w:u w:val="single"/>
              </w:rPr>
              <w:t>Exposure</w:t>
            </w:r>
            <w:r w:rsidRPr="00BE1AAC">
              <w:rPr>
                <w:rFonts w:asciiTheme="majorBidi" w:hAnsiTheme="majorBidi" w:cstheme="majorBidi"/>
                <w:sz w:val="20"/>
                <w:szCs w:val="20"/>
              </w:rPr>
              <w:t>: All studies used validated questionnaires for the measurement of exposures. Nondifferential misclassification might have resulted from recall bias, as diet is changeable overtime and can be difficult to record.</w:t>
            </w:r>
            <w:r w:rsidRPr="00BE1AAC">
              <w:rPr>
                <w:rFonts w:asciiTheme="majorBidi" w:hAnsiTheme="majorBidi" w:cstheme="majorBidi"/>
                <w:sz w:val="20"/>
                <w:szCs w:val="20"/>
              </w:rPr>
              <w:br/>
            </w:r>
            <w:r w:rsidRPr="00BE1AAC">
              <w:rPr>
                <w:rFonts w:asciiTheme="majorBidi" w:hAnsiTheme="majorBidi" w:cstheme="majorBidi"/>
                <w:sz w:val="20"/>
                <w:szCs w:val="20"/>
                <w:u w:val="single"/>
              </w:rPr>
              <w:t>Outcome</w:t>
            </w:r>
            <w:r w:rsidRPr="00BE1AAC">
              <w:rPr>
                <w:rFonts w:asciiTheme="majorBidi" w:hAnsiTheme="majorBidi" w:cstheme="majorBidi"/>
                <w:sz w:val="20"/>
                <w:szCs w:val="20"/>
              </w:rPr>
              <w:t>: Case definition is not reported adequately in three studies. It is also unreported if ascertainment of control status was conducted by a competent clinician.</w:t>
            </w:r>
          </w:p>
          <w:p w:rsidR="005058B6" w:rsidRPr="00BE1AAC" w:rsidRDefault="005058B6" w:rsidP="007113F9">
            <w:pPr>
              <w:pStyle w:val="ListParagraph"/>
              <w:numPr>
                <w:ilvl w:val="0"/>
                <w:numId w:val="12"/>
              </w:numPr>
              <w:rPr>
                <w:rFonts w:asciiTheme="majorBidi" w:hAnsiTheme="majorBidi" w:cstheme="majorBidi"/>
                <w:sz w:val="20"/>
                <w:szCs w:val="20"/>
              </w:rPr>
            </w:pPr>
            <w:r w:rsidRPr="00BE1AAC">
              <w:rPr>
                <w:rFonts w:asciiTheme="majorBidi" w:hAnsiTheme="majorBidi" w:cstheme="majorBidi"/>
                <w:b/>
                <w:bCs/>
                <w:sz w:val="20"/>
                <w:szCs w:val="20"/>
              </w:rPr>
              <w:t>Confounding:</w:t>
            </w:r>
            <w:r w:rsidRPr="00BE1AAC">
              <w:rPr>
                <w:rFonts w:asciiTheme="majorBidi" w:hAnsiTheme="majorBidi" w:cstheme="majorBidi"/>
                <w:sz w:val="20"/>
                <w:szCs w:val="20"/>
              </w:rPr>
              <w:t xml:space="preserve"> </w:t>
            </w:r>
            <w:r w:rsidRPr="00BE1AAC">
              <w:rPr>
                <w:rFonts w:asciiTheme="majorBidi" w:hAnsiTheme="majorBidi" w:cstheme="majorBidi"/>
                <w:sz w:val="20"/>
                <w:szCs w:val="20"/>
              </w:rPr>
              <w:br/>
            </w:r>
            <w:r w:rsidRPr="00BE1AAC">
              <w:rPr>
                <w:rFonts w:asciiTheme="majorBidi" w:hAnsiTheme="majorBidi" w:cstheme="majorBidi"/>
                <w:sz w:val="20"/>
                <w:szCs w:val="20"/>
                <w:u w:val="single"/>
              </w:rPr>
              <w:t>Measurement</w:t>
            </w:r>
            <w:r w:rsidRPr="00BE1AAC">
              <w:rPr>
                <w:rFonts w:asciiTheme="majorBidi" w:hAnsiTheme="majorBidi" w:cstheme="majorBidi"/>
                <w:sz w:val="20"/>
                <w:szCs w:val="20"/>
              </w:rPr>
              <w:t xml:space="preserve">: the validity and reliability of confounder measurement were variable across studies. </w:t>
            </w:r>
            <w:r w:rsidRPr="00BE1AAC">
              <w:rPr>
                <w:rFonts w:asciiTheme="majorBidi" w:hAnsiTheme="majorBidi" w:cstheme="majorBidi"/>
                <w:sz w:val="20"/>
                <w:szCs w:val="20"/>
              </w:rPr>
              <w:br/>
            </w:r>
            <w:r w:rsidRPr="00BE1AAC">
              <w:rPr>
                <w:rFonts w:asciiTheme="majorBidi" w:hAnsiTheme="majorBidi" w:cstheme="majorBidi"/>
                <w:sz w:val="20"/>
                <w:szCs w:val="20"/>
                <w:u w:val="single"/>
              </w:rPr>
              <w:t>Adjustment</w:t>
            </w:r>
            <w:r w:rsidRPr="00BE1AAC">
              <w:rPr>
                <w:rFonts w:asciiTheme="majorBidi" w:hAnsiTheme="majorBidi" w:cstheme="majorBidi"/>
                <w:sz w:val="20"/>
                <w:szCs w:val="20"/>
              </w:rPr>
              <w:t>: while matching was methodologically and clinically justifiable, analytical adjustment for potential confounders was not adequate, overlooking the effect of multiple confounders reported in the literature across most included studies.</w:t>
            </w:r>
          </w:p>
        </w:tc>
        <w:tc>
          <w:tcPr>
            <w:tcW w:w="1842" w:type="dxa"/>
          </w:tcPr>
          <w:p w:rsidR="005058B6" w:rsidRPr="00BE1AAC" w:rsidRDefault="005058B6" w:rsidP="007113F9">
            <w:pPr>
              <w:rPr>
                <w:rFonts w:asciiTheme="majorBidi" w:hAnsiTheme="majorBidi" w:cstheme="majorBidi"/>
                <w:sz w:val="20"/>
                <w:szCs w:val="20"/>
              </w:rPr>
            </w:pPr>
            <w:r w:rsidRPr="00BE1AAC">
              <w:rPr>
                <w:rFonts w:asciiTheme="majorBidi" w:hAnsiTheme="majorBidi" w:cstheme="majorBidi"/>
                <w:sz w:val="20"/>
                <w:szCs w:val="20"/>
              </w:rPr>
              <w:t>Some serious limitations in control sampling, outcome measurement, and analytical adjustment for confounders</w:t>
            </w:r>
            <w:r w:rsidRPr="00BE1AAC">
              <w:rPr>
                <w:rFonts w:asciiTheme="majorBidi" w:hAnsiTheme="majorBidi" w:cstheme="majorBidi"/>
                <w:sz w:val="20"/>
                <w:szCs w:val="20"/>
              </w:rPr>
              <w:br/>
            </w:r>
            <w:r w:rsidRPr="00BE1AAC">
              <w:rPr>
                <w:rFonts w:asciiTheme="majorBidi" w:hAnsiTheme="majorBidi" w:cstheme="majorBidi"/>
                <w:sz w:val="20"/>
                <w:szCs w:val="20"/>
              </w:rPr>
              <w:br/>
            </w:r>
            <w:r w:rsidRPr="00BE1AAC">
              <w:rPr>
                <w:rFonts w:asciiTheme="majorBidi" w:hAnsiTheme="majorBidi" w:cstheme="majorBidi"/>
                <w:b/>
                <w:bCs/>
                <w:sz w:val="20"/>
                <w:szCs w:val="20"/>
              </w:rPr>
              <w:t>Downgrade by one.</w:t>
            </w:r>
          </w:p>
        </w:tc>
      </w:tr>
      <w:tr w:rsidR="005058B6" w:rsidRPr="00BE1AAC" w:rsidTr="007113F9">
        <w:trPr>
          <w:trHeight w:val="1531"/>
        </w:trPr>
        <w:tc>
          <w:tcPr>
            <w:tcW w:w="1525" w:type="dxa"/>
          </w:tcPr>
          <w:p w:rsidR="005058B6" w:rsidRPr="00BE1AAC" w:rsidRDefault="005058B6" w:rsidP="007113F9">
            <w:pPr>
              <w:tabs>
                <w:tab w:val="right" w:pos="-375"/>
              </w:tabs>
              <w:ind w:left="-142" w:right="23" w:firstLine="142"/>
              <w:jc w:val="center"/>
              <w:rPr>
                <w:rFonts w:asciiTheme="majorBidi" w:hAnsiTheme="majorBidi" w:cstheme="majorBidi"/>
                <w:b/>
                <w:bCs/>
                <w:sz w:val="20"/>
                <w:szCs w:val="20"/>
              </w:rPr>
            </w:pPr>
            <w:r w:rsidRPr="00BE1AAC">
              <w:rPr>
                <w:rFonts w:asciiTheme="majorBidi" w:hAnsiTheme="majorBidi" w:cstheme="majorBidi"/>
                <w:b/>
                <w:bCs/>
                <w:sz w:val="20"/>
                <w:szCs w:val="20"/>
              </w:rPr>
              <w:t>Inconsistency of results</w:t>
            </w:r>
          </w:p>
        </w:tc>
        <w:tc>
          <w:tcPr>
            <w:tcW w:w="7854" w:type="dxa"/>
          </w:tcPr>
          <w:p w:rsidR="005058B6" w:rsidRPr="00BE1AAC" w:rsidRDefault="005058B6" w:rsidP="007113F9">
            <w:pPr>
              <w:pStyle w:val="ListParagraph"/>
              <w:numPr>
                <w:ilvl w:val="0"/>
                <w:numId w:val="11"/>
              </w:numPr>
              <w:rPr>
                <w:rFonts w:asciiTheme="majorBidi" w:hAnsiTheme="majorBidi" w:cstheme="majorBidi"/>
                <w:sz w:val="20"/>
                <w:szCs w:val="20"/>
              </w:rPr>
            </w:pPr>
            <w:r w:rsidRPr="00BE1AAC">
              <w:rPr>
                <w:rFonts w:asciiTheme="majorBidi" w:hAnsiTheme="majorBidi" w:cstheme="majorBidi"/>
                <w:sz w:val="20"/>
                <w:szCs w:val="20"/>
              </w:rPr>
              <w:t xml:space="preserve">Points estimates vary across studies, with the confidence interval reported by Taha et al minimally overlapping with the other two studies. Statistical analysis indicates substantial level of heterogeneity (heterogeneity </w:t>
            </w:r>
            <w:r w:rsidRPr="00BE1AAC">
              <w:rPr>
                <w:rFonts w:asciiTheme="majorBidi" w:hAnsiTheme="majorBidi" w:cstheme="majorBidi"/>
                <w:i/>
                <w:iCs/>
                <w:sz w:val="20"/>
                <w:szCs w:val="20"/>
              </w:rPr>
              <w:t>p</w:t>
            </w:r>
            <w:r w:rsidRPr="00BE1AAC">
              <w:rPr>
                <w:rFonts w:asciiTheme="majorBidi" w:hAnsiTheme="majorBidi" w:cstheme="majorBidi"/>
                <w:sz w:val="20"/>
                <w:szCs w:val="20"/>
              </w:rPr>
              <w:t>=0.02, I</w:t>
            </w:r>
            <w:r w:rsidRPr="00BE1AAC">
              <w:rPr>
                <w:rFonts w:asciiTheme="majorBidi" w:hAnsiTheme="majorBidi" w:cstheme="majorBidi"/>
                <w:sz w:val="20"/>
                <w:szCs w:val="20"/>
                <w:vertAlign w:val="superscript"/>
              </w:rPr>
              <w:t>2</w:t>
            </w:r>
            <w:r w:rsidRPr="00BE1AAC">
              <w:rPr>
                <w:rFonts w:asciiTheme="majorBidi" w:hAnsiTheme="majorBidi" w:cstheme="majorBidi"/>
                <w:sz w:val="20"/>
                <w:szCs w:val="20"/>
              </w:rPr>
              <w:t xml:space="preserve">=0%). </w:t>
            </w:r>
          </w:p>
          <w:p w:rsidR="005058B6" w:rsidRPr="00BE1AAC" w:rsidRDefault="005058B6" w:rsidP="007113F9">
            <w:pPr>
              <w:pStyle w:val="ListParagraph"/>
              <w:numPr>
                <w:ilvl w:val="0"/>
                <w:numId w:val="11"/>
              </w:numPr>
              <w:rPr>
                <w:rFonts w:asciiTheme="majorBidi" w:hAnsiTheme="majorBidi" w:cstheme="majorBidi"/>
                <w:sz w:val="20"/>
                <w:szCs w:val="20"/>
              </w:rPr>
            </w:pPr>
            <w:r w:rsidRPr="00BE1AAC">
              <w:rPr>
                <w:rFonts w:asciiTheme="majorBidi" w:hAnsiTheme="majorBidi" w:cstheme="majorBidi"/>
                <w:sz w:val="20"/>
                <w:szCs w:val="20"/>
              </w:rPr>
              <w:t>The exposure, outcome, and study design are similar across studies, but the target populations are variable. Subgroup analysis is not feasible due to the low number of included studies. Therefore, heterogeneity of results cannot be explained.</w:t>
            </w:r>
          </w:p>
        </w:tc>
        <w:tc>
          <w:tcPr>
            <w:tcW w:w="1842" w:type="dxa"/>
          </w:tcPr>
          <w:p w:rsidR="005058B6" w:rsidRPr="00BE1AAC" w:rsidRDefault="005058B6" w:rsidP="007113F9">
            <w:pPr>
              <w:rPr>
                <w:rFonts w:asciiTheme="majorBidi" w:hAnsiTheme="majorBidi" w:cstheme="majorBidi"/>
                <w:sz w:val="20"/>
                <w:szCs w:val="20"/>
              </w:rPr>
            </w:pPr>
            <w:r w:rsidRPr="00BE1AAC">
              <w:rPr>
                <w:rFonts w:asciiTheme="majorBidi" w:hAnsiTheme="majorBidi" w:cstheme="majorBidi"/>
                <w:sz w:val="20"/>
                <w:szCs w:val="20"/>
              </w:rPr>
              <w:t>Serious inconsistency (unexplained heterogeneity of results)</w:t>
            </w:r>
          </w:p>
          <w:p w:rsidR="005058B6" w:rsidRPr="00BE1AAC" w:rsidRDefault="005058B6" w:rsidP="007113F9">
            <w:pPr>
              <w:rPr>
                <w:rFonts w:asciiTheme="majorBidi" w:hAnsiTheme="majorBidi" w:cstheme="majorBidi"/>
                <w:b/>
                <w:bCs/>
                <w:sz w:val="20"/>
                <w:szCs w:val="20"/>
              </w:rPr>
            </w:pPr>
            <w:r w:rsidRPr="00BE1AAC">
              <w:rPr>
                <w:rFonts w:asciiTheme="majorBidi" w:hAnsiTheme="majorBidi" w:cstheme="majorBidi"/>
                <w:b/>
                <w:bCs/>
                <w:sz w:val="20"/>
                <w:szCs w:val="20"/>
              </w:rPr>
              <w:t>Downgrade by one</w:t>
            </w:r>
          </w:p>
        </w:tc>
      </w:tr>
      <w:tr w:rsidR="005058B6" w:rsidRPr="00BE1AAC" w:rsidTr="007113F9">
        <w:trPr>
          <w:trHeight w:val="858"/>
        </w:trPr>
        <w:tc>
          <w:tcPr>
            <w:tcW w:w="1525" w:type="dxa"/>
          </w:tcPr>
          <w:p w:rsidR="005058B6" w:rsidRPr="00BE1AAC" w:rsidRDefault="005058B6" w:rsidP="007113F9">
            <w:pPr>
              <w:tabs>
                <w:tab w:val="right" w:pos="0"/>
              </w:tabs>
              <w:ind w:left="-142" w:right="165" w:firstLine="142"/>
              <w:jc w:val="center"/>
              <w:rPr>
                <w:rFonts w:asciiTheme="majorBidi" w:hAnsiTheme="majorBidi" w:cstheme="majorBidi"/>
                <w:b/>
                <w:bCs/>
                <w:sz w:val="20"/>
                <w:szCs w:val="20"/>
              </w:rPr>
            </w:pPr>
            <w:r w:rsidRPr="00BE1AAC">
              <w:rPr>
                <w:rFonts w:asciiTheme="majorBidi" w:hAnsiTheme="majorBidi" w:cstheme="majorBidi"/>
                <w:b/>
                <w:bCs/>
                <w:sz w:val="20"/>
                <w:szCs w:val="20"/>
              </w:rPr>
              <w:t>Indirectness of evidence</w:t>
            </w:r>
          </w:p>
          <w:p w:rsidR="005058B6" w:rsidRPr="00BE1AAC" w:rsidRDefault="005058B6" w:rsidP="007113F9">
            <w:pPr>
              <w:tabs>
                <w:tab w:val="right" w:pos="-375"/>
              </w:tabs>
              <w:ind w:left="-142" w:right="68" w:firstLine="142"/>
              <w:jc w:val="center"/>
              <w:rPr>
                <w:rFonts w:asciiTheme="majorBidi" w:hAnsiTheme="majorBidi" w:cstheme="majorBidi"/>
                <w:b/>
                <w:bCs/>
                <w:sz w:val="20"/>
                <w:szCs w:val="20"/>
              </w:rPr>
            </w:pPr>
          </w:p>
        </w:tc>
        <w:tc>
          <w:tcPr>
            <w:tcW w:w="7854" w:type="dxa"/>
          </w:tcPr>
          <w:p w:rsidR="005058B6" w:rsidRPr="00BE1AAC" w:rsidRDefault="005058B6" w:rsidP="007113F9">
            <w:pPr>
              <w:pStyle w:val="ListParagraph"/>
              <w:numPr>
                <w:ilvl w:val="0"/>
                <w:numId w:val="10"/>
              </w:numPr>
              <w:rPr>
                <w:rFonts w:asciiTheme="majorBidi" w:hAnsiTheme="majorBidi" w:cstheme="majorBidi"/>
                <w:sz w:val="20"/>
                <w:szCs w:val="20"/>
              </w:rPr>
            </w:pPr>
            <w:r w:rsidRPr="00BE1AAC">
              <w:rPr>
                <w:rFonts w:asciiTheme="majorBidi" w:hAnsiTheme="majorBidi" w:cstheme="majorBidi"/>
                <w:sz w:val="20"/>
                <w:szCs w:val="20"/>
              </w:rPr>
              <w:t xml:space="preserve">The studies directly addressed the comparator, exposure, and measure included in the review question, with minor indirectness in the target population. </w:t>
            </w:r>
          </w:p>
        </w:tc>
        <w:tc>
          <w:tcPr>
            <w:tcW w:w="1842" w:type="dxa"/>
          </w:tcPr>
          <w:p w:rsidR="005058B6" w:rsidRPr="00BE1AAC" w:rsidRDefault="005058B6" w:rsidP="007113F9">
            <w:pPr>
              <w:rPr>
                <w:rFonts w:asciiTheme="majorBidi" w:hAnsiTheme="majorBidi" w:cstheme="majorBidi"/>
                <w:sz w:val="20"/>
                <w:szCs w:val="20"/>
              </w:rPr>
            </w:pPr>
            <w:r w:rsidRPr="00BE1AAC">
              <w:rPr>
                <w:rFonts w:asciiTheme="majorBidi" w:hAnsiTheme="majorBidi" w:cstheme="majorBidi"/>
                <w:sz w:val="20"/>
                <w:szCs w:val="20"/>
              </w:rPr>
              <w:t>No serious indirectness</w:t>
            </w:r>
            <w:r w:rsidRPr="00BE1AAC">
              <w:rPr>
                <w:rFonts w:asciiTheme="majorBidi" w:hAnsiTheme="majorBidi" w:cstheme="majorBidi"/>
                <w:b/>
                <w:bCs/>
                <w:sz w:val="20"/>
                <w:szCs w:val="20"/>
              </w:rPr>
              <w:br/>
              <w:t>No downgrading</w:t>
            </w:r>
          </w:p>
        </w:tc>
      </w:tr>
      <w:tr w:rsidR="005058B6" w:rsidRPr="00BE1AAC" w:rsidTr="007113F9">
        <w:trPr>
          <w:trHeight w:val="1435"/>
        </w:trPr>
        <w:tc>
          <w:tcPr>
            <w:tcW w:w="1525" w:type="dxa"/>
          </w:tcPr>
          <w:p w:rsidR="005058B6" w:rsidRPr="00BE1AAC" w:rsidRDefault="005058B6"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Imprecision</w:t>
            </w:r>
          </w:p>
          <w:p w:rsidR="005058B6" w:rsidRPr="00BE1AAC" w:rsidRDefault="005058B6" w:rsidP="007113F9">
            <w:pPr>
              <w:tabs>
                <w:tab w:val="right" w:pos="-375"/>
              </w:tabs>
              <w:ind w:left="-142" w:right="68" w:firstLine="142"/>
              <w:jc w:val="center"/>
              <w:rPr>
                <w:rFonts w:asciiTheme="majorBidi" w:hAnsiTheme="majorBidi" w:cstheme="majorBidi"/>
                <w:sz w:val="20"/>
                <w:szCs w:val="20"/>
              </w:rPr>
            </w:pPr>
          </w:p>
        </w:tc>
        <w:tc>
          <w:tcPr>
            <w:tcW w:w="7854" w:type="dxa"/>
          </w:tcPr>
          <w:p w:rsidR="005058B6" w:rsidRPr="00BE1AAC" w:rsidRDefault="005058B6" w:rsidP="007113F9">
            <w:pPr>
              <w:pStyle w:val="ListParagraph"/>
              <w:numPr>
                <w:ilvl w:val="0"/>
                <w:numId w:val="9"/>
              </w:numPr>
              <w:rPr>
                <w:rFonts w:asciiTheme="majorBidi" w:hAnsiTheme="majorBidi" w:cstheme="majorBidi"/>
                <w:sz w:val="20"/>
                <w:szCs w:val="20"/>
              </w:rPr>
            </w:pPr>
            <w:r w:rsidRPr="00BE1AAC">
              <w:rPr>
                <w:rFonts w:asciiTheme="majorBidi" w:hAnsiTheme="majorBidi" w:cstheme="majorBidi"/>
                <w:sz w:val="20"/>
                <w:szCs w:val="20"/>
              </w:rPr>
              <w:t xml:space="preserve">The threshold for the optimal information size (OIS) is met. </w:t>
            </w:r>
          </w:p>
          <w:p w:rsidR="005058B6" w:rsidRPr="00BE1AAC" w:rsidRDefault="005058B6" w:rsidP="007113F9">
            <w:pPr>
              <w:pStyle w:val="ListParagraph"/>
              <w:numPr>
                <w:ilvl w:val="0"/>
                <w:numId w:val="9"/>
              </w:numPr>
              <w:rPr>
                <w:rFonts w:asciiTheme="majorBidi" w:hAnsiTheme="majorBidi" w:cstheme="majorBidi"/>
                <w:sz w:val="20"/>
                <w:szCs w:val="20"/>
              </w:rPr>
            </w:pPr>
            <w:r w:rsidRPr="00BE1AAC">
              <w:rPr>
                <w:rFonts w:asciiTheme="majorBidi" w:hAnsiTheme="majorBidi" w:cstheme="majorBidi"/>
                <w:sz w:val="20"/>
                <w:szCs w:val="20"/>
              </w:rPr>
              <w:t xml:space="preserve">The summary confidence interval (CI 95%) is wide (0.08-1.28, summary OR=0.32) and overlaps no effect (OR=1). </w:t>
            </w:r>
          </w:p>
          <w:p w:rsidR="005058B6" w:rsidRPr="00BE1AAC" w:rsidRDefault="005058B6" w:rsidP="007113F9">
            <w:pPr>
              <w:pStyle w:val="ListParagraph"/>
              <w:numPr>
                <w:ilvl w:val="0"/>
                <w:numId w:val="9"/>
              </w:numPr>
              <w:rPr>
                <w:rFonts w:asciiTheme="majorBidi" w:hAnsiTheme="majorBidi" w:cstheme="majorBidi"/>
                <w:sz w:val="20"/>
                <w:szCs w:val="20"/>
              </w:rPr>
            </w:pPr>
            <w:r w:rsidRPr="00BE1AAC">
              <w:rPr>
                <w:rFonts w:asciiTheme="majorBidi" w:hAnsiTheme="majorBidi" w:cstheme="majorBidi"/>
                <w:sz w:val="20"/>
                <w:szCs w:val="20"/>
              </w:rPr>
              <w:t>Despite the large protective summary OR, compelling justification for an appreciable benefit is lacking, especially with the small number of studies included in the meta-analysis (</w:t>
            </w:r>
            <w:r w:rsidRPr="00BE1AAC">
              <w:rPr>
                <w:rFonts w:asciiTheme="majorBidi" w:hAnsiTheme="majorBidi" w:cstheme="majorBidi"/>
                <w:i/>
                <w:iCs/>
                <w:sz w:val="20"/>
                <w:szCs w:val="20"/>
              </w:rPr>
              <w:t>n</w:t>
            </w:r>
            <w:r w:rsidRPr="00BE1AAC">
              <w:rPr>
                <w:rFonts w:asciiTheme="majorBidi" w:hAnsiTheme="majorBidi" w:cstheme="majorBidi"/>
                <w:sz w:val="20"/>
                <w:szCs w:val="20"/>
              </w:rPr>
              <w:t>=3).</w:t>
            </w:r>
          </w:p>
        </w:tc>
        <w:tc>
          <w:tcPr>
            <w:tcW w:w="1842" w:type="dxa"/>
          </w:tcPr>
          <w:p w:rsidR="005058B6" w:rsidRPr="00BE1AAC" w:rsidRDefault="005058B6" w:rsidP="007113F9">
            <w:pPr>
              <w:rPr>
                <w:rFonts w:asciiTheme="majorBidi" w:hAnsiTheme="majorBidi" w:cstheme="majorBidi"/>
                <w:sz w:val="20"/>
                <w:szCs w:val="20"/>
              </w:rPr>
            </w:pPr>
            <w:r w:rsidRPr="00BE1AAC">
              <w:rPr>
                <w:rFonts w:asciiTheme="majorBidi" w:hAnsiTheme="majorBidi" w:cstheme="majorBidi"/>
                <w:sz w:val="20"/>
                <w:szCs w:val="20"/>
              </w:rPr>
              <w:t>Some serious limitations in imprecision</w:t>
            </w:r>
            <w:r w:rsidRPr="00BE1AAC">
              <w:rPr>
                <w:rFonts w:asciiTheme="majorBidi" w:hAnsiTheme="majorBidi" w:cstheme="majorBidi"/>
                <w:sz w:val="20"/>
                <w:szCs w:val="20"/>
              </w:rPr>
              <w:br/>
            </w:r>
            <w:r w:rsidRPr="00BE1AAC">
              <w:rPr>
                <w:rFonts w:asciiTheme="majorBidi" w:hAnsiTheme="majorBidi" w:cstheme="majorBidi"/>
                <w:b/>
                <w:bCs/>
                <w:sz w:val="20"/>
                <w:szCs w:val="20"/>
              </w:rPr>
              <w:t>Downgrade by one</w:t>
            </w:r>
          </w:p>
        </w:tc>
      </w:tr>
      <w:tr w:rsidR="005058B6" w:rsidRPr="00BE1AAC" w:rsidTr="007113F9">
        <w:trPr>
          <w:trHeight w:val="848"/>
        </w:trPr>
        <w:tc>
          <w:tcPr>
            <w:tcW w:w="1525" w:type="dxa"/>
          </w:tcPr>
          <w:p w:rsidR="005058B6" w:rsidRPr="00BE1AAC" w:rsidRDefault="005058B6"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Publication bias</w:t>
            </w:r>
          </w:p>
          <w:p w:rsidR="005058B6" w:rsidRPr="00BE1AAC" w:rsidRDefault="005058B6" w:rsidP="007113F9">
            <w:pPr>
              <w:tabs>
                <w:tab w:val="right" w:pos="-375"/>
              </w:tabs>
              <w:ind w:left="-142" w:right="68" w:firstLine="142"/>
              <w:jc w:val="center"/>
              <w:rPr>
                <w:rFonts w:asciiTheme="majorBidi" w:hAnsiTheme="majorBidi" w:cstheme="majorBidi"/>
                <w:i/>
                <w:iCs/>
                <w:sz w:val="20"/>
                <w:szCs w:val="20"/>
              </w:rPr>
            </w:pPr>
          </w:p>
        </w:tc>
        <w:tc>
          <w:tcPr>
            <w:tcW w:w="7854" w:type="dxa"/>
          </w:tcPr>
          <w:p w:rsidR="005058B6" w:rsidRPr="00BE1AAC" w:rsidRDefault="005058B6" w:rsidP="007113F9">
            <w:pPr>
              <w:pStyle w:val="ListParagraph"/>
              <w:numPr>
                <w:ilvl w:val="0"/>
                <w:numId w:val="8"/>
              </w:numPr>
              <w:rPr>
                <w:rFonts w:asciiTheme="majorBidi" w:hAnsiTheme="majorBidi" w:cstheme="majorBidi"/>
                <w:sz w:val="20"/>
                <w:szCs w:val="20"/>
              </w:rPr>
            </w:pPr>
            <w:r w:rsidRPr="00BE1AAC">
              <w:rPr>
                <w:rFonts w:asciiTheme="majorBidi" w:hAnsiTheme="majorBidi" w:cstheme="majorBidi"/>
                <w:sz w:val="20"/>
                <w:szCs w:val="20"/>
              </w:rPr>
              <w:t>Clues to possible publication bias exist (a small number of observational studies reporting positive results in a landscape of a recently suggested topic).</w:t>
            </w:r>
          </w:p>
          <w:p w:rsidR="005058B6" w:rsidRPr="00BE1AAC" w:rsidRDefault="005058B6" w:rsidP="007113F9">
            <w:pPr>
              <w:pStyle w:val="ListParagraph"/>
              <w:numPr>
                <w:ilvl w:val="0"/>
                <w:numId w:val="8"/>
              </w:numPr>
              <w:rPr>
                <w:rFonts w:asciiTheme="majorBidi" w:hAnsiTheme="majorBidi" w:cstheme="majorBidi"/>
                <w:sz w:val="20"/>
                <w:szCs w:val="20"/>
              </w:rPr>
            </w:pPr>
            <w:r w:rsidRPr="00BE1AAC">
              <w:rPr>
                <w:rFonts w:asciiTheme="majorBidi" w:hAnsiTheme="majorBidi" w:cstheme="majorBidi"/>
                <w:sz w:val="20"/>
                <w:szCs w:val="20"/>
              </w:rPr>
              <w:t xml:space="preserve">The small number of published studies and lack of comprehensive search strategy limited qualitative and quantitative assessment of publication bias. </w:t>
            </w:r>
            <w:r w:rsidRPr="00BE1AAC">
              <w:rPr>
                <w:rFonts w:asciiTheme="majorBidi" w:hAnsiTheme="majorBidi" w:cstheme="majorBidi"/>
                <w:sz w:val="20"/>
                <w:szCs w:val="20"/>
              </w:rPr>
              <w:br/>
            </w:r>
          </w:p>
        </w:tc>
        <w:tc>
          <w:tcPr>
            <w:tcW w:w="1842" w:type="dxa"/>
          </w:tcPr>
          <w:p w:rsidR="005058B6" w:rsidRPr="00BE1AAC" w:rsidRDefault="005058B6" w:rsidP="007113F9">
            <w:pPr>
              <w:rPr>
                <w:rFonts w:asciiTheme="majorBidi" w:hAnsiTheme="majorBidi" w:cstheme="majorBidi"/>
                <w:sz w:val="20"/>
                <w:szCs w:val="20"/>
              </w:rPr>
            </w:pPr>
            <w:r w:rsidRPr="00BE1AAC">
              <w:rPr>
                <w:rFonts w:asciiTheme="majorBidi" w:hAnsiTheme="majorBidi" w:cstheme="majorBidi"/>
                <w:sz w:val="20"/>
                <w:szCs w:val="20"/>
              </w:rPr>
              <w:t>- Undetected</w:t>
            </w:r>
            <w:r w:rsidRPr="00BE1AAC">
              <w:rPr>
                <w:rFonts w:asciiTheme="majorBidi" w:hAnsiTheme="majorBidi" w:cstheme="majorBidi"/>
                <w:sz w:val="20"/>
                <w:szCs w:val="20"/>
              </w:rPr>
              <w:br/>
            </w:r>
            <w:r w:rsidRPr="00BE1AAC">
              <w:rPr>
                <w:rFonts w:asciiTheme="majorBidi" w:hAnsiTheme="majorBidi" w:cstheme="majorBidi"/>
                <w:sz w:val="20"/>
                <w:szCs w:val="20"/>
              </w:rPr>
              <w:br/>
            </w:r>
            <w:r w:rsidRPr="00BE1AAC">
              <w:rPr>
                <w:rFonts w:asciiTheme="majorBidi" w:hAnsiTheme="majorBidi" w:cstheme="majorBidi"/>
                <w:b/>
                <w:bCs/>
                <w:sz w:val="20"/>
                <w:szCs w:val="20"/>
              </w:rPr>
              <w:t>No downgrading</w:t>
            </w:r>
          </w:p>
        </w:tc>
      </w:tr>
      <w:tr w:rsidR="005058B6" w:rsidRPr="00BE1AAC" w:rsidTr="007113F9">
        <w:trPr>
          <w:trHeight w:val="369"/>
        </w:trPr>
        <w:tc>
          <w:tcPr>
            <w:tcW w:w="11221" w:type="dxa"/>
            <w:gridSpan w:val="3"/>
          </w:tcPr>
          <w:p w:rsidR="005058B6" w:rsidRPr="00BE1AAC" w:rsidRDefault="005058B6" w:rsidP="007113F9">
            <w:pPr>
              <w:jc w:val="center"/>
              <w:rPr>
                <w:rFonts w:asciiTheme="majorBidi" w:hAnsiTheme="majorBidi" w:cstheme="majorBidi"/>
                <w:b/>
                <w:bCs/>
                <w:sz w:val="20"/>
                <w:szCs w:val="20"/>
              </w:rPr>
            </w:pPr>
            <w:r w:rsidRPr="00BE1AAC">
              <w:rPr>
                <w:rFonts w:asciiTheme="majorBidi" w:hAnsiTheme="majorBidi" w:cstheme="majorBidi"/>
                <w:b/>
                <w:bCs/>
                <w:sz w:val="20"/>
                <w:szCs w:val="20"/>
              </w:rPr>
              <w:t>Factors that can increase the quality of the evidence</w:t>
            </w:r>
          </w:p>
        </w:tc>
      </w:tr>
      <w:tr w:rsidR="005058B6" w:rsidRPr="00BE1AAC" w:rsidTr="007113F9">
        <w:trPr>
          <w:trHeight w:val="848"/>
        </w:trPr>
        <w:tc>
          <w:tcPr>
            <w:tcW w:w="1525" w:type="dxa"/>
          </w:tcPr>
          <w:p w:rsidR="005058B6" w:rsidRPr="00BE1AAC" w:rsidRDefault="005058B6"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Large magnitude of an effect</w:t>
            </w:r>
          </w:p>
          <w:p w:rsidR="005058B6" w:rsidRPr="00BE1AAC" w:rsidRDefault="005058B6" w:rsidP="007113F9">
            <w:pPr>
              <w:tabs>
                <w:tab w:val="right" w:pos="-375"/>
              </w:tabs>
              <w:ind w:left="-142" w:right="68" w:firstLine="142"/>
              <w:jc w:val="center"/>
              <w:rPr>
                <w:rFonts w:asciiTheme="majorBidi" w:hAnsiTheme="majorBidi" w:cstheme="majorBidi"/>
                <w:sz w:val="20"/>
                <w:szCs w:val="20"/>
              </w:rPr>
            </w:pPr>
          </w:p>
        </w:tc>
        <w:tc>
          <w:tcPr>
            <w:tcW w:w="7854" w:type="dxa"/>
          </w:tcPr>
          <w:p w:rsidR="005058B6" w:rsidRPr="00BE1AAC" w:rsidRDefault="005058B6" w:rsidP="007113F9">
            <w:pPr>
              <w:pStyle w:val="ListParagraph"/>
              <w:numPr>
                <w:ilvl w:val="0"/>
                <w:numId w:val="7"/>
              </w:numPr>
              <w:rPr>
                <w:rFonts w:asciiTheme="majorBidi" w:hAnsiTheme="majorBidi" w:cstheme="majorBidi"/>
                <w:sz w:val="20"/>
                <w:szCs w:val="20"/>
              </w:rPr>
            </w:pPr>
            <w:r w:rsidRPr="00BE1AAC">
              <w:rPr>
                <w:rFonts w:asciiTheme="majorBidi" w:hAnsiTheme="majorBidi" w:cstheme="majorBidi"/>
                <w:sz w:val="20"/>
                <w:szCs w:val="20"/>
              </w:rPr>
              <w:t xml:space="preserve">The summary effect estimate (OR=0.32) is large (&lt;0.5). </w:t>
            </w:r>
          </w:p>
          <w:p w:rsidR="005058B6" w:rsidRPr="00BE1AAC" w:rsidRDefault="005058B6" w:rsidP="007113F9">
            <w:pPr>
              <w:pStyle w:val="ListParagraph"/>
              <w:numPr>
                <w:ilvl w:val="0"/>
                <w:numId w:val="7"/>
              </w:numPr>
              <w:rPr>
                <w:rFonts w:asciiTheme="majorBidi" w:hAnsiTheme="majorBidi" w:cstheme="majorBidi"/>
                <w:sz w:val="20"/>
                <w:szCs w:val="20"/>
              </w:rPr>
            </w:pPr>
            <w:r w:rsidRPr="00BE1AAC">
              <w:rPr>
                <w:rFonts w:asciiTheme="majorBidi" w:hAnsiTheme="majorBidi" w:cstheme="majorBidi"/>
                <w:sz w:val="20"/>
                <w:szCs w:val="20"/>
              </w:rPr>
              <w:t xml:space="preserve">The validity of the studies is a major concern that undermine the magnitude of the effect estimate. </w:t>
            </w:r>
          </w:p>
          <w:p w:rsidR="005058B6" w:rsidRPr="00BE1AAC" w:rsidRDefault="005058B6" w:rsidP="007113F9">
            <w:pPr>
              <w:pStyle w:val="ListParagraph"/>
              <w:numPr>
                <w:ilvl w:val="0"/>
                <w:numId w:val="7"/>
              </w:numPr>
              <w:rPr>
                <w:rFonts w:asciiTheme="majorBidi" w:hAnsiTheme="majorBidi" w:cstheme="majorBidi"/>
                <w:sz w:val="20"/>
                <w:szCs w:val="20"/>
              </w:rPr>
            </w:pPr>
            <w:r w:rsidRPr="00BE1AAC">
              <w:rPr>
                <w:rFonts w:asciiTheme="majorBidi" w:hAnsiTheme="majorBidi" w:cstheme="majorBidi"/>
                <w:sz w:val="20"/>
                <w:szCs w:val="20"/>
              </w:rPr>
              <w:t>The confidence interval is wide and overlap with an OR of no effect.</w:t>
            </w:r>
          </w:p>
          <w:p w:rsidR="005058B6" w:rsidRPr="00BE1AAC" w:rsidRDefault="005058B6" w:rsidP="007113F9">
            <w:pPr>
              <w:rPr>
                <w:rFonts w:asciiTheme="majorBidi" w:hAnsiTheme="majorBidi" w:cstheme="majorBidi"/>
                <w:sz w:val="20"/>
                <w:szCs w:val="20"/>
              </w:rPr>
            </w:pPr>
          </w:p>
        </w:tc>
        <w:tc>
          <w:tcPr>
            <w:tcW w:w="1842" w:type="dxa"/>
          </w:tcPr>
          <w:p w:rsidR="005058B6" w:rsidRPr="00BE1AAC" w:rsidRDefault="005058B6" w:rsidP="007113F9">
            <w:pPr>
              <w:rPr>
                <w:rFonts w:asciiTheme="majorBidi" w:hAnsiTheme="majorBidi" w:cstheme="majorBidi"/>
                <w:sz w:val="20"/>
                <w:szCs w:val="20"/>
              </w:rPr>
            </w:pPr>
            <w:r w:rsidRPr="00BE1AAC">
              <w:rPr>
                <w:rFonts w:asciiTheme="majorBidi" w:hAnsiTheme="majorBidi" w:cstheme="majorBidi"/>
                <w:sz w:val="20"/>
                <w:szCs w:val="20"/>
              </w:rPr>
              <w:t>Concerns of validity override the large magnitude of effect estimate.</w:t>
            </w:r>
            <w:r w:rsidRPr="00BE1AAC">
              <w:rPr>
                <w:rFonts w:asciiTheme="majorBidi" w:hAnsiTheme="majorBidi" w:cstheme="majorBidi"/>
                <w:b/>
                <w:bCs/>
                <w:sz w:val="20"/>
                <w:szCs w:val="20"/>
              </w:rPr>
              <w:t xml:space="preserve"> </w:t>
            </w:r>
            <w:r w:rsidRPr="00BE1AAC">
              <w:rPr>
                <w:rFonts w:asciiTheme="majorBidi" w:hAnsiTheme="majorBidi" w:cstheme="majorBidi"/>
                <w:b/>
                <w:bCs/>
                <w:sz w:val="20"/>
                <w:szCs w:val="20"/>
              </w:rPr>
              <w:br/>
              <w:t>No upgrading</w:t>
            </w:r>
            <w:r w:rsidRPr="00BE1AAC">
              <w:rPr>
                <w:rFonts w:asciiTheme="majorBidi" w:hAnsiTheme="majorBidi" w:cstheme="majorBidi"/>
                <w:sz w:val="20"/>
                <w:szCs w:val="20"/>
              </w:rPr>
              <w:t>.</w:t>
            </w:r>
          </w:p>
        </w:tc>
      </w:tr>
      <w:tr w:rsidR="005058B6" w:rsidRPr="00BE1AAC" w:rsidTr="007113F9">
        <w:trPr>
          <w:trHeight w:val="558"/>
        </w:trPr>
        <w:tc>
          <w:tcPr>
            <w:tcW w:w="1525" w:type="dxa"/>
          </w:tcPr>
          <w:p w:rsidR="005058B6" w:rsidRPr="00BE1AAC" w:rsidRDefault="005058B6"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Dose-response gradient</w:t>
            </w:r>
          </w:p>
        </w:tc>
        <w:tc>
          <w:tcPr>
            <w:tcW w:w="7854" w:type="dxa"/>
          </w:tcPr>
          <w:p w:rsidR="005058B6" w:rsidRPr="00BE1AAC" w:rsidRDefault="005058B6" w:rsidP="007113F9">
            <w:pPr>
              <w:pStyle w:val="ListParagraph"/>
              <w:numPr>
                <w:ilvl w:val="0"/>
                <w:numId w:val="6"/>
              </w:numPr>
              <w:rPr>
                <w:rFonts w:asciiTheme="majorBidi" w:hAnsiTheme="majorBidi" w:cstheme="majorBidi"/>
                <w:sz w:val="20"/>
                <w:szCs w:val="20"/>
              </w:rPr>
            </w:pPr>
            <w:r w:rsidRPr="00BE1AAC">
              <w:rPr>
                <w:rFonts w:asciiTheme="majorBidi" w:hAnsiTheme="majorBidi" w:cstheme="majorBidi"/>
                <w:sz w:val="20"/>
                <w:szCs w:val="20"/>
              </w:rPr>
              <w:t xml:space="preserve">The methodology of categorization employed by the included studies did not allow for dosing the exposure, except for the study by </w:t>
            </w:r>
            <w:proofErr w:type="spellStart"/>
            <w:r w:rsidRPr="00BE1AAC">
              <w:rPr>
                <w:rFonts w:asciiTheme="majorBidi" w:hAnsiTheme="majorBidi" w:cstheme="majorBidi"/>
                <w:sz w:val="20"/>
                <w:szCs w:val="20"/>
              </w:rPr>
              <w:t>Barrea</w:t>
            </w:r>
            <w:proofErr w:type="spellEnd"/>
            <w:r w:rsidRPr="00BE1AAC">
              <w:rPr>
                <w:rFonts w:asciiTheme="majorBidi" w:hAnsiTheme="majorBidi" w:cstheme="majorBidi"/>
                <w:sz w:val="20"/>
                <w:szCs w:val="20"/>
              </w:rPr>
              <w:t xml:space="preserve"> et al that categorized </w:t>
            </w:r>
            <w:r w:rsidRPr="00BE1AAC">
              <w:rPr>
                <w:rFonts w:asciiTheme="majorBidi" w:hAnsiTheme="majorBidi" w:cstheme="majorBidi"/>
                <w:sz w:val="20"/>
                <w:szCs w:val="20"/>
              </w:rPr>
              <w:lastRenderedPageBreak/>
              <w:t xml:space="preserve">adherence to the MD into three categories (low-average-high). The average adherence group did not significantly differ in outcome status. </w:t>
            </w:r>
          </w:p>
        </w:tc>
        <w:tc>
          <w:tcPr>
            <w:tcW w:w="1842" w:type="dxa"/>
          </w:tcPr>
          <w:p w:rsidR="005058B6" w:rsidRPr="00BE1AAC" w:rsidRDefault="005058B6" w:rsidP="007113F9">
            <w:pPr>
              <w:rPr>
                <w:rFonts w:asciiTheme="majorBidi" w:hAnsiTheme="majorBidi" w:cstheme="majorBidi"/>
                <w:b/>
                <w:bCs/>
                <w:sz w:val="20"/>
                <w:szCs w:val="20"/>
              </w:rPr>
            </w:pPr>
            <w:r w:rsidRPr="00BE1AAC">
              <w:rPr>
                <w:rFonts w:asciiTheme="majorBidi" w:hAnsiTheme="majorBidi" w:cstheme="majorBidi"/>
                <w:sz w:val="20"/>
                <w:szCs w:val="20"/>
              </w:rPr>
              <w:lastRenderedPageBreak/>
              <w:t xml:space="preserve">Exposure dosing is not employed in the </w:t>
            </w:r>
            <w:r w:rsidRPr="00BE1AAC">
              <w:rPr>
                <w:rFonts w:asciiTheme="majorBidi" w:hAnsiTheme="majorBidi" w:cstheme="majorBidi"/>
                <w:sz w:val="20"/>
                <w:szCs w:val="20"/>
              </w:rPr>
              <w:lastRenderedPageBreak/>
              <w:t xml:space="preserve">methodologies of most included studies. </w:t>
            </w:r>
            <w:r w:rsidRPr="00BE1AAC">
              <w:rPr>
                <w:rFonts w:asciiTheme="majorBidi" w:hAnsiTheme="majorBidi" w:cstheme="majorBidi"/>
                <w:sz w:val="20"/>
                <w:szCs w:val="20"/>
              </w:rPr>
              <w:br/>
            </w:r>
            <w:r w:rsidRPr="00BE1AAC">
              <w:rPr>
                <w:rFonts w:asciiTheme="majorBidi" w:hAnsiTheme="majorBidi" w:cstheme="majorBidi"/>
                <w:b/>
                <w:bCs/>
                <w:sz w:val="20"/>
                <w:szCs w:val="20"/>
              </w:rPr>
              <w:t>No upgrading</w:t>
            </w:r>
          </w:p>
        </w:tc>
      </w:tr>
      <w:tr w:rsidR="005058B6" w:rsidRPr="00BE1AAC" w:rsidTr="007113F9">
        <w:trPr>
          <w:trHeight w:val="1203"/>
        </w:trPr>
        <w:tc>
          <w:tcPr>
            <w:tcW w:w="1525" w:type="dxa"/>
          </w:tcPr>
          <w:p w:rsidR="005058B6" w:rsidRPr="00BE1AAC" w:rsidRDefault="005058B6"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lastRenderedPageBreak/>
              <w:t>Effect of plausible residual confounding</w:t>
            </w:r>
          </w:p>
          <w:p w:rsidR="005058B6" w:rsidRPr="00BE1AAC" w:rsidRDefault="005058B6" w:rsidP="007113F9">
            <w:pPr>
              <w:tabs>
                <w:tab w:val="right" w:pos="-375"/>
              </w:tabs>
              <w:ind w:left="-142" w:right="68" w:firstLine="142"/>
              <w:jc w:val="center"/>
              <w:rPr>
                <w:rFonts w:asciiTheme="majorBidi" w:hAnsiTheme="majorBidi" w:cstheme="majorBidi"/>
                <w:b/>
                <w:bCs/>
                <w:sz w:val="20"/>
                <w:szCs w:val="20"/>
              </w:rPr>
            </w:pPr>
          </w:p>
        </w:tc>
        <w:tc>
          <w:tcPr>
            <w:tcW w:w="7854" w:type="dxa"/>
          </w:tcPr>
          <w:p w:rsidR="005058B6" w:rsidRPr="00BE1AAC" w:rsidRDefault="005058B6" w:rsidP="007113F9">
            <w:pPr>
              <w:pStyle w:val="ListParagraph"/>
              <w:numPr>
                <w:ilvl w:val="0"/>
                <w:numId w:val="5"/>
              </w:numPr>
              <w:rPr>
                <w:rFonts w:asciiTheme="majorBidi" w:hAnsiTheme="majorBidi" w:cstheme="majorBidi"/>
                <w:sz w:val="20"/>
                <w:szCs w:val="20"/>
              </w:rPr>
            </w:pPr>
            <w:r w:rsidRPr="00BE1AAC">
              <w:rPr>
                <w:rFonts w:asciiTheme="majorBidi" w:hAnsiTheme="majorBidi" w:cstheme="majorBidi"/>
                <w:sz w:val="20"/>
                <w:szCs w:val="20"/>
              </w:rPr>
              <w:t xml:space="preserve">Diet research is by nature susceptible to residual confounding whose effect may push an effect in either positive or negative direction. Identifying, measuring, ascertaining, and adjusting for these confounders are difficult. </w:t>
            </w:r>
            <w:r w:rsidRPr="00BE1AAC">
              <w:rPr>
                <w:rFonts w:asciiTheme="majorBidi" w:hAnsiTheme="majorBidi" w:cstheme="majorBidi"/>
                <w:sz w:val="20"/>
                <w:szCs w:val="20"/>
              </w:rPr>
              <w:br/>
            </w:r>
          </w:p>
        </w:tc>
        <w:tc>
          <w:tcPr>
            <w:tcW w:w="1842" w:type="dxa"/>
          </w:tcPr>
          <w:p w:rsidR="005058B6" w:rsidRPr="00BE1AAC" w:rsidRDefault="005058B6" w:rsidP="007113F9">
            <w:pPr>
              <w:rPr>
                <w:rFonts w:asciiTheme="majorBidi" w:hAnsiTheme="majorBidi" w:cstheme="majorBidi"/>
                <w:sz w:val="20"/>
                <w:szCs w:val="20"/>
              </w:rPr>
            </w:pPr>
            <w:r w:rsidRPr="00BE1AAC">
              <w:rPr>
                <w:rFonts w:asciiTheme="majorBidi" w:hAnsiTheme="majorBidi" w:cstheme="majorBidi"/>
                <w:sz w:val="20"/>
                <w:szCs w:val="20"/>
              </w:rPr>
              <w:t xml:space="preserve">Identifying plausible residual confounding is not possible. </w:t>
            </w:r>
            <w:r w:rsidRPr="00BE1AAC">
              <w:rPr>
                <w:rFonts w:asciiTheme="majorBidi" w:hAnsiTheme="majorBidi" w:cstheme="majorBidi"/>
                <w:sz w:val="20"/>
                <w:szCs w:val="20"/>
              </w:rPr>
              <w:br/>
            </w:r>
            <w:r w:rsidRPr="00BE1AAC">
              <w:rPr>
                <w:rFonts w:asciiTheme="majorBidi" w:hAnsiTheme="majorBidi" w:cstheme="majorBidi"/>
                <w:b/>
                <w:bCs/>
                <w:sz w:val="20"/>
                <w:szCs w:val="20"/>
              </w:rPr>
              <w:t>No upgrading</w:t>
            </w:r>
          </w:p>
        </w:tc>
      </w:tr>
    </w:tbl>
    <w:p w:rsidR="005058B6" w:rsidRPr="00BE1AAC" w:rsidRDefault="005058B6" w:rsidP="005058B6">
      <w:pPr>
        <w:rPr>
          <w:rFonts w:asciiTheme="majorBidi" w:hAnsiTheme="majorBidi" w:cstheme="majorBidi"/>
        </w:rPr>
      </w:pPr>
    </w:p>
    <w:p w:rsidR="005058B6" w:rsidRPr="005058B6" w:rsidRDefault="005058B6" w:rsidP="005058B6">
      <w:pPr>
        <w:rPr>
          <w:rFonts w:asciiTheme="majorBidi" w:hAnsiTheme="majorBidi" w:cstheme="majorBidi"/>
          <w:b/>
          <w:bCs/>
          <w:sz w:val="23"/>
          <w:szCs w:val="23"/>
        </w:rPr>
      </w:pPr>
      <w:r w:rsidRPr="00BE1AAC">
        <w:rPr>
          <w:rFonts w:asciiTheme="majorBidi" w:hAnsiTheme="majorBidi" w:cstheme="majorBidi"/>
        </w:rPr>
        <w:br/>
      </w:r>
    </w:p>
    <w:p w:rsidR="005058B6" w:rsidRPr="00BE1AAC" w:rsidRDefault="005058B6" w:rsidP="005058B6">
      <w:pPr>
        <w:rPr>
          <w:rFonts w:asciiTheme="majorBidi" w:hAnsiTheme="majorBidi" w:cstheme="majorBidi"/>
          <w:b/>
          <w:bCs/>
          <w:lang w:val="en-US"/>
        </w:rPr>
      </w:pPr>
    </w:p>
    <w:p w:rsidR="005058B6" w:rsidRPr="00BE1AAC" w:rsidRDefault="005058B6" w:rsidP="005058B6">
      <w:pPr>
        <w:rPr>
          <w:rFonts w:asciiTheme="majorBidi" w:hAnsiTheme="majorBidi" w:cstheme="majorBidi"/>
          <w:b/>
          <w:bCs/>
          <w:lang w:val="en-US"/>
        </w:rPr>
      </w:pPr>
    </w:p>
    <w:p w:rsidR="0097527A" w:rsidRPr="00960D8C" w:rsidRDefault="0097527A" w:rsidP="005058B6">
      <w:pPr>
        <w:rPr>
          <w:rFonts w:asciiTheme="majorBidi" w:hAnsiTheme="majorBidi" w:cstheme="majorBidi"/>
          <w:sz w:val="23"/>
          <w:szCs w:val="23"/>
          <w:lang w:val="en-US"/>
        </w:rPr>
      </w:pPr>
    </w:p>
    <w:sectPr w:rsidR="0097527A" w:rsidRPr="00960D8C" w:rsidSect="00BA17F2">
      <w:footerReference w:type="even" r:id="rId7"/>
      <w:footerReference w:type="default" r:id="rId8"/>
      <w:pgSz w:w="12240" w:h="15840"/>
      <w:pgMar w:top="698" w:right="1440" w:bottom="43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4B58" w:rsidRDefault="008F4B58">
      <w:r>
        <w:separator/>
      </w:r>
    </w:p>
  </w:endnote>
  <w:endnote w:type="continuationSeparator" w:id="0">
    <w:p w:rsidR="008F4B58" w:rsidRDefault="008F4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9503640"/>
      <w:docPartObj>
        <w:docPartGallery w:val="Page Numbers (Bottom of Page)"/>
        <w:docPartUnique/>
      </w:docPartObj>
    </w:sdtPr>
    <w:sdtContent>
      <w:p w:rsidR="009A3B0F" w:rsidRDefault="00000000" w:rsidP="00C947F4">
        <w:pPr>
          <w:pStyle w:val="Footer"/>
          <w:framePr w:wrap="none" w:vAnchor="text" w:hAnchor="margin" w:xAlign="center" w:y="1"/>
          <w:rPr>
            <w:rStyle w:val="PageNumber"/>
          </w:rPr>
        </w:pPr>
        <w:r>
          <w:rPr>
            <w:rStyle w:val="PageNumber"/>
          </w:rPr>
          <w:fldChar w:fldCharType="begin"/>
        </w:r>
        <w:r>
          <w:rPr>
            <w:rStyle w:val="PageNumber"/>
          </w:rPr>
          <w:instrText xml:space="preserve"> PAGE</w:instrText>
        </w:r>
        <w:r>
          <w:rPr>
            <w:rStyle w:val="PageNumber"/>
          </w:rPr>
          <w:fldChar w:fldCharType="separate"/>
        </w:r>
        <w:r>
          <w:rPr>
            <w:rStyle w:val="PageNumber"/>
            <w:noProof/>
          </w:rPr>
          <w:t>23</w:t>
        </w:r>
        <w:r>
          <w:rPr>
            <w:rStyle w:val="PageNumber"/>
          </w:rPr>
          <w:fldChar w:fldCharType="end"/>
        </w:r>
      </w:p>
    </w:sdtContent>
  </w:sdt>
  <w:p w:rsidR="009A3B0F" w:rsidRDefault="009A3B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9811437"/>
      <w:docPartObj>
        <w:docPartGallery w:val="Page Numbers (Bottom of Page)"/>
        <w:docPartUnique/>
      </w:docPartObj>
    </w:sdtPr>
    <w:sdtContent>
      <w:p w:rsidR="009A3B0F" w:rsidRDefault="00000000" w:rsidP="00C947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A3B0F" w:rsidRDefault="009A3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4B58" w:rsidRDefault="008F4B58">
      <w:r>
        <w:separator/>
      </w:r>
    </w:p>
  </w:footnote>
  <w:footnote w:type="continuationSeparator" w:id="0">
    <w:p w:rsidR="008F4B58" w:rsidRDefault="008F4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84838"/>
    <w:multiLevelType w:val="hybridMultilevel"/>
    <w:tmpl w:val="9E0CAB90"/>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B11018"/>
    <w:multiLevelType w:val="hybridMultilevel"/>
    <w:tmpl w:val="A5DC5BDA"/>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C1028D"/>
    <w:multiLevelType w:val="hybridMultilevel"/>
    <w:tmpl w:val="3634F89E"/>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8668B9"/>
    <w:multiLevelType w:val="hybridMultilevel"/>
    <w:tmpl w:val="90ACAC0C"/>
    <w:lvl w:ilvl="0" w:tplc="22EE671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4136C"/>
    <w:multiLevelType w:val="hybridMultilevel"/>
    <w:tmpl w:val="20DCF474"/>
    <w:lvl w:ilvl="0" w:tplc="22EE671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F5403D"/>
    <w:multiLevelType w:val="hybridMultilevel"/>
    <w:tmpl w:val="2A16FB94"/>
    <w:lvl w:ilvl="0" w:tplc="22EE671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262448"/>
    <w:multiLevelType w:val="hybridMultilevel"/>
    <w:tmpl w:val="ADE6BF7A"/>
    <w:lvl w:ilvl="0" w:tplc="DA3A9278">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436A5D"/>
    <w:multiLevelType w:val="hybridMultilevel"/>
    <w:tmpl w:val="5308AC64"/>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C43FF2"/>
    <w:multiLevelType w:val="hybridMultilevel"/>
    <w:tmpl w:val="DD6E7620"/>
    <w:lvl w:ilvl="0" w:tplc="A9D25CC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EB0183"/>
    <w:multiLevelType w:val="hybridMultilevel"/>
    <w:tmpl w:val="3C282B50"/>
    <w:lvl w:ilvl="0" w:tplc="0252815C">
      <w:start w:val="5"/>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136F0F"/>
    <w:multiLevelType w:val="hybridMultilevel"/>
    <w:tmpl w:val="8B803B14"/>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3C3C66"/>
    <w:multiLevelType w:val="hybridMultilevel"/>
    <w:tmpl w:val="0038DE08"/>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5C3121"/>
    <w:multiLevelType w:val="hybridMultilevel"/>
    <w:tmpl w:val="9E722BC2"/>
    <w:lvl w:ilvl="0" w:tplc="207C9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250230"/>
    <w:multiLevelType w:val="hybridMultilevel"/>
    <w:tmpl w:val="D8AE3F3C"/>
    <w:lvl w:ilvl="0" w:tplc="0BC045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D87119"/>
    <w:multiLevelType w:val="hybridMultilevel"/>
    <w:tmpl w:val="48C066C6"/>
    <w:lvl w:ilvl="0" w:tplc="22EE671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2A0789"/>
    <w:multiLevelType w:val="hybridMultilevel"/>
    <w:tmpl w:val="709446BA"/>
    <w:lvl w:ilvl="0" w:tplc="BE0EBF4C">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6F19FF"/>
    <w:multiLevelType w:val="hybridMultilevel"/>
    <w:tmpl w:val="0F8CDF96"/>
    <w:lvl w:ilvl="0" w:tplc="C6729CD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3977426">
    <w:abstractNumId w:val="4"/>
  </w:num>
  <w:num w:numId="2" w16cid:durableId="91049931">
    <w:abstractNumId w:val="16"/>
  </w:num>
  <w:num w:numId="3" w16cid:durableId="1466388107">
    <w:abstractNumId w:val="14"/>
  </w:num>
  <w:num w:numId="4" w16cid:durableId="1470780104">
    <w:abstractNumId w:val="9"/>
  </w:num>
  <w:num w:numId="5" w16cid:durableId="2043623921">
    <w:abstractNumId w:val="11"/>
  </w:num>
  <w:num w:numId="6" w16cid:durableId="1317150568">
    <w:abstractNumId w:val="2"/>
  </w:num>
  <w:num w:numId="7" w16cid:durableId="1995840608">
    <w:abstractNumId w:val="1"/>
  </w:num>
  <w:num w:numId="8" w16cid:durableId="2070614385">
    <w:abstractNumId w:val="5"/>
  </w:num>
  <w:num w:numId="9" w16cid:durableId="1503743092">
    <w:abstractNumId w:val="0"/>
  </w:num>
  <w:num w:numId="10" w16cid:durableId="1298300134">
    <w:abstractNumId w:val="10"/>
  </w:num>
  <w:num w:numId="11" w16cid:durableId="1105077437">
    <w:abstractNumId w:val="7"/>
  </w:num>
  <w:num w:numId="12" w16cid:durableId="1670406969">
    <w:abstractNumId w:val="3"/>
  </w:num>
  <w:num w:numId="13" w16cid:durableId="1451120554">
    <w:abstractNumId w:val="6"/>
  </w:num>
  <w:num w:numId="14" w16cid:durableId="840507576">
    <w:abstractNumId w:val="15"/>
  </w:num>
  <w:num w:numId="15" w16cid:durableId="1133720155">
    <w:abstractNumId w:val="12"/>
  </w:num>
  <w:num w:numId="16" w16cid:durableId="907688592">
    <w:abstractNumId w:val="8"/>
  </w:num>
  <w:num w:numId="17" w16cid:durableId="12431734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375"/>
    <w:rsid w:val="000753C3"/>
    <w:rsid w:val="00087041"/>
    <w:rsid w:val="000B149B"/>
    <w:rsid w:val="000E2D3B"/>
    <w:rsid w:val="00111CD9"/>
    <w:rsid w:val="00123926"/>
    <w:rsid w:val="00135D2E"/>
    <w:rsid w:val="001F1052"/>
    <w:rsid w:val="001F680D"/>
    <w:rsid w:val="00223C6A"/>
    <w:rsid w:val="00232DA2"/>
    <w:rsid w:val="00237461"/>
    <w:rsid w:val="00282408"/>
    <w:rsid w:val="002A68A2"/>
    <w:rsid w:val="002F1941"/>
    <w:rsid w:val="00314ACC"/>
    <w:rsid w:val="0037071A"/>
    <w:rsid w:val="003837D6"/>
    <w:rsid w:val="00385F1A"/>
    <w:rsid w:val="003C2B70"/>
    <w:rsid w:val="003C33CE"/>
    <w:rsid w:val="00417B41"/>
    <w:rsid w:val="0046469B"/>
    <w:rsid w:val="0049136E"/>
    <w:rsid w:val="004A1CA1"/>
    <w:rsid w:val="004A4BCA"/>
    <w:rsid w:val="004A6658"/>
    <w:rsid w:val="004F0EC9"/>
    <w:rsid w:val="004F48D7"/>
    <w:rsid w:val="004F76A7"/>
    <w:rsid w:val="005058B6"/>
    <w:rsid w:val="005125F3"/>
    <w:rsid w:val="005615EB"/>
    <w:rsid w:val="00583239"/>
    <w:rsid w:val="00591B52"/>
    <w:rsid w:val="005D2BBB"/>
    <w:rsid w:val="00611883"/>
    <w:rsid w:val="00627DCA"/>
    <w:rsid w:val="0064413C"/>
    <w:rsid w:val="006555DD"/>
    <w:rsid w:val="006905D3"/>
    <w:rsid w:val="006C00C1"/>
    <w:rsid w:val="007052BB"/>
    <w:rsid w:val="00752112"/>
    <w:rsid w:val="007B240D"/>
    <w:rsid w:val="008149AD"/>
    <w:rsid w:val="00875478"/>
    <w:rsid w:val="00895E4B"/>
    <w:rsid w:val="008F4B58"/>
    <w:rsid w:val="0091241E"/>
    <w:rsid w:val="00943245"/>
    <w:rsid w:val="0095458B"/>
    <w:rsid w:val="00960D8C"/>
    <w:rsid w:val="0097527A"/>
    <w:rsid w:val="00983147"/>
    <w:rsid w:val="009A366B"/>
    <w:rsid w:val="009A3B0F"/>
    <w:rsid w:val="009B6EA1"/>
    <w:rsid w:val="00A10863"/>
    <w:rsid w:val="00A31F5D"/>
    <w:rsid w:val="00A504AB"/>
    <w:rsid w:val="00A94BC6"/>
    <w:rsid w:val="00AC6E4A"/>
    <w:rsid w:val="00B05A5B"/>
    <w:rsid w:val="00B06A1C"/>
    <w:rsid w:val="00BA17F2"/>
    <w:rsid w:val="00BB39EA"/>
    <w:rsid w:val="00BC47BE"/>
    <w:rsid w:val="00BE1AAC"/>
    <w:rsid w:val="00C666A5"/>
    <w:rsid w:val="00CD5930"/>
    <w:rsid w:val="00D135D3"/>
    <w:rsid w:val="00D33CF8"/>
    <w:rsid w:val="00D53CBA"/>
    <w:rsid w:val="00D8315F"/>
    <w:rsid w:val="00D95375"/>
    <w:rsid w:val="00DC34D8"/>
    <w:rsid w:val="00E108F6"/>
    <w:rsid w:val="00E24A7C"/>
    <w:rsid w:val="00EC5AFF"/>
    <w:rsid w:val="00ED7C46"/>
    <w:rsid w:val="00EE6012"/>
    <w:rsid w:val="00F0578F"/>
    <w:rsid w:val="00F12256"/>
    <w:rsid w:val="00F525F1"/>
    <w:rsid w:val="00FA1800"/>
    <w:rsid w:val="00FB72D7"/>
    <w:rsid w:val="00FB7607"/>
  </w:rsids>
  <m:mathPr>
    <m:mathFont m:val="Cambria Math"/>
    <m:brkBin m:val="before"/>
    <m:brkBinSub m:val="--"/>
    <m:smallFrac m:val="0"/>
    <m:dispDef/>
    <m:lMargin m:val="0"/>
    <m:rMargin m:val="0"/>
    <m:defJc m:val="centerGroup"/>
    <m:wrapIndent m:val="1440"/>
    <m:intLim m:val="subSup"/>
    <m:naryLim m:val="undOvr"/>
  </m:mathPr>
  <w:themeFontLang w:val="en-P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67515"/>
  <w15:chartTrackingRefBased/>
  <w15:docId w15:val="{EAB85A0D-47F7-BA44-A19D-4C42BE92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5375"/>
    <w:pPr>
      <w:autoSpaceDE w:val="0"/>
      <w:autoSpaceDN w:val="0"/>
      <w:adjustRightInd w:val="0"/>
    </w:pPr>
    <w:rPr>
      <w:rFonts w:ascii="Arial" w:hAnsi="Arial" w:cs="Arial"/>
      <w:color w:val="000000"/>
      <w:kern w:val="0"/>
      <w:lang w:val="en-US"/>
    </w:rPr>
  </w:style>
  <w:style w:type="table" w:styleId="TableGrid">
    <w:name w:val="Table Grid"/>
    <w:basedOn w:val="TableNormal"/>
    <w:uiPriority w:val="39"/>
    <w:rsid w:val="00D95375"/>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95375"/>
    <w:rPr>
      <w:kern w:val="0"/>
      <w:sz w:val="22"/>
      <w:szCs w:val="22"/>
      <w:lang w:val="en-US"/>
      <w14:ligatures w14:val="none"/>
    </w:rPr>
  </w:style>
  <w:style w:type="paragraph" w:styleId="ListParagraph">
    <w:name w:val="List Paragraph"/>
    <w:basedOn w:val="Normal"/>
    <w:uiPriority w:val="34"/>
    <w:qFormat/>
    <w:rsid w:val="006C00C1"/>
    <w:pPr>
      <w:ind w:left="720"/>
      <w:contextualSpacing/>
    </w:pPr>
  </w:style>
  <w:style w:type="paragraph" w:styleId="Footer">
    <w:name w:val="footer"/>
    <w:basedOn w:val="Normal"/>
    <w:link w:val="FooterChar"/>
    <w:uiPriority w:val="99"/>
    <w:unhideWhenUsed/>
    <w:rsid w:val="007052BB"/>
    <w:pPr>
      <w:tabs>
        <w:tab w:val="center" w:pos="4680"/>
        <w:tab w:val="right" w:pos="9360"/>
      </w:tabs>
    </w:pPr>
    <w:rPr>
      <w:rFonts w:ascii="Times New Roman" w:eastAsia="Times New Roman" w:hAnsi="Times New Roman" w:cs="Times New Roman"/>
      <w:kern w:val="0"/>
      <w:lang w:val="en-US"/>
      <w14:ligatures w14:val="none"/>
    </w:rPr>
  </w:style>
  <w:style w:type="character" w:customStyle="1" w:styleId="FooterChar">
    <w:name w:val="Footer Char"/>
    <w:basedOn w:val="DefaultParagraphFont"/>
    <w:link w:val="Footer"/>
    <w:uiPriority w:val="99"/>
    <w:rsid w:val="007052BB"/>
    <w:rPr>
      <w:rFonts w:ascii="Times New Roman" w:eastAsia="Times New Roman" w:hAnsi="Times New Roman" w:cs="Times New Roman"/>
      <w:kern w:val="0"/>
      <w:lang w:val="en-US"/>
      <w14:ligatures w14:val="none"/>
    </w:rPr>
  </w:style>
  <w:style w:type="character" w:styleId="PageNumber">
    <w:name w:val="page number"/>
    <w:basedOn w:val="DefaultParagraphFont"/>
    <w:uiPriority w:val="99"/>
    <w:semiHidden/>
    <w:unhideWhenUsed/>
    <w:rsid w:val="00705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03514">
      <w:bodyDiv w:val="1"/>
      <w:marLeft w:val="0"/>
      <w:marRight w:val="0"/>
      <w:marTop w:val="0"/>
      <w:marBottom w:val="0"/>
      <w:divBdr>
        <w:top w:val="none" w:sz="0" w:space="0" w:color="auto"/>
        <w:left w:val="none" w:sz="0" w:space="0" w:color="auto"/>
        <w:bottom w:val="none" w:sz="0" w:space="0" w:color="auto"/>
        <w:right w:val="none" w:sz="0" w:space="0" w:color="auto"/>
      </w:divBdr>
    </w:div>
    <w:div w:id="205542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Sari Taha</cp:lastModifiedBy>
  <cp:revision>2</cp:revision>
  <dcterms:created xsi:type="dcterms:W3CDTF">2025-01-23T17:37:00Z</dcterms:created>
  <dcterms:modified xsi:type="dcterms:W3CDTF">2025-01-23T17:37:00Z</dcterms:modified>
</cp:coreProperties>
</file>