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D6051">
      <w:pPr>
        <w:spacing w:before="100" w:beforeAutospacing="1" w:after="0"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Supplementary </w:t>
      </w:r>
      <w:r>
        <w:rPr>
          <w:rFonts w:hint="eastAsia" w:ascii="Times New Roman" w:hAnsi="Times New Roman" w:cs="Times New Roman"/>
          <w:sz w:val="21"/>
          <w:szCs w:val="21"/>
        </w:rPr>
        <w:t xml:space="preserve">Table S1. </w:t>
      </w:r>
      <w:r>
        <w:rPr>
          <w:rFonts w:ascii="Times New Roman" w:hAnsi="Times New Roman" w:cs="Times New Roman"/>
          <w:sz w:val="21"/>
          <w:szCs w:val="21"/>
        </w:rPr>
        <w:t>Demographic characteristics of participants</w:t>
      </w:r>
      <w:r>
        <w:rPr>
          <w:rFonts w:hint="eastAsia" w:ascii="Times New Roman" w:hAnsi="Times New Roman" w:cs="Times New Roman"/>
          <w:sz w:val="21"/>
          <w:szCs w:val="21"/>
        </w:rPr>
        <w:t xml:space="preserve"> for the analysis of association between </w:t>
      </w:r>
      <w:r>
        <w:rPr>
          <w:rFonts w:ascii="Times New Roman" w:hAnsi="Times New Roman" w:cs="Times New Roman"/>
          <w:sz w:val="21"/>
          <w:szCs w:val="21"/>
        </w:rPr>
        <w:t>metabolic vulnerability index</w:t>
      </w:r>
      <w:r>
        <w:rPr>
          <w:rFonts w:hint="eastAsia" w:ascii="Times New Roman" w:hAnsi="Times New Roman" w:cs="Times New Roman"/>
          <w:sz w:val="21"/>
          <w:szCs w:val="21"/>
        </w:rPr>
        <w:t xml:space="preserve"> and lung function</w:t>
      </w:r>
    </w:p>
    <w:tbl>
      <w:tblPr>
        <w:tblStyle w:val="15"/>
        <w:tblW w:w="5000" w:type="pct"/>
        <w:tblCellSpacing w:w="1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17"/>
        <w:gridCol w:w="2279"/>
      </w:tblGrid>
      <w:tr w14:paraId="1B1935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B2CF6D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0" w:type="pct"/>
            <w:vAlign w:val="center"/>
          </w:tcPr>
          <w:p w14:paraId="2CD03CB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Total population</w:t>
            </w:r>
          </w:p>
          <w:p w14:paraId="1707A38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(n = 174,949)</w:t>
            </w:r>
          </w:p>
        </w:tc>
      </w:tr>
      <w:tr w14:paraId="73FD8A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tcBorders>
              <w:top w:val="single" w:color="auto" w:sz="12" w:space="0"/>
              <w:bottom w:val="nil"/>
            </w:tcBorders>
            <w:vAlign w:val="center"/>
          </w:tcPr>
          <w:p w14:paraId="312E150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Age, years</w:t>
            </w:r>
          </w:p>
        </w:tc>
        <w:tc>
          <w:tcPr>
            <w:tcW w:w="1330" w:type="pct"/>
            <w:tcBorders>
              <w:top w:val="single" w:color="auto" w:sz="12" w:space="0"/>
              <w:bottom w:val="nil"/>
            </w:tcBorders>
            <w:vAlign w:val="center"/>
          </w:tcPr>
          <w:p w14:paraId="4FEA8BA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56.48 ± 7.98 </w:t>
            </w:r>
          </w:p>
        </w:tc>
      </w:tr>
      <w:tr w14:paraId="1361C3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60CA2AF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Townsend deprivation index</w:t>
            </w:r>
          </w:p>
        </w:tc>
        <w:tc>
          <w:tcPr>
            <w:tcW w:w="1330" w:type="pct"/>
            <w:vAlign w:val="center"/>
          </w:tcPr>
          <w:p w14:paraId="46DFD10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-1.63 ± 2.87 </w:t>
            </w:r>
          </w:p>
        </w:tc>
      </w:tr>
      <w:tr w14:paraId="51CFB0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D059BB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Sex, (%)</w:t>
            </w:r>
          </w:p>
        </w:tc>
        <w:tc>
          <w:tcPr>
            <w:tcW w:w="1330" w:type="pct"/>
            <w:vAlign w:val="center"/>
          </w:tcPr>
          <w:p w14:paraId="6B3455E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4774E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7A35F4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Men</w:t>
            </w:r>
          </w:p>
        </w:tc>
        <w:tc>
          <w:tcPr>
            <w:tcW w:w="1330" w:type="pct"/>
            <w:vAlign w:val="center"/>
          </w:tcPr>
          <w:p w14:paraId="418A5F5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81337 (46.49) </w:t>
            </w:r>
          </w:p>
        </w:tc>
      </w:tr>
      <w:tr w14:paraId="669DB7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01D177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Women</w:t>
            </w:r>
          </w:p>
        </w:tc>
        <w:tc>
          <w:tcPr>
            <w:tcW w:w="1330" w:type="pct"/>
            <w:vAlign w:val="center"/>
          </w:tcPr>
          <w:p w14:paraId="171A4A3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93612 (53.51) </w:t>
            </w:r>
          </w:p>
        </w:tc>
      </w:tr>
      <w:tr w14:paraId="1BB3E9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B95D16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Educational level,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1330" w:type="pct"/>
            <w:vAlign w:val="center"/>
          </w:tcPr>
          <w:p w14:paraId="4D8FAB8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F98C5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6008379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 relevant qualifications</w:t>
            </w:r>
          </w:p>
        </w:tc>
        <w:tc>
          <w:tcPr>
            <w:tcW w:w="1330" w:type="pct"/>
            <w:vAlign w:val="center"/>
          </w:tcPr>
          <w:p w14:paraId="3649283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28065 (16.04) </w:t>
            </w:r>
          </w:p>
        </w:tc>
      </w:tr>
      <w:tr w14:paraId="7A421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12CCACB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CSEs or equivalent</w:t>
            </w:r>
          </w:p>
        </w:tc>
        <w:tc>
          <w:tcPr>
            <w:tcW w:w="1330" w:type="pct"/>
            <w:vAlign w:val="center"/>
          </w:tcPr>
          <w:p w14:paraId="5109A66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10091 (5.77) </w:t>
            </w:r>
          </w:p>
        </w:tc>
      </w:tr>
      <w:tr w14:paraId="26F850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5BE658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 levels, GCSEs, or equivalent</w:t>
            </w:r>
          </w:p>
        </w:tc>
        <w:tc>
          <w:tcPr>
            <w:tcW w:w="1330" w:type="pct"/>
            <w:vAlign w:val="center"/>
          </w:tcPr>
          <w:p w14:paraId="044A06E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39532 (22.60) </w:t>
            </w:r>
          </w:p>
        </w:tc>
      </w:tr>
      <w:tr w14:paraId="25C706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1F35CE6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 levels, AS levels, or equivalent</w:t>
            </w:r>
          </w:p>
        </w:tc>
        <w:tc>
          <w:tcPr>
            <w:tcW w:w="1330" w:type="pct"/>
            <w:vAlign w:val="center"/>
          </w:tcPr>
          <w:p w14:paraId="6E3C990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20222 (11.56) </w:t>
            </w:r>
          </w:p>
        </w:tc>
      </w:tr>
      <w:tr w14:paraId="0A7AE2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F50FA1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College or university degree</w:t>
            </w:r>
          </w:p>
        </w:tc>
        <w:tc>
          <w:tcPr>
            <w:tcW w:w="1330" w:type="pct"/>
            <w:vAlign w:val="center"/>
          </w:tcPr>
          <w:p w14:paraId="4097614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56219 (32.13) </w:t>
            </w:r>
          </w:p>
        </w:tc>
      </w:tr>
      <w:tr w14:paraId="646B06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740604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Others</w:t>
            </w:r>
          </w:p>
        </w:tc>
        <w:tc>
          <w:tcPr>
            <w:tcW w:w="1330" w:type="pct"/>
            <w:vAlign w:val="center"/>
          </w:tcPr>
          <w:p w14:paraId="6BBA480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20820 (11.90) </w:t>
            </w:r>
          </w:p>
        </w:tc>
      </w:tr>
      <w:tr w14:paraId="2C0177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78EF8AB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Body mass index,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1330" w:type="pct"/>
            <w:vAlign w:val="center"/>
          </w:tcPr>
          <w:p w14:paraId="18A9251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BE176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F56B71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&lt;18.5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kg/m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30" w:type="pct"/>
            <w:vAlign w:val="center"/>
          </w:tcPr>
          <w:p w14:paraId="4CBA231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609 (0.35) </w:t>
            </w:r>
          </w:p>
        </w:tc>
      </w:tr>
      <w:tr w14:paraId="6643A2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337B009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18.5 to &lt;25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kg/m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30" w:type="pct"/>
            <w:vAlign w:val="center"/>
          </w:tcPr>
          <w:p w14:paraId="10D2138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57135 (32.66) </w:t>
            </w:r>
          </w:p>
        </w:tc>
      </w:tr>
      <w:tr w14:paraId="43A1A4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BBAB93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to &lt;30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kg/m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30" w:type="pct"/>
            <w:vAlign w:val="center"/>
          </w:tcPr>
          <w:p w14:paraId="555F49D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75959 (43.42) </w:t>
            </w:r>
          </w:p>
        </w:tc>
      </w:tr>
      <w:tr w14:paraId="4AC008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B4061A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≥30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kg/m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30" w:type="pct"/>
            <w:vAlign w:val="center"/>
          </w:tcPr>
          <w:p w14:paraId="5FEE0EF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41246 (23.58) </w:t>
            </w:r>
          </w:p>
        </w:tc>
      </w:tr>
      <w:tr w14:paraId="49ECD2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4220EC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Smoking status,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1330" w:type="pct"/>
            <w:vAlign w:val="center"/>
          </w:tcPr>
          <w:p w14:paraId="699D12F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F8C8D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1D4FFF3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Never</w:t>
            </w:r>
          </w:p>
        </w:tc>
        <w:tc>
          <w:tcPr>
            <w:tcW w:w="1330" w:type="pct"/>
            <w:vAlign w:val="center"/>
          </w:tcPr>
          <w:p w14:paraId="20FE1C3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94805 (54.19) </w:t>
            </w:r>
          </w:p>
        </w:tc>
      </w:tr>
      <w:tr w14:paraId="30A051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E269B3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Past</w:t>
            </w:r>
          </w:p>
        </w:tc>
        <w:tc>
          <w:tcPr>
            <w:tcW w:w="1330" w:type="pct"/>
            <w:vAlign w:val="center"/>
          </w:tcPr>
          <w:p w14:paraId="0A1DB47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63100 (36.07) </w:t>
            </w:r>
          </w:p>
        </w:tc>
      </w:tr>
      <w:tr w14:paraId="7CDB50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1175D87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Current</w:t>
            </w:r>
          </w:p>
        </w:tc>
        <w:tc>
          <w:tcPr>
            <w:tcW w:w="1330" w:type="pct"/>
            <w:vAlign w:val="center"/>
          </w:tcPr>
          <w:p w14:paraId="70FEDFC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17044 (9.74) </w:t>
            </w:r>
          </w:p>
        </w:tc>
      </w:tr>
      <w:tr w14:paraId="7DCD80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04A9209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Alcohol drinking, (%)</w:t>
            </w:r>
          </w:p>
        </w:tc>
        <w:tc>
          <w:tcPr>
            <w:tcW w:w="1330" w:type="pct"/>
            <w:vAlign w:val="center"/>
          </w:tcPr>
          <w:p w14:paraId="675332B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8D1F9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FD04F2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Never</w:t>
            </w:r>
          </w:p>
        </w:tc>
        <w:tc>
          <w:tcPr>
            <w:tcW w:w="1330" w:type="pct"/>
            <w:vAlign w:val="center"/>
          </w:tcPr>
          <w:p w14:paraId="0578DD6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5044 (2.88) </w:t>
            </w:r>
          </w:p>
        </w:tc>
      </w:tr>
      <w:tr w14:paraId="6420D9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7A5CA75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Past</w:t>
            </w:r>
          </w:p>
        </w:tc>
        <w:tc>
          <w:tcPr>
            <w:tcW w:w="1330" w:type="pct"/>
            <w:vAlign w:val="center"/>
          </w:tcPr>
          <w:p w14:paraId="4F8CB5A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5435 (3.11) </w:t>
            </w:r>
          </w:p>
        </w:tc>
      </w:tr>
      <w:tr w14:paraId="67D516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B48A2F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Current</w:t>
            </w:r>
          </w:p>
        </w:tc>
        <w:tc>
          <w:tcPr>
            <w:tcW w:w="1330" w:type="pct"/>
            <w:vAlign w:val="center"/>
          </w:tcPr>
          <w:p w14:paraId="0C9FC1A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164470 (94.01) </w:t>
            </w:r>
          </w:p>
        </w:tc>
      </w:tr>
      <w:tr w14:paraId="0A9CD2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74BFEB5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Family history of chronic lung disease,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1330" w:type="pct"/>
            <w:vAlign w:val="center"/>
          </w:tcPr>
          <w:p w14:paraId="01B4A7F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1D919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3D311BF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1330" w:type="pct"/>
            <w:vAlign w:val="center"/>
          </w:tcPr>
          <w:p w14:paraId="200B055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149030 (85.18) </w:t>
            </w:r>
          </w:p>
        </w:tc>
      </w:tr>
      <w:tr w14:paraId="7C2E23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60B21CC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330" w:type="pct"/>
            <w:vAlign w:val="center"/>
          </w:tcPr>
          <w:p w14:paraId="2C05F8F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25919 (14.82) </w:t>
            </w:r>
          </w:p>
        </w:tc>
      </w:tr>
      <w:tr w14:paraId="3F9BD4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1110B0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Air pollution,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μg/m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330" w:type="pct"/>
            <w:vAlign w:val="center"/>
          </w:tcPr>
          <w:p w14:paraId="25E0E41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B72E5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34CEFA5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330" w:type="pct"/>
            <w:vAlign w:val="center"/>
          </w:tcPr>
          <w:p w14:paraId="03666D1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26.06 ± 7.34 </w:t>
            </w:r>
          </w:p>
        </w:tc>
      </w:tr>
      <w:tr w14:paraId="4E82A0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1C89B0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330" w:type="pct"/>
            <w:vAlign w:val="center"/>
          </w:tcPr>
          <w:p w14:paraId="17EF32F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43.16 ± 15.16 </w:t>
            </w:r>
          </w:p>
        </w:tc>
      </w:tr>
      <w:tr w14:paraId="1134BA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044D2FE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2.5</w:t>
            </w:r>
          </w:p>
        </w:tc>
        <w:tc>
          <w:tcPr>
            <w:tcW w:w="1330" w:type="pct"/>
            <w:vAlign w:val="center"/>
          </w:tcPr>
          <w:p w14:paraId="20344B2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9.95 ± 1.05 </w:t>
            </w:r>
          </w:p>
        </w:tc>
      </w:tr>
      <w:tr w14:paraId="0DED10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ED1F06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2.5-10</w:t>
            </w:r>
          </w:p>
        </w:tc>
        <w:tc>
          <w:tcPr>
            <w:tcW w:w="1330" w:type="pct"/>
            <w:vAlign w:val="center"/>
          </w:tcPr>
          <w:p w14:paraId="47010A1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16.12 ± 1.89 </w:t>
            </w:r>
          </w:p>
        </w:tc>
      </w:tr>
      <w:tr w14:paraId="4E3B0F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AA50A5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1330" w:type="pct"/>
            <w:vAlign w:val="center"/>
          </w:tcPr>
          <w:p w14:paraId="088AC1D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6.40 ± 0.89 </w:t>
            </w:r>
          </w:p>
        </w:tc>
      </w:tr>
      <w:tr w14:paraId="5D3DD2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8E15E7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sHDL, μmol/L</w:t>
            </w:r>
          </w:p>
        </w:tc>
        <w:tc>
          <w:tcPr>
            <w:tcW w:w="1330" w:type="pct"/>
            <w:vAlign w:val="center"/>
          </w:tcPr>
          <w:p w14:paraId="58F229E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9.82 ± 1.28 </w:t>
            </w:r>
          </w:p>
        </w:tc>
      </w:tr>
      <w:tr w14:paraId="34F5D6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7CD5E3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GlycA, μmol/L</w:t>
            </w:r>
          </w:p>
        </w:tc>
        <w:tc>
          <w:tcPr>
            <w:tcW w:w="1330" w:type="pct"/>
            <w:vAlign w:val="center"/>
          </w:tcPr>
          <w:p w14:paraId="0CA51A7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808.51 ± 114.67 </w:t>
            </w:r>
          </w:p>
        </w:tc>
      </w:tr>
      <w:tr w14:paraId="1AD7DA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562348C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Isoleucine, μmol/L</w:t>
            </w:r>
          </w:p>
        </w:tc>
        <w:tc>
          <w:tcPr>
            <w:tcW w:w="1330" w:type="pct"/>
            <w:vAlign w:val="center"/>
          </w:tcPr>
          <w:p w14:paraId="22AB25D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51.01 ± 17.40 </w:t>
            </w:r>
          </w:p>
        </w:tc>
      </w:tr>
      <w:tr w14:paraId="1CD158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65F317E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Leucine, μmol/L</w:t>
            </w:r>
          </w:p>
        </w:tc>
        <w:tc>
          <w:tcPr>
            <w:tcW w:w="1330" w:type="pct"/>
            <w:vAlign w:val="center"/>
          </w:tcPr>
          <w:p w14:paraId="39E838A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104.30 ± 27.70 </w:t>
            </w:r>
          </w:p>
        </w:tc>
      </w:tr>
      <w:tr w14:paraId="3B11E7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2630681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Valine, μmol/L</w:t>
            </w:r>
          </w:p>
        </w:tc>
        <w:tc>
          <w:tcPr>
            <w:tcW w:w="1330" w:type="pct"/>
            <w:vAlign w:val="center"/>
          </w:tcPr>
          <w:p w14:paraId="2A16784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210.67 ± 41.90 </w:t>
            </w:r>
          </w:p>
        </w:tc>
      </w:tr>
      <w:tr w14:paraId="451EDE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38D9F00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Citrate, μmol/L</w:t>
            </w:r>
          </w:p>
        </w:tc>
        <w:tc>
          <w:tcPr>
            <w:tcW w:w="1330" w:type="pct"/>
            <w:vAlign w:val="center"/>
          </w:tcPr>
          <w:p w14:paraId="1BDB3F7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65.36 ± 12.60 </w:t>
            </w:r>
          </w:p>
        </w:tc>
      </w:tr>
      <w:tr w14:paraId="72C9B4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15" w:type="pct"/>
            <w:vAlign w:val="center"/>
          </w:tcPr>
          <w:p w14:paraId="4C4A8A4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MVX score</w:t>
            </w:r>
          </w:p>
        </w:tc>
        <w:tc>
          <w:tcPr>
            <w:tcW w:w="1330" w:type="pct"/>
            <w:vAlign w:val="center"/>
          </w:tcPr>
          <w:p w14:paraId="62A86F7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41.76 ± 15.45 </w:t>
            </w:r>
          </w:p>
        </w:tc>
      </w:tr>
    </w:tbl>
    <w:p w14:paraId="6C069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76" w:lineRule="auto"/>
        <w:textAlignment w:val="auto"/>
        <w:rPr>
          <w:rFonts w:hint="eastAsia" w:ascii="Times New Roman" w:hAnsi="Times New Roman" w:cs="Times New Roman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1"/>
          <w:szCs w:val="21"/>
        </w:rPr>
        <w:t xml:space="preserve">Abbreviations: </w:t>
      </w:r>
      <w:r>
        <w:rPr>
          <w:rFonts w:hint="eastAsia" w:ascii="Times New Roman" w:hAnsi="Times New Roman" w:cs="Times New Roman"/>
          <w:sz w:val="21"/>
          <w:szCs w:val="21"/>
        </w:rPr>
        <w:t xml:space="preserve">COPD, Chronic obstructive pulmonary disease; </w:t>
      </w:r>
      <w:r>
        <w:rPr>
          <w:rFonts w:ascii="Times New Roman" w:hAnsi="Times New Roman" w:cs="Times New Roman"/>
          <w:sz w:val="21"/>
          <w:szCs w:val="21"/>
        </w:rPr>
        <w:t>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particulate matter with a diameter≤2.5 μm;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ascii="Times New Roman" w:hAnsi="Times New Roman" w:cs="Times New Roman"/>
          <w:sz w:val="21"/>
          <w:szCs w:val="21"/>
        </w:rPr>
        <w:t>, particulate matter with a diameter≤10 μm;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nitrogen dioxide; NO</w:t>
      </w:r>
      <w:r>
        <w:rPr>
          <w:rFonts w:hint="eastAsia"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>, nitrogen oxides; GlycA, Glycoprotein Acetyls; sHDL Particle Number of Small High-Density Lipoprotein; MVX, metabolic vulnerability index</w:t>
      </w:r>
    </w:p>
    <w:p w14:paraId="5A4BDD33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Supplementary </w:t>
      </w:r>
      <w:r>
        <w:rPr>
          <w:rFonts w:hint="eastAsia" w:ascii="Times New Roman" w:hAnsi="Times New Roman" w:cs="Times New Roman"/>
          <w:sz w:val="21"/>
          <w:szCs w:val="21"/>
        </w:rPr>
        <w:t xml:space="preserve">Table S2. Subgroup analyses on association between </w:t>
      </w:r>
      <w:r>
        <w:rPr>
          <w:rFonts w:ascii="Times New Roman" w:hAnsi="Times New Roman" w:cs="Times New Roman"/>
          <w:sz w:val="21"/>
          <w:szCs w:val="21"/>
        </w:rPr>
        <w:t>metabolic vulnerability index</w:t>
      </w:r>
      <w:r>
        <w:rPr>
          <w:rFonts w:hint="eastAsia" w:ascii="Times New Roman" w:hAnsi="Times New Roman" w:cs="Times New Roman"/>
          <w:sz w:val="21"/>
          <w:szCs w:val="21"/>
        </w:rPr>
        <w:t xml:space="preserve"> and risk of chronic obstructive pulmonary disease</w:t>
      </w:r>
    </w:p>
    <w:tbl>
      <w:tblPr>
        <w:tblStyle w:val="1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6"/>
        <w:gridCol w:w="3013"/>
        <w:gridCol w:w="1562"/>
        <w:gridCol w:w="1871"/>
        <w:gridCol w:w="1871"/>
        <w:gridCol w:w="1871"/>
      </w:tblGrid>
      <w:tr w14:paraId="598092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6" w:type="pct"/>
            <w:vMerge w:val="restart"/>
            <w:shd w:val="clear" w:color="auto" w:fill="auto"/>
            <w:noWrap/>
            <w:vAlign w:val="center"/>
          </w:tcPr>
          <w:p w14:paraId="69AAFD8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Subgroup </w:t>
            </w:r>
          </w:p>
        </w:tc>
        <w:tc>
          <w:tcPr>
            <w:tcW w:w="1063" w:type="pct"/>
            <w:vMerge w:val="restart"/>
            <w:shd w:val="clear" w:color="auto" w:fill="auto"/>
            <w:noWrap/>
            <w:vAlign w:val="center"/>
          </w:tcPr>
          <w:p w14:paraId="5FCD6A0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2530" w:type="pct"/>
            <w:gridSpan w:val="4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AB37BA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MVX score</w:t>
            </w:r>
          </w:p>
        </w:tc>
      </w:tr>
      <w:tr w14:paraId="044E9D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6" w:type="pct"/>
            <w:vMerge w:val="continue"/>
            <w:shd w:val="clear" w:color="auto" w:fill="auto"/>
            <w:noWrap/>
            <w:vAlign w:val="center"/>
          </w:tcPr>
          <w:p w14:paraId="5BC62E0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3" w:type="pct"/>
            <w:vMerge w:val="continue"/>
            <w:shd w:val="clear" w:color="auto" w:fill="auto"/>
            <w:noWrap/>
            <w:vAlign w:val="center"/>
          </w:tcPr>
          <w:p w14:paraId="5CE0373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55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0B39BD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Q1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56F476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Q2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913E7C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Q3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BAFAC9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Q4</w:t>
            </w:r>
          </w:p>
        </w:tc>
      </w:tr>
      <w:tr w14:paraId="102C96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06" w:type="pct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D0E1DD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3" w:type="pct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19B05B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55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336093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B0BE8A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2EA3E6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F69553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HR (95% CI)</w:t>
            </w:r>
          </w:p>
        </w:tc>
      </w:tr>
      <w:tr w14:paraId="24D5E7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06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198B028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1063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04EC293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&lt;60 years</w:t>
            </w:r>
          </w:p>
        </w:tc>
        <w:tc>
          <w:tcPr>
            <w:tcW w:w="551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72F603B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62F94A1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1.07 (0.96, 1.20)</w:t>
            </w:r>
          </w:p>
        </w:tc>
        <w:tc>
          <w:tcPr>
            <w:tcW w:w="660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109B25D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1.30 (1.16, 1.46) </w:t>
            </w:r>
          </w:p>
        </w:tc>
        <w:tc>
          <w:tcPr>
            <w:tcW w:w="660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2B07CE1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1.67 (1.49, 1.88) </w:t>
            </w:r>
          </w:p>
        </w:tc>
      </w:tr>
      <w:tr w14:paraId="77E16F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D1415B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tcBorders>
              <w:top w:val="nil"/>
            </w:tcBorders>
            <w:shd w:val="clear" w:color="auto" w:fill="auto"/>
            <w:vAlign w:val="center"/>
          </w:tcPr>
          <w:p w14:paraId="4691635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≥60 years</w:t>
            </w:r>
          </w:p>
        </w:tc>
        <w:tc>
          <w:tcPr>
            <w:tcW w:w="551" w:type="pct"/>
            <w:tcBorders>
              <w:top w:val="nil"/>
            </w:tcBorders>
            <w:shd w:val="clear" w:color="auto" w:fill="auto"/>
            <w:vAlign w:val="center"/>
          </w:tcPr>
          <w:p w14:paraId="529E0A3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13FA4CC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1.12 (1.04, 1.21) 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04611B2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1.19 (1.10, 1.29) 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1C5AA5D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1.48 (1.37, 1.61) </w:t>
            </w:r>
          </w:p>
        </w:tc>
      </w:tr>
      <w:tr w14:paraId="7DF48D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23DF59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1063" w:type="pct"/>
            <w:tcBorders>
              <w:top w:val="nil"/>
            </w:tcBorders>
            <w:shd w:val="clear" w:color="auto" w:fill="auto"/>
            <w:vAlign w:val="center"/>
          </w:tcPr>
          <w:p w14:paraId="1E034A5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551" w:type="pct"/>
            <w:tcBorders>
              <w:top w:val="nil"/>
            </w:tcBorders>
            <w:shd w:val="clear" w:color="auto" w:fill="auto"/>
            <w:vAlign w:val="center"/>
          </w:tcPr>
          <w:p w14:paraId="7F46E28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5D6E96B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1.15 (1.08, 1.23) 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7697B8D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1.24 (1.15, 1.35) 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359A5D2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1.36 (1.24, 1.48)</w:t>
            </w:r>
          </w:p>
        </w:tc>
      </w:tr>
      <w:tr w14:paraId="19622D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5F93D8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tcBorders>
              <w:top w:val="nil"/>
            </w:tcBorders>
            <w:shd w:val="clear" w:color="auto" w:fill="auto"/>
            <w:vAlign w:val="center"/>
          </w:tcPr>
          <w:p w14:paraId="55BB596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551" w:type="pct"/>
            <w:tcBorders>
              <w:top w:val="nil"/>
            </w:tcBorders>
            <w:shd w:val="clear" w:color="auto" w:fill="auto"/>
            <w:vAlign w:val="center"/>
          </w:tcPr>
          <w:p w14:paraId="0F61EF6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3B2A2F9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1.16 (0.94, 1.43)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5C70804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1.49 (1.22, 1.82)</w:t>
            </w:r>
          </w:p>
        </w:tc>
        <w:tc>
          <w:tcPr>
            <w:tcW w:w="660" w:type="pct"/>
            <w:tcBorders>
              <w:top w:val="nil"/>
            </w:tcBorders>
            <w:shd w:val="clear" w:color="auto" w:fill="auto"/>
            <w:vAlign w:val="center"/>
          </w:tcPr>
          <w:p w14:paraId="62F62E7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1.94 (1.59, 2.36)</w:t>
            </w:r>
          </w:p>
        </w:tc>
      </w:tr>
      <w:tr w14:paraId="7634E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1E75EF8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Townsend deprivation index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2D73AD1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9C4466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9CD278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1.15 (1.01, 1.31)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E72E8B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1.38 (1.20, 1.58)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955CF6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1.73 (1.51, 2.00) </w:t>
            </w:r>
          </w:p>
        </w:tc>
      </w:tr>
      <w:tr w14:paraId="0E6D5B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6615CE8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6DA1E57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6EC014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6FB04D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1.09 (0.97, 1.22)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6F5C7E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1.25 (1.10, 1.41)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E01F4C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1.54 (1.37, 1.75) </w:t>
            </w:r>
          </w:p>
        </w:tc>
      </w:tr>
      <w:tr w14:paraId="212825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145C2FC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FA14C1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9F1F38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218CA6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1.10 (1.00, 1.20)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C19A00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1.18 (1.07, 1.30)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E1CA80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1.49 (1.36, 1.64) </w:t>
            </w:r>
          </w:p>
        </w:tc>
      </w:tr>
      <w:tr w14:paraId="4AA01A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1C355C1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Educational level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461B2F0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College or university degree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BE81AB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2561CB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1.17 (1.01, 1.36)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2C98C62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1.25 (1.06, 1.47)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BF714B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1.73 (1.46, 2.05) </w:t>
            </w:r>
          </w:p>
        </w:tc>
      </w:tr>
      <w:tr w14:paraId="07092E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7B16078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172C773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FE6BF2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24098F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1.10 (1.03, 1.17)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338BBA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1.25 (1.16, 1.34)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2283EEF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1.56 (1.45, 1.68) </w:t>
            </w:r>
          </w:p>
        </w:tc>
      </w:tr>
      <w:tr w14:paraId="07AC8D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6376E4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Ethnicity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178F5CD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White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1E84D0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7E12CC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1.11 (1.04, 1.18)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48104D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1.24 (1.16, 1.33)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4A3D83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1.56 (1.46, 1.67) </w:t>
            </w:r>
          </w:p>
        </w:tc>
      </w:tr>
      <w:tr w14:paraId="4A1A70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1C9E7F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39D4C26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233A55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259FD7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1.02 (0.73, 1.42)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15DFE1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1.10 (0.76, 1.60)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DEACC1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1.38 (0.94, 2.01)</w:t>
            </w:r>
          </w:p>
        </w:tc>
      </w:tr>
      <w:tr w14:paraId="02474A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7357846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Body mass index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7F7F1A7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&lt;25 kg/m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A281AB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F96525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1.14 (1.01, 1.28)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4E2E99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1.22 (1.07, 1.38)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0273E9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1.53 (1.34, 1.74) </w:t>
            </w:r>
          </w:p>
        </w:tc>
      </w:tr>
      <w:tr w14:paraId="720FCC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3F1C8F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6DB7948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≥25 kg/m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6CB00D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24EC0D0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1.10 (1.02, 1.18)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EBB8B2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1.25 (1.16, 1.35)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BD5011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1.59 (1.47, 1.72) </w:t>
            </w:r>
          </w:p>
        </w:tc>
      </w:tr>
      <w:tr w14:paraId="39A819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1406" w:type="pct"/>
            <w:shd w:val="clear" w:color="auto" w:fill="auto"/>
            <w:vAlign w:val="center"/>
          </w:tcPr>
          <w:p w14:paraId="63350A3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Smoking status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04D5DEB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BCCBF5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8D4FEF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1.09 (0.94, 1.26)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E46107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1.36 (1.17, 1.59)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20F26AB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1.57 (1.34, 1.84) </w:t>
            </w:r>
          </w:p>
        </w:tc>
      </w:tr>
      <w:tr w14:paraId="78F5C5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0F08FC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7C9760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Past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6C1BA1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10DF27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1.13 (1.03, 1.23)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F1CA91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1.31 (1.19, 1.44)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98E83C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1.61 (1.47, 1.78) </w:t>
            </w:r>
          </w:p>
        </w:tc>
      </w:tr>
      <w:tr w14:paraId="346454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79A500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45FBE53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Current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B9476C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99E3C7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1.06 (0.95, 1.18)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682584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1.04 (0.93, 1.17)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1826F3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1.30 (1.16, 1.45) </w:t>
            </w:r>
          </w:p>
        </w:tc>
      </w:tr>
      <w:tr w14:paraId="64BA2F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818AB2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Alcohol drinking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356BD81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54D655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535679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0.85 (0.59, 1.22)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CD2D88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0.97 (0.66, 1.43)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FCA7FD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1.22 (0.83, 1.80)</w:t>
            </w:r>
          </w:p>
        </w:tc>
      </w:tr>
      <w:tr w14:paraId="32C87F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55BF413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536952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Past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A04EAC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9AEFC6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1.24 (0.97, 1.58)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915D2C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1.28 (0.97, 1.68)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5443AE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1.55 (1.17, 2.05) </w:t>
            </w:r>
          </w:p>
        </w:tc>
      </w:tr>
      <w:tr w14:paraId="00583C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50BF9E4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62288B6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Current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8788DF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3EB024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1.10 (1.03, 1.17)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9C2B3C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1.23 (1.14, 1.31)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D76F72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1.52 (1.42, 1.63) </w:t>
            </w:r>
          </w:p>
        </w:tc>
      </w:tr>
      <w:tr w14:paraId="3E1F7C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541B124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Family history of chronic lung disease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2D9A130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AD9C45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F4E500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1.11 (1.04, 1.19)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A60807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1.23 (1.15, 1.33)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32C6AD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1.51 (1.40, 1.63) </w:t>
            </w:r>
          </w:p>
        </w:tc>
      </w:tr>
      <w:tr w14:paraId="1ADAF3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58F2B3E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71ECA6F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ECF44B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08B6C8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1.05 (0.92, 1.20)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FD0622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1.17 (1.02, 1.34)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852082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1.48 (1.29, 1.70) </w:t>
            </w:r>
          </w:p>
        </w:tc>
      </w:tr>
      <w:tr w14:paraId="3B4DAE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5CBC6FE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441EF60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2D1019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738088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1.07 (0.98, 1.18)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BAB0B5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1.27 (1.15, 1.41)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BDDDCB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1.44 (1.30, 1.60) </w:t>
            </w:r>
          </w:p>
        </w:tc>
      </w:tr>
      <w:tr w14:paraId="5E12EF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2E24639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450C6FD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92C685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7ABE9D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1.12 (1.03, 1.21)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9377A5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1.18 (1.08, 1.29)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05DE24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1.55 (1.42, 1.69) </w:t>
            </w:r>
          </w:p>
        </w:tc>
      </w:tr>
      <w:tr w14:paraId="0A0485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176D1A9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4FA2A70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DEF18B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89384B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1.07 (0.98, 1.18)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E57135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1.24 (1.12, 1.36)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D8E70B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1.45 (1.31, 1.60) </w:t>
            </w:r>
          </w:p>
        </w:tc>
      </w:tr>
      <w:tr w14:paraId="3EBA0A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6A8C71C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28F5439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42E09E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540041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1.12 (1.03, 1.22)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3EADB2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1.21 (1.11, 1.32)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3E5278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1.55 (1.42, 1.69) </w:t>
            </w:r>
          </w:p>
        </w:tc>
      </w:tr>
      <w:tr w14:paraId="634CC4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22706D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2.5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2E3E7A0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DDBB45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0A3142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1.05 (0.95, 1.15)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B48D0C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1.23 (1.11, 1.36)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37DDCA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1.40 (1.26, 1.55) </w:t>
            </w:r>
          </w:p>
        </w:tc>
      </w:tr>
      <w:tr w14:paraId="15A1EC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13243FD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70B1988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836790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CCE85C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1.14 (1.05, 1.23)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9EEAA2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1.22 (1.12, 1.33)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403C23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1.58 (1.45, 1.73) </w:t>
            </w:r>
          </w:p>
        </w:tc>
      </w:tr>
      <w:tr w14:paraId="73F805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00657F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0E69F40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1C4759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8DFBAF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1.05 (0.96, 1.15)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A14D50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1.17 (1.06, 1.28)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C3DCE8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1.41 (1.28, 1.55) </w:t>
            </w:r>
          </w:p>
        </w:tc>
      </w:tr>
      <w:tr w14:paraId="597F5B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CF5C83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4C0E01A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062353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29F644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1.14 (1.05, 1.24)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7D5E81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1.27 (1.16, 1.39)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43538A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1.60 (1.46, 1.75) </w:t>
            </w:r>
          </w:p>
        </w:tc>
      </w:tr>
      <w:tr w14:paraId="007065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05EF58C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2.5-10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4A2E5C9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FA37F9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E63E46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1.04 (0.95, 1.14)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93D538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1.18 (1.07, 1.29)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0BB1AD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1.41 (1.28, 1.55) </w:t>
            </w:r>
          </w:p>
        </w:tc>
      </w:tr>
      <w:tr w14:paraId="298BFF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06" w:type="pct"/>
            <w:shd w:val="clear" w:color="auto" w:fill="auto"/>
            <w:noWrap/>
            <w:vAlign w:val="center"/>
          </w:tcPr>
          <w:p w14:paraId="7303528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pct"/>
            <w:shd w:val="clear" w:color="auto" w:fill="auto"/>
            <w:vAlign w:val="center"/>
          </w:tcPr>
          <w:p w14:paraId="6181AA3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66B9C3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2955494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1.15 (1.06, 1.26)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7E89AA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1.26 (1.15, 1.38) 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181060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1.60 (1.46, 1.75) </w:t>
            </w:r>
          </w:p>
        </w:tc>
      </w:tr>
    </w:tbl>
    <w:p w14:paraId="2263AE5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Abbreviations: </w:t>
      </w:r>
      <w:r>
        <w:rPr>
          <w:rFonts w:hint="eastAsia" w:ascii="Times New Roman" w:hAnsi="Times New Roman" w:cs="Times New Roman"/>
          <w:sz w:val="21"/>
          <w:szCs w:val="21"/>
        </w:rPr>
        <w:t xml:space="preserve">COPD, Chronic obstructive pulmonary disease; HR, hazard ratio; CI, confidence interval; </w:t>
      </w:r>
      <w:r>
        <w:rPr>
          <w:rFonts w:ascii="Times New Roman" w:hAnsi="Times New Roman" w:cs="Times New Roman"/>
          <w:sz w:val="21"/>
          <w:szCs w:val="21"/>
        </w:rPr>
        <w:t>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particulate matter with a diameter≤2.5 μm;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ascii="Times New Roman" w:hAnsi="Times New Roman" w:cs="Times New Roman"/>
          <w:sz w:val="21"/>
          <w:szCs w:val="21"/>
        </w:rPr>
        <w:t>, particulate matter with a diameter≤10 μm;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nitrogen dioxide; NO</w:t>
      </w:r>
      <w:r>
        <w:rPr>
          <w:rFonts w:hint="eastAsia"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 xml:space="preserve">, nitrogen oxides; GlycA, Glycoprotein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cetyls; sHDL Particle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ascii="Times New Roman" w:hAnsi="Times New Roman" w:cs="Times New Roman"/>
          <w:sz w:val="21"/>
          <w:szCs w:val="21"/>
        </w:rPr>
        <w:t>umber of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s</w:t>
      </w:r>
      <w:r>
        <w:rPr>
          <w:rFonts w:ascii="Times New Roman" w:hAnsi="Times New Roman" w:cs="Times New Roman"/>
          <w:sz w:val="21"/>
          <w:szCs w:val="21"/>
        </w:rPr>
        <w:t xml:space="preserve">mall High-Density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</w:t>
      </w:r>
      <w:bookmarkStart w:id="3" w:name="_GoBack"/>
      <w:bookmarkEnd w:id="3"/>
      <w:r>
        <w:rPr>
          <w:rFonts w:ascii="Times New Roman" w:hAnsi="Times New Roman" w:cs="Times New Roman"/>
          <w:sz w:val="21"/>
          <w:szCs w:val="21"/>
        </w:rPr>
        <w:t>ipoprotein; MVX, metabolic vulnerability index.</w:t>
      </w:r>
      <w:r>
        <w:rPr>
          <w:rFonts w:hint="eastAsia" w:ascii="Times New Roman" w:hAnsi="Times New Roman" w:cs="Times New Roman"/>
          <w:sz w:val="21"/>
          <w:szCs w:val="21"/>
        </w:rPr>
        <w:t xml:space="preserve"> Multivariable-adjusted model was adjusted age, sex, t</w:t>
      </w:r>
      <w:r>
        <w:rPr>
          <w:rFonts w:ascii="Times New Roman" w:hAnsi="Times New Roman" w:cs="Times New Roman"/>
          <w:sz w:val="21"/>
          <w:szCs w:val="21"/>
        </w:rPr>
        <w:t xml:space="preserve">ownsend deprivation index, </w:t>
      </w:r>
      <w:r>
        <w:rPr>
          <w:rFonts w:hint="eastAsia"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thnicity, </w:t>
      </w:r>
      <w:r>
        <w:rPr>
          <w:rFonts w:hint="eastAsia"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ducational level, </w:t>
      </w:r>
      <w:r>
        <w:rPr>
          <w:rFonts w:hint="eastAsia"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ody mass index, </w:t>
      </w:r>
      <w:r>
        <w:rPr>
          <w:rFonts w:hint="eastAsia"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moking status, </w:t>
      </w:r>
      <w:r>
        <w:rPr>
          <w:rFonts w:hint="eastAsia"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lcohol drinking, </w:t>
      </w:r>
      <w:r>
        <w:rPr>
          <w:rFonts w:hint="eastAsia"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amily history of chronic lung disease,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2.5-10</w:t>
      </w:r>
      <w:r>
        <w:rPr>
          <w:rFonts w:ascii="Times New Roman" w:hAnsi="Times New Roman" w:cs="Times New Roman"/>
          <w:sz w:val="21"/>
          <w:szCs w:val="21"/>
        </w:rPr>
        <w:t>, and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hint="eastAsia" w:ascii="Times New Roman" w:hAnsi="Times New Roman" w:cs="Times New Roman"/>
          <w:sz w:val="21"/>
          <w:szCs w:val="21"/>
        </w:rPr>
        <w:t>.</w:t>
      </w:r>
    </w:p>
    <w:p w14:paraId="2A4B8390">
      <w:pPr>
        <w:spacing w:before="100" w:beforeAutospacing="1" w:after="0" w:line="276" w:lineRule="auto"/>
        <w:rPr>
          <w:rFonts w:hint="eastAsia"/>
        </w:rPr>
      </w:pPr>
    </w:p>
    <w:p w14:paraId="63BA278C">
      <w:pPr>
        <w:spacing w:before="100" w:beforeAutospacing="1" w:after="0" w:line="276" w:lineRule="auto"/>
        <w:rPr>
          <w:rFonts w:hint="eastAsia"/>
        </w:rPr>
      </w:pPr>
    </w:p>
    <w:p w14:paraId="52A93302">
      <w:pPr>
        <w:spacing w:before="100" w:beforeAutospacing="1" w:after="0" w:line="276" w:lineRule="auto"/>
        <w:rPr>
          <w:rFonts w:hint="eastAsia"/>
        </w:rPr>
      </w:pPr>
    </w:p>
    <w:p w14:paraId="7472C560">
      <w:pPr>
        <w:spacing w:before="100" w:beforeAutospacing="1" w:after="0" w:line="276" w:lineRule="auto"/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Supplementary </w:t>
      </w:r>
      <w:r>
        <w:rPr>
          <w:rFonts w:hint="eastAsia" w:ascii="Times New Roman" w:hAnsi="Times New Roman" w:cs="Times New Roman"/>
          <w:sz w:val="21"/>
          <w:szCs w:val="21"/>
        </w:rPr>
        <w:t>Table S3. S</w:t>
      </w:r>
      <w:r>
        <w:rPr>
          <w:rFonts w:ascii="Times New Roman" w:hAnsi="Times New Roman" w:cs="Times New Roman"/>
          <w:sz w:val="21"/>
          <w:szCs w:val="21"/>
        </w:rPr>
        <w:t>ensitivity analysis</w:t>
      </w:r>
      <w:r>
        <w:rPr>
          <w:rFonts w:hint="eastAsia" w:ascii="Times New Roman" w:hAnsi="Times New Roman" w:cs="Times New Roman"/>
          <w:sz w:val="21"/>
          <w:szCs w:val="21"/>
        </w:rPr>
        <w:t xml:space="preserve"> for the association between </w:t>
      </w:r>
      <w:r>
        <w:rPr>
          <w:rFonts w:ascii="Times New Roman" w:hAnsi="Times New Roman" w:cs="Times New Roman"/>
          <w:sz w:val="21"/>
          <w:szCs w:val="21"/>
        </w:rPr>
        <w:t>metabolic vulnerability index</w:t>
      </w:r>
      <w:r>
        <w:rPr>
          <w:rFonts w:hint="eastAsia" w:ascii="Times New Roman" w:hAnsi="Times New Roman" w:cs="Times New Roman"/>
          <w:sz w:val="21"/>
          <w:szCs w:val="21"/>
        </w:rPr>
        <w:t xml:space="preserve"> and</w:t>
      </w:r>
      <w:bookmarkStart w:id="0" w:name="_Hlk196342897"/>
      <w:r>
        <w:rPr>
          <w:rFonts w:hint="eastAsia" w:ascii="Times New Roman" w:hAnsi="Times New Roman" w:cs="Times New Roman"/>
          <w:sz w:val="21"/>
          <w:szCs w:val="21"/>
        </w:rPr>
        <w:t xml:space="preserve"> risk of chronic obstructive pulmonary disease</w:t>
      </w:r>
      <w:bookmarkEnd w:id="0"/>
      <w:r>
        <w:rPr>
          <w:rFonts w:hint="eastAsia" w:ascii="Times New Roman" w:hAnsi="Times New Roman" w:cs="Times New Roman"/>
          <w:sz w:val="21"/>
          <w:szCs w:val="21"/>
        </w:rPr>
        <w:t xml:space="preserve"> excluding </w:t>
      </w:r>
      <w:r>
        <w:rPr>
          <w:rFonts w:ascii="Times New Roman" w:hAnsi="Times New Roman" w:cs="Times New Roman"/>
          <w:sz w:val="21"/>
          <w:szCs w:val="21"/>
        </w:rPr>
        <w:t xml:space="preserve">the first </w:t>
      </w:r>
      <w:r>
        <w:rPr>
          <w:rFonts w:hint="eastAsia" w:ascii="Times New Roman" w:hAnsi="Times New Roman" w:cs="Times New Roman"/>
          <w:sz w:val="21"/>
          <w:szCs w:val="21"/>
        </w:rPr>
        <w:t>2 or 5</w:t>
      </w:r>
      <w:r>
        <w:rPr>
          <w:rFonts w:ascii="Times New Roman" w:hAnsi="Times New Roman" w:cs="Times New Roman"/>
          <w:sz w:val="21"/>
          <w:szCs w:val="21"/>
        </w:rPr>
        <w:t> years of follow-up</w:t>
      </w:r>
    </w:p>
    <w:tbl>
      <w:tblPr>
        <w:tblStyle w:val="15"/>
        <w:tblW w:w="5000" w:type="pct"/>
        <w:tblCellSpacing w:w="1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2"/>
        <w:gridCol w:w="1891"/>
        <w:gridCol w:w="1180"/>
        <w:gridCol w:w="1892"/>
        <w:gridCol w:w="1172"/>
        <w:gridCol w:w="3152"/>
        <w:gridCol w:w="1069"/>
      </w:tblGrid>
      <w:tr w14:paraId="6125C6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720AE53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9" w:type="pct"/>
            <w:gridSpan w:val="2"/>
            <w:vAlign w:val="center"/>
          </w:tcPr>
          <w:p w14:paraId="27094E9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Crude</w:t>
            </w:r>
          </w:p>
        </w:tc>
        <w:tc>
          <w:tcPr>
            <w:tcW w:w="1076" w:type="pct"/>
            <w:gridSpan w:val="2"/>
            <w:vAlign w:val="center"/>
          </w:tcPr>
          <w:p w14:paraId="2B19EE2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Age, sex-adjusted model</w:t>
            </w:r>
          </w:p>
        </w:tc>
        <w:tc>
          <w:tcPr>
            <w:tcW w:w="1484" w:type="pct"/>
            <w:gridSpan w:val="2"/>
            <w:vAlign w:val="center"/>
          </w:tcPr>
          <w:p w14:paraId="1CD2E19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Multivariate adjusted model</w:t>
            </w:r>
          </w:p>
        </w:tc>
      </w:tr>
      <w:tr w14:paraId="233DA6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012C039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color="auto" w:sz="12" w:space="0"/>
              <w:bottom w:val="nil"/>
            </w:tcBorders>
            <w:vAlign w:val="center"/>
          </w:tcPr>
          <w:p w14:paraId="109399E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401" w:type="pct"/>
            <w:tcBorders>
              <w:top w:val="single" w:color="auto" w:sz="12" w:space="0"/>
              <w:bottom w:val="nil"/>
            </w:tcBorders>
          </w:tcPr>
          <w:p w14:paraId="0983A35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P-value</w:t>
            </w:r>
          </w:p>
        </w:tc>
        <w:tc>
          <w:tcPr>
            <w:tcW w:w="667" w:type="pct"/>
            <w:tcBorders>
              <w:top w:val="single" w:color="auto" w:sz="12" w:space="0"/>
              <w:bottom w:val="nil"/>
            </w:tcBorders>
            <w:vAlign w:val="center"/>
          </w:tcPr>
          <w:p w14:paraId="1A1DE19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399" w:type="pct"/>
            <w:tcBorders>
              <w:top w:val="single" w:color="auto" w:sz="12" w:space="0"/>
              <w:bottom w:val="nil"/>
            </w:tcBorders>
          </w:tcPr>
          <w:p w14:paraId="07650B2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P-value</w:t>
            </w:r>
          </w:p>
        </w:tc>
        <w:tc>
          <w:tcPr>
            <w:tcW w:w="1117" w:type="pct"/>
            <w:tcBorders>
              <w:top w:val="single" w:color="auto" w:sz="12" w:space="0"/>
              <w:bottom w:val="nil"/>
            </w:tcBorders>
            <w:vAlign w:val="center"/>
          </w:tcPr>
          <w:p w14:paraId="4A6ABC5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356" w:type="pct"/>
            <w:tcBorders>
              <w:top w:val="single" w:color="auto" w:sz="12" w:space="0"/>
              <w:bottom w:val="nil"/>
            </w:tcBorders>
          </w:tcPr>
          <w:p w14:paraId="7BC72E0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 w14:paraId="6E12E6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tcBorders>
              <w:top w:val="single" w:color="auto" w:sz="12" w:space="0"/>
              <w:bottom w:val="nil"/>
            </w:tcBorders>
            <w:vAlign w:val="center"/>
          </w:tcPr>
          <w:p w14:paraId="3C649DC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</w:pPr>
            <w:bookmarkStart w:id="1" w:name="_Hlk198054182"/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Excluding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the first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2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years of follow-up</w:t>
            </w:r>
            <w:bookmarkEnd w:id="1"/>
          </w:p>
        </w:tc>
        <w:tc>
          <w:tcPr>
            <w:tcW w:w="667" w:type="pct"/>
            <w:tcBorders>
              <w:top w:val="single" w:color="auto" w:sz="12" w:space="0"/>
              <w:bottom w:val="nil"/>
            </w:tcBorders>
            <w:vAlign w:val="center"/>
          </w:tcPr>
          <w:p w14:paraId="7B069DB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single" w:color="auto" w:sz="12" w:space="0"/>
              <w:bottom w:val="nil"/>
            </w:tcBorders>
          </w:tcPr>
          <w:p w14:paraId="47DD199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color="auto" w:sz="12" w:space="0"/>
              <w:bottom w:val="nil"/>
            </w:tcBorders>
            <w:vAlign w:val="center"/>
          </w:tcPr>
          <w:p w14:paraId="082BCB5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9" w:type="pct"/>
            <w:tcBorders>
              <w:top w:val="single" w:color="auto" w:sz="12" w:space="0"/>
              <w:bottom w:val="nil"/>
            </w:tcBorders>
          </w:tcPr>
          <w:p w14:paraId="13248A6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  <w:tcBorders>
              <w:top w:val="single" w:color="auto" w:sz="12" w:space="0"/>
              <w:bottom w:val="nil"/>
            </w:tcBorders>
            <w:vAlign w:val="center"/>
          </w:tcPr>
          <w:p w14:paraId="7BDE0A9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single" w:color="auto" w:sz="12" w:space="0"/>
              <w:bottom w:val="nil"/>
            </w:tcBorders>
          </w:tcPr>
          <w:p w14:paraId="10497B7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81231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tcBorders>
              <w:top w:val="nil"/>
              <w:bottom w:val="nil"/>
            </w:tcBorders>
            <w:vAlign w:val="center"/>
          </w:tcPr>
          <w:p w14:paraId="0F237C1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Per 1-SD increase in MVX score</w:t>
            </w:r>
          </w:p>
        </w:tc>
        <w:tc>
          <w:tcPr>
            <w:tcW w:w="667" w:type="pct"/>
            <w:tcBorders>
              <w:top w:val="nil"/>
              <w:bottom w:val="nil"/>
            </w:tcBorders>
            <w:vAlign w:val="center"/>
          </w:tcPr>
          <w:p w14:paraId="5F5BB34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1.22 (1.20, 1.2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01" w:type="pct"/>
            <w:tcBorders>
              <w:top w:val="nil"/>
              <w:bottom w:val="nil"/>
            </w:tcBorders>
          </w:tcPr>
          <w:p w14:paraId="5BF9847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667" w:type="pct"/>
            <w:tcBorders>
              <w:top w:val="nil"/>
              <w:bottom w:val="nil"/>
            </w:tcBorders>
            <w:vAlign w:val="center"/>
          </w:tcPr>
          <w:p w14:paraId="0E5C4CC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(1.3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1.42) 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14:paraId="05FA764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  <w:tcBorders>
              <w:top w:val="nil"/>
              <w:bottom w:val="nil"/>
            </w:tcBorders>
            <w:vAlign w:val="center"/>
          </w:tcPr>
          <w:p w14:paraId="7498C25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) 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14:paraId="2365163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4DA869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6CF7FBA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MVX score, quartile</w:t>
            </w:r>
          </w:p>
        </w:tc>
        <w:tc>
          <w:tcPr>
            <w:tcW w:w="667" w:type="pct"/>
            <w:vAlign w:val="center"/>
          </w:tcPr>
          <w:p w14:paraId="007D1CB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1" w:type="pct"/>
          </w:tcPr>
          <w:p w14:paraId="5AC462F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  <w:vAlign w:val="center"/>
          </w:tcPr>
          <w:p w14:paraId="3B16661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9" w:type="pct"/>
          </w:tcPr>
          <w:p w14:paraId="65567D8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421A9EB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6" w:type="pct"/>
          </w:tcPr>
          <w:p w14:paraId="1247202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D08D2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50E179D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Q1</w:t>
            </w:r>
          </w:p>
        </w:tc>
        <w:tc>
          <w:tcPr>
            <w:tcW w:w="667" w:type="pct"/>
            <w:vAlign w:val="center"/>
          </w:tcPr>
          <w:p w14:paraId="750B7DD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401" w:type="pct"/>
          </w:tcPr>
          <w:p w14:paraId="54E6F04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  <w:vAlign w:val="center"/>
          </w:tcPr>
          <w:p w14:paraId="3A9BB6F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399" w:type="pct"/>
          </w:tcPr>
          <w:p w14:paraId="02C71B4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2B6DCB0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356" w:type="pct"/>
          </w:tcPr>
          <w:p w14:paraId="2E11D44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A97A6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5675C44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Q2</w:t>
            </w:r>
          </w:p>
        </w:tc>
        <w:tc>
          <w:tcPr>
            <w:tcW w:w="667" w:type="pct"/>
            <w:vAlign w:val="center"/>
          </w:tcPr>
          <w:p w14:paraId="7EF79D1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1.07 (1.0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1.14) </w:t>
            </w:r>
          </w:p>
        </w:tc>
        <w:tc>
          <w:tcPr>
            <w:tcW w:w="401" w:type="pct"/>
          </w:tcPr>
          <w:p w14:paraId="7C52C8F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0.044</w:t>
            </w:r>
          </w:p>
        </w:tc>
        <w:tc>
          <w:tcPr>
            <w:tcW w:w="667" w:type="pct"/>
            <w:vAlign w:val="center"/>
          </w:tcPr>
          <w:p w14:paraId="0EF4490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1.31 (1.2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) </w:t>
            </w:r>
          </w:p>
        </w:tc>
        <w:tc>
          <w:tcPr>
            <w:tcW w:w="399" w:type="pct"/>
          </w:tcPr>
          <w:p w14:paraId="4CA26C4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117" w:type="pct"/>
            <w:vAlign w:val="center"/>
          </w:tcPr>
          <w:p w14:paraId="0E20DEB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1.10 (1.0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1.17) </w:t>
            </w:r>
          </w:p>
        </w:tc>
        <w:tc>
          <w:tcPr>
            <w:tcW w:w="356" w:type="pct"/>
          </w:tcPr>
          <w:p w14:paraId="1E0D2D8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0.004</w:t>
            </w:r>
          </w:p>
        </w:tc>
      </w:tr>
      <w:tr w14:paraId="05D20E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26EC802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Q3</w:t>
            </w:r>
          </w:p>
        </w:tc>
        <w:tc>
          <w:tcPr>
            <w:tcW w:w="667" w:type="pct"/>
            <w:vAlign w:val="center"/>
          </w:tcPr>
          <w:p w14:paraId="59FC79A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1.08 (1.0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1.15) </w:t>
            </w:r>
          </w:p>
        </w:tc>
        <w:tc>
          <w:tcPr>
            <w:tcW w:w="401" w:type="pct"/>
          </w:tcPr>
          <w:p w14:paraId="45D5068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0.016</w:t>
            </w:r>
          </w:p>
        </w:tc>
        <w:tc>
          <w:tcPr>
            <w:tcW w:w="667" w:type="pct"/>
            <w:vAlign w:val="center"/>
          </w:tcPr>
          <w:p w14:paraId="1868BF6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1.6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49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1.7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) </w:t>
            </w:r>
          </w:p>
        </w:tc>
        <w:tc>
          <w:tcPr>
            <w:tcW w:w="399" w:type="pct"/>
          </w:tcPr>
          <w:p w14:paraId="058412D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117" w:type="pct"/>
            <w:vAlign w:val="center"/>
          </w:tcPr>
          <w:p w14:paraId="36D3609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1.32) </w:t>
            </w:r>
          </w:p>
        </w:tc>
        <w:tc>
          <w:tcPr>
            <w:tcW w:w="356" w:type="pct"/>
          </w:tcPr>
          <w:p w14:paraId="662DCB0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0895EA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668236B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Q4</w:t>
            </w:r>
          </w:p>
        </w:tc>
        <w:tc>
          <w:tcPr>
            <w:tcW w:w="667" w:type="pct"/>
            <w:vAlign w:val="center"/>
          </w:tcPr>
          <w:p w14:paraId="2C7AB10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(1.4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, 1.65) </w:t>
            </w:r>
          </w:p>
        </w:tc>
        <w:tc>
          <w:tcPr>
            <w:tcW w:w="401" w:type="pct"/>
          </w:tcPr>
          <w:p w14:paraId="79E60E2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667" w:type="pct"/>
            <w:vAlign w:val="center"/>
          </w:tcPr>
          <w:p w14:paraId="09B9688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(2.2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2.5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99" w:type="pct"/>
          </w:tcPr>
          <w:p w14:paraId="28ECAB3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117" w:type="pct"/>
            <w:vAlign w:val="center"/>
          </w:tcPr>
          <w:p w14:paraId="1A71F79D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(1.4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1.6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) </w:t>
            </w:r>
          </w:p>
        </w:tc>
        <w:tc>
          <w:tcPr>
            <w:tcW w:w="356" w:type="pct"/>
          </w:tcPr>
          <w:p w14:paraId="2134FB3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55E1B1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7A4F776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 for trend</w:t>
            </w:r>
          </w:p>
        </w:tc>
        <w:tc>
          <w:tcPr>
            <w:tcW w:w="667" w:type="pct"/>
          </w:tcPr>
          <w:p w14:paraId="55A52E9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401" w:type="pct"/>
          </w:tcPr>
          <w:p w14:paraId="3CF863B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</w:tcPr>
          <w:p w14:paraId="2015502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399" w:type="pct"/>
          </w:tcPr>
          <w:p w14:paraId="6CB17DC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</w:tcPr>
          <w:p w14:paraId="7033144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356" w:type="pct"/>
          </w:tcPr>
          <w:p w14:paraId="729EEC7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21FB7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407DEB1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Excluding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the first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2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years of follow-up</w:t>
            </w:r>
          </w:p>
        </w:tc>
        <w:tc>
          <w:tcPr>
            <w:tcW w:w="667" w:type="pct"/>
          </w:tcPr>
          <w:p w14:paraId="39B1A74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1" w:type="pct"/>
          </w:tcPr>
          <w:p w14:paraId="6F6A3BC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</w:tcPr>
          <w:p w14:paraId="5984595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9" w:type="pct"/>
          </w:tcPr>
          <w:p w14:paraId="45638DC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</w:tcPr>
          <w:p w14:paraId="174225B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6" w:type="pct"/>
          </w:tcPr>
          <w:p w14:paraId="5FACC57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663CD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62C6DD1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Per 1-SD increase in MVX score</w:t>
            </w:r>
          </w:p>
        </w:tc>
        <w:tc>
          <w:tcPr>
            <w:tcW w:w="667" w:type="pct"/>
            <w:vAlign w:val="center"/>
          </w:tcPr>
          <w:p w14:paraId="021B87F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1.22 (1.19, 1.24) </w:t>
            </w:r>
          </w:p>
        </w:tc>
        <w:tc>
          <w:tcPr>
            <w:tcW w:w="401" w:type="pct"/>
          </w:tcPr>
          <w:p w14:paraId="753C618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667" w:type="pct"/>
            <w:vAlign w:val="center"/>
          </w:tcPr>
          <w:p w14:paraId="287569F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1.38 (1.35, 1.41) </w:t>
            </w:r>
          </w:p>
        </w:tc>
        <w:tc>
          <w:tcPr>
            <w:tcW w:w="399" w:type="pct"/>
          </w:tcPr>
          <w:p w14:paraId="3B6FA41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117" w:type="pct"/>
            <w:vAlign w:val="center"/>
          </w:tcPr>
          <w:p w14:paraId="44F7D5E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1.18 (1.15, 1.21)  </w:t>
            </w:r>
          </w:p>
        </w:tc>
        <w:tc>
          <w:tcPr>
            <w:tcW w:w="356" w:type="pct"/>
          </w:tcPr>
          <w:p w14:paraId="72D527C6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7BECDE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20C7F75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MVX score, quartile</w:t>
            </w:r>
          </w:p>
        </w:tc>
        <w:tc>
          <w:tcPr>
            <w:tcW w:w="667" w:type="pct"/>
            <w:vAlign w:val="center"/>
          </w:tcPr>
          <w:p w14:paraId="3269952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1" w:type="pct"/>
          </w:tcPr>
          <w:p w14:paraId="178D033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  <w:vAlign w:val="center"/>
          </w:tcPr>
          <w:p w14:paraId="17C1385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9" w:type="pct"/>
          </w:tcPr>
          <w:p w14:paraId="6A9B0F8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59AFE1D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6" w:type="pct"/>
          </w:tcPr>
          <w:p w14:paraId="4B78FF7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3B4CA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0BB2A4D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Q1</w:t>
            </w:r>
          </w:p>
        </w:tc>
        <w:tc>
          <w:tcPr>
            <w:tcW w:w="667" w:type="pct"/>
            <w:vAlign w:val="center"/>
          </w:tcPr>
          <w:p w14:paraId="5F69761C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401" w:type="pct"/>
          </w:tcPr>
          <w:p w14:paraId="6BE4F30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  <w:vAlign w:val="center"/>
          </w:tcPr>
          <w:p w14:paraId="494B373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99" w:type="pct"/>
          </w:tcPr>
          <w:p w14:paraId="6593234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58BC7DB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1.0 </w:t>
            </w:r>
          </w:p>
        </w:tc>
        <w:tc>
          <w:tcPr>
            <w:tcW w:w="356" w:type="pct"/>
          </w:tcPr>
          <w:p w14:paraId="5230583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D0B1A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34A9E9A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Q2</w:t>
            </w:r>
          </w:p>
        </w:tc>
        <w:tc>
          <w:tcPr>
            <w:tcW w:w="667" w:type="pct"/>
            <w:vAlign w:val="center"/>
          </w:tcPr>
          <w:p w14:paraId="757480C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1.08 (1.01, 1.16) </w:t>
            </w:r>
          </w:p>
        </w:tc>
        <w:tc>
          <w:tcPr>
            <w:tcW w:w="401" w:type="pct"/>
          </w:tcPr>
          <w:p w14:paraId="117C5FF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0.034</w:t>
            </w:r>
          </w:p>
        </w:tc>
        <w:tc>
          <w:tcPr>
            <w:tcW w:w="667" w:type="pct"/>
            <w:vAlign w:val="center"/>
          </w:tcPr>
          <w:p w14:paraId="6B79E69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1.32 (1.23, 1.42) </w:t>
            </w:r>
          </w:p>
        </w:tc>
        <w:tc>
          <w:tcPr>
            <w:tcW w:w="399" w:type="pct"/>
          </w:tcPr>
          <w:p w14:paraId="3E8FE54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117" w:type="pct"/>
            <w:vAlign w:val="center"/>
          </w:tcPr>
          <w:p w14:paraId="315AC3A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1.11 (1.04, 1.20) </w:t>
            </w:r>
          </w:p>
        </w:tc>
        <w:tc>
          <w:tcPr>
            <w:tcW w:w="356" w:type="pct"/>
          </w:tcPr>
          <w:p w14:paraId="0210E41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0.004</w:t>
            </w:r>
          </w:p>
        </w:tc>
      </w:tr>
      <w:tr w14:paraId="63E2AA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15FAE26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Q3</w:t>
            </w:r>
          </w:p>
        </w:tc>
        <w:tc>
          <w:tcPr>
            <w:tcW w:w="667" w:type="pct"/>
            <w:vAlign w:val="center"/>
          </w:tcPr>
          <w:p w14:paraId="54CBB100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1.11 (1.03, 1.19) </w:t>
            </w:r>
          </w:p>
        </w:tc>
        <w:tc>
          <w:tcPr>
            <w:tcW w:w="401" w:type="pct"/>
          </w:tcPr>
          <w:p w14:paraId="2552405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0.004</w:t>
            </w:r>
          </w:p>
        </w:tc>
        <w:tc>
          <w:tcPr>
            <w:tcW w:w="667" w:type="pct"/>
            <w:vAlign w:val="center"/>
          </w:tcPr>
          <w:p w14:paraId="5F7A2BC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1.63 (1.51, 1.76) </w:t>
            </w:r>
          </w:p>
        </w:tc>
        <w:tc>
          <w:tcPr>
            <w:tcW w:w="399" w:type="pct"/>
          </w:tcPr>
          <w:p w14:paraId="6CEF698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117" w:type="pct"/>
            <w:vAlign w:val="center"/>
          </w:tcPr>
          <w:p w14:paraId="37AF7AB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1.26 (1.16, 1.36)  </w:t>
            </w:r>
          </w:p>
        </w:tc>
        <w:tc>
          <w:tcPr>
            <w:tcW w:w="356" w:type="pct"/>
          </w:tcPr>
          <w:p w14:paraId="62048EA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7366B7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383EA77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 Q4</w:t>
            </w:r>
          </w:p>
        </w:tc>
        <w:tc>
          <w:tcPr>
            <w:tcW w:w="667" w:type="pct"/>
            <w:vAlign w:val="center"/>
          </w:tcPr>
          <w:p w14:paraId="56AADF6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1.56 (1.46, 1.67) </w:t>
            </w:r>
          </w:p>
        </w:tc>
        <w:tc>
          <w:tcPr>
            <w:tcW w:w="401" w:type="pct"/>
          </w:tcPr>
          <w:p w14:paraId="7449A9EA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667" w:type="pct"/>
            <w:vAlign w:val="center"/>
          </w:tcPr>
          <w:p w14:paraId="49086FFE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2.38 (2.21, 2.57) </w:t>
            </w:r>
          </w:p>
        </w:tc>
        <w:tc>
          <w:tcPr>
            <w:tcW w:w="399" w:type="pct"/>
          </w:tcPr>
          <w:p w14:paraId="63BD320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117" w:type="pct"/>
            <w:vAlign w:val="center"/>
          </w:tcPr>
          <w:p w14:paraId="6C34E658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1.53 (1.42, 1.66)  </w:t>
            </w:r>
          </w:p>
        </w:tc>
        <w:tc>
          <w:tcPr>
            <w:tcW w:w="356" w:type="pct"/>
          </w:tcPr>
          <w:p w14:paraId="4475B9D3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635153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07" w:type="pct"/>
            <w:vAlign w:val="center"/>
          </w:tcPr>
          <w:p w14:paraId="673F972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 for trend</w:t>
            </w:r>
          </w:p>
        </w:tc>
        <w:tc>
          <w:tcPr>
            <w:tcW w:w="667" w:type="pct"/>
          </w:tcPr>
          <w:p w14:paraId="0D969FAB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401" w:type="pct"/>
          </w:tcPr>
          <w:p w14:paraId="66781732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7" w:type="pct"/>
          </w:tcPr>
          <w:p w14:paraId="281EBC39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399" w:type="pct"/>
          </w:tcPr>
          <w:p w14:paraId="3E278F21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7" w:type="pct"/>
          </w:tcPr>
          <w:p w14:paraId="0EAAB637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356" w:type="pct"/>
          </w:tcPr>
          <w:p w14:paraId="461D0B8F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 w14:paraId="4E70A2FB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bookmarkStart w:id="2" w:name="_Hlk196342857"/>
      <w:r>
        <w:rPr>
          <w:rFonts w:ascii="Times New Roman" w:hAnsi="Times New Roman" w:cs="Times New Roman"/>
          <w:sz w:val="21"/>
          <w:szCs w:val="21"/>
        </w:rPr>
        <w:t>Abbreviations:</w:t>
      </w:r>
      <w:r>
        <w:rPr>
          <w:rFonts w:hint="eastAsia" w:ascii="Times New Roman" w:hAnsi="Times New Roman" w:cs="Times New Roman"/>
          <w:sz w:val="21"/>
          <w:szCs w:val="21"/>
        </w:rPr>
        <w:t xml:space="preserve"> SD, standard deviation; HR, hazard ratio; CI, confidence interval; </w:t>
      </w:r>
      <w:r>
        <w:rPr>
          <w:rFonts w:ascii="Times New Roman" w:hAnsi="Times New Roman" w:cs="Times New Roman"/>
          <w:sz w:val="21"/>
          <w:szCs w:val="21"/>
        </w:rPr>
        <w:t>MVX, metabolic vulnerability index.</w:t>
      </w:r>
      <w:r>
        <w:rPr>
          <w:rFonts w:hint="eastAsia" w:ascii="Times New Roman" w:hAnsi="Times New Roman" w:cs="Times New Roman"/>
          <w:sz w:val="21"/>
          <w:szCs w:val="21"/>
        </w:rPr>
        <w:t xml:space="preserve"> Multivariable-adjusted model was adjusted age, sex, t</w:t>
      </w:r>
      <w:r>
        <w:rPr>
          <w:rFonts w:ascii="Times New Roman" w:hAnsi="Times New Roman" w:cs="Times New Roman"/>
          <w:sz w:val="21"/>
          <w:szCs w:val="21"/>
        </w:rPr>
        <w:t xml:space="preserve">ownsend deprivation index, </w:t>
      </w:r>
      <w:r>
        <w:rPr>
          <w:rFonts w:hint="eastAsia"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thnicity, </w:t>
      </w:r>
      <w:r>
        <w:rPr>
          <w:rFonts w:hint="eastAsia"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ducational level, </w:t>
      </w:r>
      <w:r>
        <w:rPr>
          <w:rFonts w:hint="eastAsia"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ody mass index, </w:t>
      </w:r>
      <w:r>
        <w:rPr>
          <w:rFonts w:hint="eastAsia"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moking status, </w:t>
      </w:r>
      <w:r>
        <w:rPr>
          <w:rFonts w:hint="eastAsia"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lcohol drinking, </w:t>
      </w:r>
      <w:r>
        <w:rPr>
          <w:rFonts w:hint="eastAsia"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amily history of chronic lung disease,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2.5-10</w:t>
      </w:r>
      <w:r>
        <w:rPr>
          <w:rFonts w:ascii="Times New Roman" w:hAnsi="Times New Roman" w:cs="Times New Roman"/>
          <w:sz w:val="21"/>
          <w:szCs w:val="21"/>
        </w:rPr>
        <w:t>, and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hint="eastAsia" w:ascii="Times New Roman" w:hAnsi="Times New Roman" w:cs="Times New Roman"/>
          <w:sz w:val="21"/>
          <w:szCs w:val="21"/>
        </w:rPr>
        <w:t>.</w:t>
      </w:r>
    </w:p>
    <w:bookmarkEnd w:id="2"/>
    <w:p w14:paraId="1395C9FE">
      <w:pPr>
        <w:spacing w:before="100" w:beforeAutospacing="1" w:after="0" w:line="276" w:lineRule="auto"/>
        <w:rPr>
          <w:rFonts w:hint="eastAsia"/>
        </w:rPr>
      </w:pPr>
    </w:p>
    <w:p w14:paraId="5EEB9327">
      <w:pPr>
        <w:spacing w:before="100" w:beforeAutospacing="1" w:after="0" w:line="276" w:lineRule="auto"/>
      </w:pPr>
    </w:p>
    <w:p w14:paraId="24730006">
      <w:pPr>
        <w:spacing w:before="100" w:beforeAutospacing="1" w:after="0" w:line="276" w:lineRule="auto"/>
      </w:pPr>
    </w:p>
    <w:p w14:paraId="54C9BB0B">
      <w:pPr>
        <w:spacing w:before="100" w:beforeAutospacing="1" w:after="0" w:line="276" w:lineRule="auto"/>
      </w:pPr>
    </w:p>
    <w:p w14:paraId="1B53A9B6">
      <w:pPr>
        <w:spacing w:before="100" w:beforeAutospacing="1" w:after="0" w:line="276" w:lineRule="auto"/>
      </w:pPr>
    </w:p>
    <w:p w14:paraId="3A161C3B">
      <w:pPr>
        <w:spacing w:before="100" w:beforeAutospacing="1" w:after="0" w:line="276" w:lineRule="auto"/>
      </w:pPr>
    </w:p>
    <w:p w14:paraId="7D718AA6">
      <w:pPr>
        <w:spacing w:before="100" w:beforeAutospacing="1" w:after="0" w:line="276" w:lineRule="auto"/>
      </w:pPr>
    </w:p>
    <w:p w14:paraId="5D2192DF">
      <w:pPr>
        <w:spacing w:before="100" w:beforeAutospacing="1" w:after="0" w:line="276" w:lineRule="auto"/>
      </w:pPr>
    </w:p>
    <w:p w14:paraId="2F876F60">
      <w:pPr>
        <w:spacing w:before="100" w:beforeAutospacing="1" w:after="0" w:line="276" w:lineRule="auto"/>
      </w:pPr>
    </w:p>
    <w:p w14:paraId="1EC26B35">
      <w:pPr>
        <w:spacing w:before="100" w:beforeAutospacing="1" w:after="0" w:line="276" w:lineRule="auto"/>
      </w:pPr>
    </w:p>
    <w:p w14:paraId="25FA06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hint="eastAsia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 xml:space="preserve">Supplementary Table S4.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 xml:space="preserve">Associations of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>k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 xml:space="preserve">ey MVI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 xml:space="preserve">omponents with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 xml:space="preserve">ung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>f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>unction and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 xml:space="preserve"> C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 xml:space="preserve">OPD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>isk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 xml:space="preserve"> i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 xml:space="preserve">dentified by LASSO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</w:rPr>
        <w:t>egression</w:t>
      </w:r>
      <w:r>
        <w:rPr>
          <w:rFonts w:hint="eastAsia" w:ascii="Times New Roman" w:hAnsi="Times New Roman" w:eastAsia="Helvetica" w:cs="Times New Roman"/>
          <w:i w:val="0"/>
          <w:iCs w:val="0"/>
          <w:caps w:val="0"/>
          <w:color w:val="222222"/>
          <w:spacing w:val="2"/>
          <w:sz w:val="21"/>
          <w:szCs w:val="21"/>
          <w:lang w:val="en-US" w:eastAsia="zh-CN"/>
        </w:rPr>
        <w:t xml:space="preserve"> </w:t>
      </w:r>
    </w:p>
    <w:tbl>
      <w:tblPr>
        <w:tblStyle w:val="16"/>
        <w:tblW w:w="499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3161"/>
        <w:gridCol w:w="3161"/>
        <w:gridCol w:w="3205"/>
      </w:tblGrid>
      <w:tr w14:paraId="4FD2B5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shd w:val="clear" w:color="auto" w:fill="auto"/>
            <w:vAlign w:val="center"/>
          </w:tcPr>
          <w:p w14:paraId="57E7A5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5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C9C38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Risk of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COPD </w:t>
            </w:r>
          </w:p>
        </w:tc>
        <w:tc>
          <w:tcPr>
            <w:tcW w:w="1115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0CC850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FVC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, mL</w:t>
            </w:r>
          </w:p>
        </w:tc>
        <w:tc>
          <w:tcPr>
            <w:tcW w:w="1130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080FF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FEV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bscript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, mL</w:t>
            </w:r>
          </w:p>
        </w:tc>
      </w:tr>
      <w:tr w14:paraId="6CA2DF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FDF36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5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3C25C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Coefficients 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115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644F72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Coefficients 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13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7C0066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Coefficients 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14:paraId="16D153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D5A6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sHDL, μmol/L</w:t>
            </w:r>
          </w:p>
        </w:tc>
        <w:tc>
          <w:tcPr>
            <w:tcW w:w="111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04BADB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-0.0603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1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E590BC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4.85621</w:t>
            </w:r>
          </w:p>
        </w:tc>
        <w:tc>
          <w:tcPr>
            <w:tcW w:w="113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970D65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5.347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800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6DFA17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shd w:val="clear" w:color="auto" w:fill="auto"/>
            <w:vAlign w:val="center"/>
          </w:tcPr>
          <w:p w14:paraId="16FEB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GlycA, μmol/L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0316A28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0.0060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2054D4B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-1.80794 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02543F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-1.5588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4E2E8F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shd w:val="clear" w:color="auto" w:fill="auto"/>
            <w:vAlign w:val="center"/>
          </w:tcPr>
          <w:p w14:paraId="02D57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Isoleucine, μmol/L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412A8D6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0.002262 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2859B9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-0.69756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56F7CFC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-0.55173 </w:t>
            </w:r>
          </w:p>
        </w:tc>
      </w:tr>
      <w:tr w14:paraId="264180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shd w:val="clear" w:color="auto" w:fill="auto"/>
            <w:vAlign w:val="center"/>
          </w:tcPr>
          <w:p w14:paraId="773A6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Leucine, μmol/L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0A6EE6B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0.00217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352F0DC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0.9788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1DEC49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0.6056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7D42CC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shd w:val="clear" w:color="auto" w:fill="auto"/>
            <w:vAlign w:val="center"/>
          </w:tcPr>
          <w:p w14:paraId="515FF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Valine, μmol/L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43D406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-0.0063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4C51262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B77E3A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0.27628 </w:t>
            </w:r>
          </w:p>
        </w:tc>
      </w:tr>
      <w:tr w14:paraId="691994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pct"/>
            <w:shd w:val="clear" w:color="auto" w:fill="auto"/>
            <w:vAlign w:val="center"/>
          </w:tcPr>
          <w:p w14:paraId="4ADC7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leftChars="0" w:right="0" w:rightChars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Citrate, μmol/L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47FBA0F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-0.00630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3627D3B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2.75233 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0ECFF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2.23000 </w:t>
            </w:r>
          </w:p>
        </w:tc>
      </w:tr>
    </w:tbl>
    <w:p w14:paraId="7143F8E5">
      <w:pPr>
        <w:keepNext w:val="0"/>
        <w:keepLines w:val="0"/>
        <w:widowControl/>
        <w:suppressLineNumbers w:val="0"/>
        <w:spacing w:before="0" w:beforeAutospacing="0" w:after="0" w:afterAutospacing="0" w:line="276" w:lineRule="auto"/>
        <w:ind w:left="0" w:leftChars="0" w:right="0" w:rightChars="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 coefficient of zero indicates the variable was excluded from the model for that specific outcome</w:t>
      </w:r>
    </w:p>
    <w:p w14:paraId="097EAD00">
      <w:pPr>
        <w:spacing w:before="100" w:beforeAutospacing="1" w:after="0" w:line="276" w:lineRule="auto"/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</w:pPr>
    </w:p>
    <w:p w14:paraId="571DE864">
      <w:pPr>
        <w:spacing w:before="100" w:beforeAutospacing="1" w:after="0" w:line="276" w:lineRule="auto"/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</w:pPr>
    </w:p>
    <w:p w14:paraId="24B409A9">
      <w:pPr>
        <w:spacing w:before="100" w:beforeAutospacing="1" w:after="0" w:line="276" w:lineRule="auto"/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</w:pPr>
    </w:p>
    <w:p w14:paraId="2FA79625">
      <w:pPr>
        <w:spacing w:before="100" w:beforeAutospacing="1" w:after="0" w:line="276" w:lineRule="auto"/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</w:pPr>
    </w:p>
    <w:p w14:paraId="48B07C02">
      <w:pPr>
        <w:spacing w:before="100" w:beforeAutospacing="1" w:after="0" w:line="276" w:lineRule="auto"/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</w:pPr>
    </w:p>
    <w:p w14:paraId="68DC0D76">
      <w:pPr>
        <w:spacing w:before="100" w:beforeAutospacing="1" w:after="0"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Supplementary </w:t>
      </w:r>
      <w:r>
        <w:rPr>
          <w:rFonts w:hint="eastAsia" w:ascii="Times New Roman" w:hAnsi="Times New Roman" w:cs="Times New Roman"/>
          <w:sz w:val="21"/>
          <w:szCs w:val="21"/>
        </w:rPr>
        <w:t>Table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cs="Times New Roman"/>
          <w:sz w:val="21"/>
          <w:szCs w:val="21"/>
        </w:rPr>
        <w:t xml:space="preserve">. Subgroup analyses on association between </w:t>
      </w:r>
      <w:r>
        <w:rPr>
          <w:rFonts w:ascii="Times New Roman" w:hAnsi="Times New Roman" w:cs="Times New Roman"/>
          <w:sz w:val="21"/>
          <w:szCs w:val="21"/>
        </w:rPr>
        <w:t>metabolic vulnerability index</w:t>
      </w:r>
      <w:r>
        <w:rPr>
          <w:rFonts w:hint="eastAsia" w:ascii="Times New Roman" w:hAnsi="Times New Roman" w:cs="Times New Roman"/>
          <w:sz w:val="21"/>
          <w:szCs w:val="21"/>
        </w:rPr>
        <w:t xml:space="preserve"> and risk of FVC</w:t>
      </w:r>
    </w:p>
    <w:tbl>
      <w:tblPr>
        <w:tblStyle w:val="1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2602"/>
        <w:gridCol w:w="1163"/>
        <w:gridCol w:w="2246"/>
        <w:gridCol w:w="2456"/>
        <w:gridCol w:w="2456"/>
      </w:tblGrid>
      <w:tr w14:paraId="301E03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Merge w:val="restart"/>
            <w:vAlign w:val="center"/>
          </w:tcPr>
          <w:p w14:paraId="0C140A34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Subgroup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8184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83E858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MVX score</w:t>
            </w:r>
          </w:p>
        </w:tc>
      </w:tr>
      <w:tr w14:paraId="4F7738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Merge w:val="continue"/>
            <w:vAlign w:val="center"/>
          </w:tcPr>
          <w:p w14:paraId="0A7009A5">
            <w:pPr>
              <w:keepNext w:val="0"/>
              <w:keepLines w:val="0"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2EAC6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4998EE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Q1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20B8AA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7FD23F7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FD9B78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Q4</w:t>
            </w:r>
          </w:p>
        </w:tc>
      </w:tr>
      <w:tr w14:paraId="0817EF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Merge w:val="continue"/>
            <w:tcBorders>
              <w:bottom w:val="single" w:color="auto" w:sz="12" w:space="0"/>
            </w:tcBorders>
            <w:vAlign w:val="center"/>
          </w:tcPr>
          <w:p w14:paraId="4965C5C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0627A9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D064F1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 (95% CI)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614394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40E7686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 (95% CI)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89C6BE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(95% CI)</w:t>
            </w:r>
          </w:p>
        </w:tc>
      </w:tr>
      <w:tr w14:paraId="18F993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tcBorders>
              <w:top w:val="single" w:color="auto" w:sz="12" w:space="0"/>
              <w:bottom w:val="nil"/>
            </w:tcBorders>
            <w:vAlign w:val="center"/>
          </w:tcPr>
          <w:p w14:paraId="78034CA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399176B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&lt;60 years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3801234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1EB2146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-85.99 (-97.26, -74.72) 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30C4E50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-123.95 (-136.22, -111.68) 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0C93B0F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-172.74 (-185.86, -159.62) </w:t>
            </w:r>
          </w:p>
        </w:tc>
      </w:tr>
      <w:tr w14:paraId="7E6D06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tcBorders>
              <w:top w:val="nil"/>
            </w:tcBorders>
            <w:vAlign w:val="center"/>
          </w:tcPr>
          <w:p w14:paraId="660303A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98F36A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≥60 years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CBF12C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941569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-59.53 (-70.06, -49.00)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AA4561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-89.15 (-100.80, -77.51)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D88A69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-129.35 (-141.59, -117.10) </w:t>
            </w:r>
          </w:p>
        </w:tc>
      </w:tr>
      <w:tr w14:paraId="53C9F1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tcBorders>
              <w:top w:val="nil"/>
            </w:tcBorders>
            <w:vAlign w:val="center"/>
          </w:tcPr>
          <w:p w14:paraId="55FC5FA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DED788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A35D97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EE47ED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-90.72 (-103.34, -78.11)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EE2414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-152.66 (-169.02, -136.30)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8EE94A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-196.53 (-216.80, -176.26) </w:t>
            </w:r>
          </w:p>
        </w:tc>
      </w:tr>
      <w:tr w14:paraId="1F251C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tcBorders>
              <w:top w:val="nil"/>
            </w:tcBorders>
            <w:vAlign w:val="center"/>
          </w:tcPr>
          <w:p w14:paraId="1860A34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E6499F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4732A9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134B8F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-31.07 (-47.78, -14.37)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EA9CA9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-59.19 (-75.28, -43.10)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2CD759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-124.40 (-140.56, -108.24)</w:t>
            </w:r>
          </w:p>
        </w:tc>
      </w:tr>
      <w:tr w14:paraId="22F7A9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5384186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Townsend deprivation index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F213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916EC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5419A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-64.04 (-76.65, -51.43)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895B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-89.53 (-103.51, -75.56)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5B32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-114.00 (-128.95, -99.05) </w:t>
            </w:r>
          </w:p>
        </w:tc>
      </w:tr>
      <w:tr w14:paraId="122760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04128C3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35340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A1A9B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85D5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-67.22 (-80.12, -54.32)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0E11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-92.08 (-106.14, -78.01)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8022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-136.43 (-151.34, -121.52) </w:t>
            </w:r>
          </w:p>
        </w:tc>
      </w:tr>
      <w:tr w14:paraId="33AFDC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77C79FB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C0CD6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447A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CAC2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-81.15 (-94.60, -67.69)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524B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-115.75 (-130.41, -101.09)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8E647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-155.61 (-170.97, -140.25) </w:t>
            </w:r>
          </w:p>
        </w:tc>
      </w:tr>
      <w:tr w14:paraId="5C6ED7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1384E26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Educational level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D983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College or university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degree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36E54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621E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-71.11 (-80.42, -61.80)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0016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-103.05 (-113.15, -92.95)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52756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-143.73 (-154.28, -133.19) </w:t>
            </w:r>
          </w:p>
        </w:tc>
      </w:tr>
      <w:tr w14:paraId="34376C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3C44665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601FF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9C4F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5CE2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-68.56 (-81.29, -55.84)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1D41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-93.86 (-108.09, -79.63)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2DD1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-127.00 (-142.58, -111.41) </w:t>
            </w:r>
          </w:p>
        </w:tc>
      </w:tr>
      <w:tr w14:paraId="58FF3B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47956C2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Body mass index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2109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&lt;25 kg/m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CE16F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30EC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-74.80 (-87.58, -62.01)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B432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-101.56 (-115.49, -87.62)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C456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-149.38 (-164.37, -134.40) </w:t>
            </w:r>
          </w:p>
        </w:tc>
      </w:tr>
      <w:tr w14:paraId="78FEAC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4A135C4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8D7D5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≥25 kg/m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EF89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39FB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-71.12 (-80.47, -61.78)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3B1D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-107.31 (-117.55, -97.07)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A1D9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-151.17 (-161.86, -140.48) </w:t>
            </w:r>
          </w:p>
        </w:tc>
      </w:tr>
      <w:tr w14:paraId="52E14B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2DF540E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Smoking status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7123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277A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62DD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-59.73 (-69.91, -49.56)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B8A26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-81.18 (-92.36, -69.99)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C71A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-118.70 (-130.55, -106.84) </w:t>
            </w:r>
          </w:p>
        </w:tc>
      </w:tr>
      <w:tr w14:paraId="550D18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6AFE74D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1903B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Past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F31BA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7D4A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-78.82 (-90.98, -66.66)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579A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-111.30 (-124.65, -97.94)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9195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-142.83 (-156.97, -128.68) </w:t>
            </w:r>
          </w:p>
        </w:tc>
      </w:tr>
      <w:tr w14:paraId="606C9A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4874C06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7F80F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Current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B36EA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A9F19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-72.72 (-99.03, -46.41)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5E24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-124.89 (-153.14, -96.64)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7A9D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-172.54 (-202.05, -143.02) </w:t>
            </w:r>
          </w:p>
        </w:tc>
      </w:tr>
      <w:tr w14:paraId="3CF338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783A0D3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Alcohol drinking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41CE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1DE4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8355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-29.54 (-81.56, 22.49)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3EAC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>-66.44 (-122.12, -10.76)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2C4C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-93.67 (-150.06, -37.29) </w:t>
            </w:r>
          </w:p>
        </w:tc>
      </w:tr>
      <w:tr w14:paraId="1C1DD2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075E7AC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DD4A8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Past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2F2F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800EC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>-74.13 (-120.55, -27.72)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2C2D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-81.04 (-134.06, -28.03)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B9FCA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-139.54 (-194.24, -84.85) </w:t>
            </w:r>
          </w:p>
        </w:tc>
      </w:tr>
      <w:tr w14:paraId="0F8A77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40F7A27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11337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Current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042A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AE76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-72.13 (-79.81, -64.44)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D0EC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-101.33 (-109.75, -92.90)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BA08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-137.39 (-146.34, -128.44) </w:t>
            </w:r>
          </w:p>
        </w:tc>
      </w:tr>
      <w:tr w14:paraId="460655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15356F8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Family history of chronic </w:t>
            </w:r>
          </w:p>
          <w:p w14:paraId="3C9ADFA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lung disease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25602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ADC6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6233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-72.55 (-80.65, -64.46)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135D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-99.33 (-108.23, -90.43)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A680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-134.50 (-143.96, -125.03) </w:t>
            </w:r>
          </w:p>
        </w:tc>
      </w:tr>
      <w:tr w14:paraId="6AD3C1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3B5D1C3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F897A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C578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6D5C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-63.04 (-82.97, -43.11)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44C15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-101.69 (-123.10, -80.27)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9CBF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-141.85 (-164.04, -119.66) </w:t>
            </w:r>
          </w:p>
        </w:tc>
      </w:tr>
      <w:tr w14:paraId="1AF530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35F718A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784E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965F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9248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-70.83 (-81.25, -60.42)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ABEE1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-99.13 (-110.56, -87.71)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9E36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-130.21 (-142.40, -118.01) </w:t>
            </w:r>
          </w:p>
        </w:tc>
      </w:tr>
      <w:tr w14:paraId="499272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3325960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542DB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79A3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45EB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-71.18 (-81.96, -60.40)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025C7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-99.57 (-111.38, -87.76)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0F2E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-139.94 (-152.36, -127.53) </w:t>
            </w:r>
          </w:p>
        </w:tc>
      </w:tr>
      <w:tr w14:paraId="5AD34E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5C4319E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3CFE3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8CA6B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4FDD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-70.04 (-80.46, -59.62)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EA295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-95.63 (-107.08, -84.18)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41F14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-125.59 (-137.78, -113.41) </w:t>
            </w:r>
          </w:p>
        </w:tc>
      </w:tr>
      <w:tr w14:paraId="77AF7E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1FA1A2F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7EEB3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EAE8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892DD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-72.07 (-82.85, -61.29)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B0FDB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-102.99 (-114.77, -91.21)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2BA3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-144.31 (-156.74, -131.88) </w:t>
            </w:r>
          </w:p>
        </w:tc>
      </w:tr>
      <w:tr w14:paraId="525CF0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5AA7307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C1F8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DF8BE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08371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-71.05 (-81.48, -60.62)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5B94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-97.59 (-109.05, -86.13)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11CFC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-128.14 (-140.36, -115.91) </w:t>
            </w:r>
          </w:p>
        </w:tc>
      </w:tr>
      <w:tr w14:paraId="1F63E7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7ECA101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784F9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02429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10C0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-71.01 (-81.78, -60.25)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6F70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-101.13 (-112.90, -89.35)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EBD6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-142.12 (-154.50, -129.73) </w:t>
            </w:r>
          </w:p>
        </w:tc>
      </w:tr>
      <w:tr w14:paraId="0EEEF4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7F4C862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0EB8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912B7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C684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-73.51 (-84.12, -62.90)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8C6D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-99.50 (-111.14, -87.85)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1845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-135.82 (-148.18, -123.46) </w:t>
            </w:r>
          </w:p>
        </w:tc>
      </w:tr>
      <w:tr w14:paraId="4CD2D6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16CD6E1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1610B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72B57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9154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-69.01 (-79.60, -58.42)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28E0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-99.68 (-111.27, -88.09)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0023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-135.13 (-147.39, -122.87) </w:t>
            </w:r>
          </w:p>
        </w:tc>
      </w:tr>
      <w:tr w14:paraId="14EBDD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6F759A5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2.5-10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1857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6CF9B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B5607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-73.64 (-84.32, -62.95)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26D8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-102.68 (-114.41, -90.96)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6FB12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-136.56 (-148.99, -124.14) </w:t>
            </w:r>
          </w:p>
        </w:tc>
      </w:tr>
      <w:tr w14:paraId="1504A1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0" w:type="auto"/>
            <w:vAlign w:val="center"/>
          </w:tcPr>
          <w:p w14:paraId="2D4CF1C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8F7BD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7749A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0655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-69.24 (-79.76, -58.73)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4C181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-96.73 (-108.25, -85.22)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401C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-134.53 (-146.72, -122.34) </w:t>
            </w:r>
          </w:p>
        </w:tc>
      </w:tr>
    </w:tbl>
    <w:p w14:paraId="2096281A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Abbreviations: </w:t>
      </w:r>
      <w:r>
        <w:rPr>
          <w:rFonts w:hint="eastAsia" w:ascii="Times New Roman" w:hAnsi="Times New Roman" w:cs="Times New Roman"/>
          <w:sz w:val="21"/>
          <w:szCs w:val="21"/>
        </w:rPr>
        <w:t xml:space="preserve">CI, confidence interval; </w:t>
      </w:r>
      <w:r>
        <w:rPr>
          <w:rFonts w:ascii="Times New Roman" w:hAnsi="Times New Roman" w:cs="Times New Roman"/>
          <w:sz w:val="21"/>
          <w:szCs w:val="21"/>
        </w:rPr>
        <w:t>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particulate matter with a diameter≤2.5 μm;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ascii="Times New Roman" w:hAnsi="Times New Roman" w:cs="Times New Roman"/>
          <w:sz w:val="21"/>
          <w:szCs w:val="21"/>
        </w:rPr>
        <w:t>, particulate matter with a diameter≤10 μm;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nitrogen dioxide; NO</w:t>
      </w:r>
      <w:r>
        <w:rPr>
          <w:rFonts w:hint="eastAsia"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>, nitrogen oxides; GlycA, Glycoprotein Acetyls; sHDL Particle Number of Small High-Density Lipoprotein; MVX, metabolic vulnerability index.</w:t>
      </w:r>
      <w:r>
        <w:rPr>
          <w:rFonts w:hint="eastAsia" w:ascii="Times New Roman" w:hAnsi="Times New Roman" w:cs="Times New Roman"/>
          <w:sz w:val="21"/>
          <w:szCs w:val="21"/>
        </w:rPr>
        <w:t xml:space="preserve"> Multivariable-adjusted model was adjusted age, sex, t</w:t>
      </w:r>
      <w:r>
        <w:rPr>
          <w:rFonts w:ascii="Times New Roman" w:hAnsi="Times New Roman" w:cs="Times New Roman"/>
          <w:sz w:val="21"/>
          <w:szCs w:val="21"/>
        </w:rPr>
        <w:t xml:space="preserve">ownsend deprivation index, </w:t>
      </w:r>
      <w:r>
        <w:rPr>
          <w:rFonts w:hint="eastAsia"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ducational level, </w:t>
      </w:r>
      <w:r>
        <w:rPr>
          <w:rFonts w:hint="eastAsia"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ody mass index, </w:t>
      </w:r>
      <w:r>
        <w:rPr>
          <w:rFonts w:hint="eastAsia"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moking status, </w:t>
      </w:r>
      <w:r>
        <w:rPr>
          <w:rFonts w:hint="eastAsia"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lcohol drinking, </w:t>
      </w:r>
      <w:r>
        <w:rPr>
          <w:rFonts w:hint="eastAsia"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amily history of chronic lung disease,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2.5-10</w:t>
      </w:r>
      <w:r>
        <w:rPr>
          <w:rFonts w:ascii="Times New Roman" w:hAnsi="Times New Roman" w:cs="Times New Roman"/>
          <w:sz w:val="21"/>
          <w:szCs w:val="21"/>
        </w:rPr>
        <w:t>, and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hint="eastAsia" w:ascii="Times New Roman" w:hAnsi="Times New Roman" w:cs="Times New Roman"/>
          <w:sz w:val="21"/>
          <w:szCs w:val="21"/>
        </w:rPr>
        <w:t>.</w:t>
      </w:r>
    </w:p>
    <w:p w14:paraId="350FD895">
      <w:pPr>
        <w:spacing w:before="100" w:beforeAutospacing="1" w:after="0" w:line="276" w:lineRule="auto"/>
        <w:rPr>
          <w:rFonts w:hint="eastAsia"/>
        </w:rPr>
      </w:pPr>
    </w:p>
    <w:p w14:paraId="7BA35EEA">
      <w:pPr>
        <w:spacing w:before="100" w:beforeAutospacing="1" w:after="0" w:line="276" w:lineRule="auto"/>
        <w:rPr>
          <w:rFonts w:hint="eastAsia"/>
        </w:rPr>
      </w:pPr>
    </w:p>
    <w:p w14:paraId="70D597B0">
      <w:pPr>
        <w:spacing w:before="100" w:beforeAutospacing="1" w:after="0" w:line="276" w:lineRule="auto"/>
        <w:rPr>
          <w:rFonts w:hint="eastAsia"/>
        </w:rPr>
      </w:pPr>
    </w:p>
    <w:p w14:paraId="6EBEF11A">
      <w:pPr>
        <w:spacing w:before="100" w:beforeAutospacing="1" w:after="0" w:line="276" w:lineRule="auto"/>
        <w:rPr>
          <w:rFonts w:ascii="Times New Roman" w:hAnsi="Times New Roman" w:cs="Times New Roman"/>
          <w:sz w:val="21"/>
          <w:szCs w:val="21"/>
          <w:vertAlign w:val="subscript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Supplementary </w:t>
      </w:r>
      <w:r>
        <w:rPr>
          <w:rFonts w:hint="eastAsia" w:ascii="Times New Roman" w:hAnsi="Times New Roman" w:cs="Times New Roman"/>
          <w:sz w:val="21"/>
          <w:szCs w:val="21"/>
        </w:rPr>
        <w:t>Table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6</w:t>
      </w:r>
      <w:r>
        <w:rPr>
          <w:rFonts w:hint="eastAsia" w:ascii="Times New Roman" w:hAnsi="Times New Roman" w:cs="Times New Roman"/>
          <w:sz w:val="21"/>
          <w:szCs w:val="21"/>
        </w:rPr>
        <w:t xml:space="preserve">. Subgroup analyses on association between </w:t>
      </w:r>
      <w:r>
        <w:rPr>
          <w:rFonts w:ascii="Times New Roman" w:hAnsi="Times New Roman" w:cs="Times New Roman"/>
          <w:sz w:val="21"/>
          <w:szCs w:val="21"/>
        </w:rPr>
        <w:t>metabolic vulnerability index</w:t>
      </w:r>
      <w:r>
        <w:rPr>
          <w:rFonts w:hint="eastAsia" w:ascii="Times New Roman" w:hAnsi="Times New Roman" w:cs="Times New Roman"/>
          <w:sz w:val="21"/>
          <w:szCs w:val="21"/>
        </w:rPr>
        <w:t xml:space="preserve"> and risk of FEV</w:t>
      </w:r>
      <w:r>
        <w:rPr>
          <w:rFonts w:hint="eastAsia" w:ascii="Times New Roman" w:hAnsi="Times New Roman" w:cs="Times New Roman"/>
          <w:sz w:val="21"/>
          <w:szCs w:val="21"/>
          <w:vertAlign w:val="subscript"/>
        </w:rPr>
        <w:t>1</w:t>
      </w:r>
    </w:p>
    <w:tbl>
      <w:tblPr>
        <w:tblStyle w:val="1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120"/>
        <w:gridCol w:w="1434"/>
        <w:gridCol w:w="2617"/>
        <w:gridCol w:w="2617"/>
        <w:gridCol w:w="2611"/>
      </w:tblGrid>
      <w:tr w14:paraId="7DF940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979" w:type="pct"/>
            <w:vMerge w:val="restart"/>
            <w:vAlign w:val="center"/>
          </w:tcPr>
          <w:p w14:paraId="79FF835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Subgroup 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5A5E63A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73" w:type="pct"/>
            <w:gridSpan w:val="4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64C738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MVX score</w:t>
            </w:r>
          </w:p>
        </w:tc>
      </w:tr>
      <w:tr w14:paraId="6E22C0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979" w:type="pct"/>
            <w:vMerge w:val="continue"/>
            <w:vAlign w:val="center"/>
          </w:tcPr>
          <w:p w14:paraId="5E1E51B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4C327D0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47F3465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Q1</w:t>
            </w:r>
          </w:p>
        </w:tc>
        <w:tc>
          <w:tcPr>
            <w:tcW w:w="92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ADD63E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Q2</w:t>
            </w:r>
          </w:p>
        </w:tc>
        <w:tc>
          <w:tcPr>
            <w:tcW w:w="92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7A4F2E0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Q3</w:t>
            </w:r>
          </w:p>
        </w:tc>
        <w:tc>
          <w:tcPr>
            <w:tcW w:w="92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4AA66FF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Q4</w:t>
            </w:r>
          </w:p>
        </w:tc>
      </w:tr>
      <w:tr w14:paraId="7B7296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979" w:type="pct"/>
            <w:vMerge w:val="continue"/>
            <w:tcBorders>
              <w:bottom w:val="single" w:color="auto" w:sz="12" w:space="0"/>
            </w:tcBorders>
            <w:vAlign w:val="center"/>
          </w:tcPr>
          <w:p w14:paraId="4631AAE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A77002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6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424E42B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 (95% CI)</w:t>
            </w:r>
          </w:p>
        </w:tc>
        <w:tc>
          <w:tcPr>
            <w:tcW w:w="92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4F616ED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(95% CI)</w:t>
            </w:r>
          </w:p>
        </w:tc>
        <w:tc>
          <w:tcPr>
            <w:tcW w:w="92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7E5450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 (95% CI)</w:t>
            </w:r>
          </w:p>
        </w:tc>
        <w:tc>
          <w:tcPr>
            <w:tcW w:w="92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19710F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(95% CI)</w:t>
            </w:r>
          </w:p>
        </w:tc>
      </w:tr>
      <w:tr w14:paraId="7B8B7C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979" w:type="pct"/>
            <w:tcBorders>
              <w:top w:val="single" w:color="auto" w:sz="12" w:space="0"/>
              <w:bottom w:val="nil"/>
            </w:tcBorders>
            <w:vAlign w:val="center"/>
          </w:tcPr>
          <w:p w14:paraId="3D55C51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748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2695417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&lt;60 years</w:t>
            </w:r>
          </w:p>
        </w:tc>
        <w:tc>
          <w:tcPr>
            <w:tcW w:w="506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46FC8C6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61A32B0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-113.89 (-127.66, -100.12) </w:t>
            </w:r>
          </w:p>
        </w:tc>
        <w:tc>
          <w:tcPr>
            <w:tcW w:w="923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4BB67CB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-158.85 (-173.83, -143.86) </w:t>
            </w:r>
          </w:p>
        </w:tc>
        <w:tc>
          <w:tcPr>
            <w:tcW w:w="921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32DA614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-215.30 (-231.33, -199.26) </w:t>
            </w:r>
          </w:p>
        </w:tc>
      </w:tr>
      <w:tr w14:paraId="2D0C12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tcBorders>
              <w:top w:val="nil"/>
            </w:tcBorders>
            <w:vAlign w:val="center"/>
          </w:tcPr>
          <w:p w14:paraId="3F10C82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tcBorders>
              <w:top w:val="nil"/>
            </w:tcBorders>
            <w:shd w:val="clear" w:color="auto" w:fill="auto"/>
            <w:vAlign w:val="center"/>
          </w:tcPr>
          <w:p w14:paraId="31414B2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≥60 years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vAlign w:val="center"/>
          </w:tcPr>
          <w:p w14:paraId="30EBF0C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tcBorders>
              <w:top w:val="nil"/>
            </w:tcBorders>
            <w:shd w:val="clear" w:color="auto" w:fill="auto"/>
            <w:vAlign w:val="center"/>
          </w:tcPr>
          <w:p w14:paraId="667FE5B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-82.18 (-95.01, -69.34) </w:t>
            </w:r>
          </w:p>
        </w:tc>
        <w:tc>
          <w:tcPr>
            <w:tcW w:w="923" w:type="pct"/>
            <w:tcBorders>
              <w:top w:val="nil"/>
            </w:tcBorders>
            <w:shd w:val="clear" w:color="auto" w:fill="auto"/>
            <w:vAlign w:val="center"/>
          </w:tcPr>
          <w:p w14:paraId="539B9F6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-115.01 (-129.21, -100.81) </w:t>
            </w:r>
          </w:p>
        </w:tc>
        <w:tc>
          <w:tcPr>
            <w:tcW w:w="921" w:type="pct"/>
            <w:tcBorders>
              <w:top w:val="nil"/>
            </w:tcBorders>
            <w:shd w:val="clear" w:color="auto" w:fill="auto"/>
            <w:vAlign w:val="center"/>
          </w:tcPr>
          <w:p w14:paraId="143E0B2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-166.98 (-181.91, -152.05) </w:t>
            </w:r>
          </w:p>
        </w:tc>
      </w:tr>
      <w:tr w14:paraId="349A12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tcBorders>
              <w:top w:val="nil"/>
            </w:tcBorders>
            <w:vAlign w:val="center"/>
          </w:tcPr>
          <w:p w14:paraId="6E23A17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748" w:type="pct"/>
            <w:tcBorders>
              <w:top w:val="nil"/>
            </w:tcBorders>
            <w:shd w:val="clear" w:color="auto" w:fill="auto"/>
            <w:vAlign w:val="center"/>
          </w:tcPr>
          <w:p w14:paraId="67F55A9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vAlign w:val="center"/>
          </w:tcPr>
          <w:p w14:paraId="4AA069E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tcBorders>
              <w:top w:val="nil"/>
            </w:tcBorders>
            <w:shd w:val="clear" w:color="auto" w:fill="auto"/>
            <w:vAlign w:val="center"/>
          </w:tcPr>
          <w:p w14:paraId="070ACA9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-67.41 (-77.71, -57.11)</w:t>
            </w:r>
          </w:p>
        </w:tc>
        <w:tc>
          <w:tcPr>
            <w:tcW w:w="923" w:type="pct"/>
            <w:tcBorders>
              <w:top w:val="nil"/>
            </w:tcBorders>
            <w:shd w:val="clear" w:color="auto" w:fill="auto"/>
            <w:vAlign w:val="center"/>
          </w:tcPr>
          <w:p w14:paraId="440A9AE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-116.42 (-129.78, -103.06)</w:t>
            </w:r>
          </w:p>
        </w:tc>
        <w:tc>
          <w:tcPr>
            <w:tcW w:w="921" w:type="pct"/>
            <w:tcBorders>
              <w:top w:val="nil"/>
            </w:tcBorders>
            <w:shd w:val="clear" w:color="auto" w:fill="auto"/>
            <w:vAlign w:val="center"/>
          </w:tcPr>
          <w:p w14:paraId="65E59BE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-152.68 (-169.23, -136.13)</w:t>
            </w:r>
          </w:p>
        </w:tc>
      </w:tr>
      <w:tr w14:paraId="275E3F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tcBorders>
              <w:top w:val="nil"/>
            </w:tcBorders>
            <w:vAlign w:val="center"/>
          </w:tcPr>
          <w:p w14:paraId="1D249B7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tcBorders>
              <w:top w:val="nil"/>
            </w:tcBorders>
            <w:shd w:val="clear" w:color="auto" w:fill="auto"/>
            <w:vAlign w:val="center"/>
          </w:tcPr>
          <w:p w14:paraId="206D7C2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vAlign w:val="center"/>
          </w:tcPr>
          <w:p w14:paraId="2341908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tcBorders>
              <w:top w:val="nil"/>
            </w:tcBorders>
            <w:shd w:val="clear" w:color="auto" w:fill="auto"/>
            <w:vAlign w:val="center"/>
          </w:tcPr>
          <w:p w14:paraId="255378F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-25.58 (-39.11, -12.06)</w:t>
            </w:r>
          </w:p>
        </w:tc>
        <w:tc>
          <w:tcPr>
            <w:tcW w:w="923" w:type="pct"/>
            <w:tcBorders>
              <w:top w:val="nil"/>
            </w:tcBorders>
            <w:shd w:val="clear" w:color="auto" w:fill="auto"/>
            <w:vAlign w:val="center"/>
          </w:tcPr>
          <w:p w14:paraId="0E55873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-50.97 (-64.00, -37.95)</w:t>
            </w:r>
          </w:p>
        </w:tc>
        <w:tc>
          <w:tcPr>
            <w:tcW w:w="921" w:type="pct"/>
            <w:tcBorders>
              <w:top w:val="nil"/>
            </w:tcBorders>
            <w:shd w:val="clear" w:color="auto" w:fill="auto"/>
            <w:vAlign w:val="center"/>
          </w:tcPr>
          <w:p w14:paraId="0230DB6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-101.81 (-114.89, -88.73) </w:t>
            </w:r>
          </w:p>
        </w:tc>
      </w:tr>
      <w:tr w14:paraId="0A04FB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4CAA688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Townsend deprivation index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431F88C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BCDF9A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17EF559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-87.40 (-103.00, -71.80)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3B30DC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-120.97 (-138.27, -103.67)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72413D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-155.96 (-174.46, -137.46) </w:t>
            </w:r>
          </w:p>
        </w:tc>
      </w:tr>
      <w:tr w14:paraId="02497A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0D7E984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7C44210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Medium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5CB4F17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4A1860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-95.06 (-110.98, -79.13)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3A096A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-121.34 (-138.70, -103.98)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2C0A77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-174.90 (-193.31, -156.49) </w:t>
            </w:r>
          </w:p>
        </w:tc>
      </w:tr>
      <w:tr w14:paraId="16E16E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5E3BF13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57E2F96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3985F72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3684A4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-104.87 (-121.21, -88.54)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32F6198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-144.40 (-162.20, -126.61)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63D149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-193.13 (-211.78, -174.48) </w:t>
            </w:r>
          </w:p>
        </w:tc>
      </w:tr>
      <w:tr w14:paraId="6E4FA4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13B4EE4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Educational level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7A12FA7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College or university</w:t>
            </w:r>
          </w:p>
          <w:p w14:paraId="6158C3A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degree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557668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50599C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-93.66 (-105.08, -82.24)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2E9DC8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-130.69 (-143.08, -118.31)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0BE3AC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-181.74 (-194.67, -168.81) </w:t>
            </w:r>
          </w:p>
        </w:tc>
      </w:tr>
      <w:tr w14:paraId="6E918B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1E81E16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00715F9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186D73C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39FF9B8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-97.43 (-113.11, -81.75)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1DFE16D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-127.64 (-145.18, -110.10)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7BE3BD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-169.47 (-188.67, -150.26) </w:t>
            </w:r>
          </w:p>
        </w:tc>
      </w:tr>
      <w:tr w14:paraId="7454BB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6EFC17D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Body mass index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60B1419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&lt;25 kg/m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0B2EE11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07E7DB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-101.72 (-117.57, -85.86)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FA96BB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-131.20 (-148.48, -113.91)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196E31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-192.80 (-211.39, -174.21) </w:t>
            </w:r>
          </w:p>
        </w:tc>
      </w:tr>
      <w:tr w14:paraId="12508F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07BF6A4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71BA949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≥25 kg/m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1DE2694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11EE74B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-94.54 (-106.02, -83.07)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040107E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-142.20 (-154.77, -129.62)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698AD7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-204.02 (-217.15, -190.88) </w:t>
            </w:r>
          </w:p>
        </w:tc>
      </w:tr>
      <w:tr w14:paraId="67AB78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5A1E26F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Smoking status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378DBD6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53A892D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0515AA8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-92.64 (-105.27, -80.01)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B3AE86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-119.25 (-133.13, -105.36)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DF1E96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-168.86 (-183.59, -154.14) </w:t>
            </w:r>
          </w:p>
        </w:tc>
      </w:tr>
      <w:tr w14:paraId="3946BD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2F51FAD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38417DB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Past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4380621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F3F13C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-97.62 (-112.48, -82.77)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1E748F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-135.58 (-151.90, -119.27)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0E7B72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-170.13 (-187.41, -152.85) </w:t>
            </w:r>
          </w:p>
        </w:tc>
      </w:tr>
      <w:tr w14:paraId="655FEA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35F27A2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69DE219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Current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09BA942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5D1E21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-89.66 (-121.26, -58.06)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FDBBBA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-142.90 (-176.82, -108.97)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BBC2A4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-204.02 (-239.47, -168.58) </w:t>
            </w:r>
          </w:p>
        </w:tc>
      </w:tr>
      <w:tr w14:paraId="7FBE66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979" w:type="pct"/>
            <w:vAlign w:val="center"/>
          </w:tcPr>
          <w:p w14:paraId="19257B8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Alcohol drinking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2BBCF9A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0BC3315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A48F27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-53.80 (-118.00, 10.39)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3B8A452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-106.21 (-174.91, -37.50)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28BAA0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-139.81 (-209.38, -70.23) </w:t>
            </w:r>
          </w:p>
        </w:tc>
      </w:tr>
      <w:tr w14:paraId="1E4A5D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09823F2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4667BC7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Past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14B5098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003A542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>-102.38 (-159.15, -45.60)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8BB688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>-120.73 (-185.58, -55.88)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8A5253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-200.59 (-267.50, -133.69) </w:t>
            </w:r>
          </w:p>
        </w:tc>
      </w:tr>
      <w:tr w14:paraId="716E04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6287069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25EDADC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Current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A308D1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3A0ED5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-97.14 (-106.58, -87.71)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FBD06F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-130.87 (-141.21, -120.52)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1C19AC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-176.21 (-187.20, -165.21) </w:t>
            </w:r>
          </w:p>
        </w:tc>
      </w:tr>
      <w:tr w14:paraId="0FCB17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0966557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Family history of chronic </w:t>
            </w:r>
          </w:p>
          <w:p w14:paraId="5B5D520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lung disease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24A0B67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448586E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194BC7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-98.65 (-108.60, -88.70)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20FAAD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-129.65 (-140.59, -118.71)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E1A43D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-173.70 (-185.34, -162.06) </w:t>
            </w:r>
          </w:p>
        </w:tc>
      </w:tr>
      <w:tr w14:paraId="564D48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48C63A3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7D4C017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67E1BC7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A076FD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-81.39 (-105.67, -57.10)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A5AE37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-127.97 (-154.07, -101.88)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BD66F2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-178.98 (-206.02, -151.94) </w:t>
            </w:r>
          </w:p>
        </w:tc>
      </w:tr>
      <w:tr w14:paraId="1450BA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53428B2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6DED068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392050E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7CC31B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-98.74 (-111.56, -85.92)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F9D039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-130.35 (-144.42, -116.28)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5A083B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-174.06 (-189.08, -159.05) </w:t>
            </w:r>
          </w:p>
        </w:tc>
      </w:tr>
      <w:tr w14:paraId="0EC6EF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6E77D07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7813558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18C4DCA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350FC8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-93.09 (-106.30, -79.87)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4F3CFE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-127.81 (-142.28, -113.34)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87BD876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-174.30 (-189.52, -159.09) </w:t>
            </w:r>
          </w:p>
        </w:tc>
      </w:tr>
      <w:tr w14:paraId="67E569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1583EAE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00E3135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26A622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645233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-97.57 (-110.38, -84.77)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0564527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-126.06 (-140.14, -111.99)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4BCE68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-168.23 (-183.20, -153.26) </w:t>
            </w:r>
          </w:p>
        </w:tc>
      </w:tr>
      <w:tr w14:paraId="275BE1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528C924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6700F40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A9ECD7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93C4F8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-94.32 (-107.55, -81.09)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09C3C1F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-131.89 (-146.35, -117.42)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5F4E4F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-179.74 (-195.00, -164.49) </w:t>
            </w:r>
          </w:p>
        </w:tc>
      </w:tr>
      <w:tr w14:paraId="7FA457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02E6336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2.5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0ADAD3E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07FFA96C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761354A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-98.52 (-111.34, -85.70)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EA42C6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-129.30 (-143.38, -115.22)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B48C7EE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-172.39 (-187.41, -157.38) </w:t>
            </w:r>
          </w:p>
        </w:tc>
      </w:tr>
      <w:tr w14:paraId="469DCB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77885EB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5ECE791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320743C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BC0623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-93.40 (-106.62, -80.18)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7E84BCE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-128.90 (-143.36, -114.44)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55003D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-176.12 (-191.33, -160.91) </w:t>
            </w:r>
          </w:p>
        </w:tc>
      </w:tr>
      <w:tr w14:paraId="49404F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118CB69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2E8F101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41682F59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4ED34A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-104.07 (-117.12, -91.01)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B0919BF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-133.64 (-147.97, -119.30)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72D87A3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-182.11 (-197.31, -166.90) </w:t>
            </w:r>
          </w:p>
        </w:tc>
      </w:tr>
      <w:tr w14:paraId="60F34D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2C9B71E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434776B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7A1293D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CB7C0D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-88.47 (-101.45, -75.49)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06D83A5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-125.21 (-139.42, -111.01)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46029E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-167.36 (-182.38, -152.33) </w:t>
            </w:r>
          </w:p>
        </w:tc>
      </w:tr>
      <w:tr w14:paraId="5F9307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010B8BE4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2.5-10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70E8B412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2A510C7A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02587A9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-101.20 (-114.33, -88.06)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1762C2C7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-135.19 (-149.60, -120.78)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2D7055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-178.45 (-193.72, -163.18) </w:t>
            </w:r>
          </w:p>
        </w:tc>
      </w:tr>
      <w:tr w14:paraId="729EBE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979" w:type="pct"/>
            <w:vAlign w:val="center"/>
          </w:tcPr>
          <w:p w14:paraId="7DD35EB8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 w14:paraId="269CDA31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6A6B5F4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3433A3C0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-91.80 (-104.71, -78.90) 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3C1DDEF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-123.93 (-138.06, -109.80) 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100220B">
            <w:pPr>
              <w:keepNext w:val="0"/>
              <w:keepLines w:val="0"/>
              <w:widowControl/>
              <w:suppressLineNumbers w:val="0"/>
              <w:spacing w:before="100" w:beforeAutospacing="1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-171.01 (-185.97, -156.05) </w:t>
            </w:r>
          </w:p>
        </w:tc>
      </w:tr>
    </w:tbl>
    <w:p w14:paraId="4EB464E4">
      <w:pPr>
        <w:spacing w:after="0" w:line="276" w:lineRule="auto"/>
        <w:rPr>
          <w:rFonts w:hint="eastAsia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Abbreviations:</w:t>
      </w:r>
      <w:r>
        <w:rPr>
          <w:rFonts w:hint="eastAsia" w:ascii="Times New Roman" w:hAnsi="Times New Roman" w:cs="Times New Roman"/>
          <w:sz w:val="21"/>
          <w:szCs w:val="21"/>
        </w:rPr>
        <w:t xml:space="preserve"> CI, confidence interval; </w:t>
      </w:r>
      <w:r>
        <w:rPr>
          <w:rFonts w:ascii="Times New Roman" w:hAnsi="Times New Roman" w:cs="Times New Roman"/>
          <w:sz w:val="21"/>
          <w:szCs w:val="21"/>
        </w:rPr>
        <w:t>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particulate matter with a diameter≤2.5 μm;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ascii="Times New Roman" w:hAnsi="Times New Roman" w:cs="Times New Roman"/>
          <w:sz w:val="21"/>
          <w:szCs w:val="21"/>
        </w:rPr>
        <w:t>, particulate matter with a diameter≤10 μm;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nitrogen dioxide; NO</w:t>
      </w:r>
      <w:r>
        <w:rPr>
          <w:rFonts w:hint="eastAsia"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>, nitrogen oxides; GlycA, Glycoprotein Acetyls; sHDL Particle Number of Small High-Density Lipoprotein; MVX, metabolic vulnerability index.</w:t>
      </w:r>
      <w:r>
        <w:rPr>
          <w:rFonts w:hint="eastAsia" w:ascii="Times New Roman" w:hAnsi="Times New Roman" w:cs="Times New Roman"/>
          <w:sz w:val="21"/>
          <w:szCs w:val="21"/>
        </w:rPr>
        <w:t xml:space="preserve"> Multivariable-adjusted model was adjusted age, sex, t</w:t>
      </w:r>
      <w:r>
        <w:rPr>
          <w:rFonts w:ascii="Times New Roman" w:hAnsi="Times New Roman" w:cs="Times New Roman"/>
          <w:sz w:val="21"/>
          <w:szCs w:val="21"/>
        </w:rPr>
        <w:t xml:space="preserve">ownsend deprivation index, </w:t>
      </w:r>
      <w:r>
        <w:rPr>
          <w:rFonts w:hint="eastAsia"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ducational level, </w:t>
      </w:r>
      <w:r>
        <w:rPr>
          <w:rFonts w:hint="eastAsia"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ody mass index, </w:t>
      </w:r>
      <w:r>
        <w:rPr>
          <w:rFonts w:hint="eastAsia"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moking status, </w:t>
      </w:r>
      <w:r>
        <w:rPr>
          <w:rFonts w:hint="eastAsia"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lcohol drinking, </w:t>
      </w:r>
      <w:r>
        <w:rPr>
          <w:rFonts w:hint="eastAsia"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amily history of chronic lung disease,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, 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X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</w:t>
      </w:r>
      <w:r>
        <w:rPr>
          <w:rFonts w:ascii="Times New Roman" w:hAnsi="Times New Roman" w:cs="Times New Roman"/>
          <w:sz w:val="21"/>
          <w:szCs w:val="21"/>
        </w:rPr>
        <w:t>,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2.5-10</w:t>
      </w:r>
      <w:r>
        <w:rPr>
          <w:rFonts w:ascii="Times New Roman" w:hAnsi="Times New Roman" w:cs="Times New Roman"/>
          <w:sz w:val="21"/>
          <w:szCs w:val="21"/>
        </w:rPr>
        <w:t>, and PM</w:t>
      </w:r>
      <w:r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>
        <w:rPr>
          <w:rFonts w:hint="eastAsia" w:ascii="Times New Roman" w:hAnsi="Times New Roman" w:cs="Times New Roman"/>
          <w:sz w:val="21"/>
          <w:szCs w:val="21"/>
        </w:rPr>
        <w:t>.</w:t>
      </w:r>
    </w:p>
    <w:p w14:paraId="68F8089B">
      <w:pPr>
        <w:spacing w:after="0" w:line="276" w:lineRule="auto"/>
        <w:rPr>
          <w:rFonts w:hint="eastAsia" w:ascii="Times New Roman" w:hAnsi="Times New Roman" w:cs="Times New Roman"/>
          <w:sz w:val="21"/>
          <w:szCs w:val="21"/>
        </w:rPr>
      </w:pPr>
    </w:p>
    <w:p w14:paraId="5553C0B1">
      <w:pPr>
        <w:spacing w:after="0" w:line="276" w:lineRule="auto"/>
        <w:rPr>
          <w:rFonts w:hint="eastAsia" w:ascii="Times New Roman" w:hAnsi="Times New Roman" w:cs="Times New Roman"/>
          <w:sz w:val="21"/>
          <w:szCs w:val="21"/>
        </w:rPr>
      </w:pPr>
    </w:p>
    <w:p w14:paraId="3897B22B">
      <w:pPr>
        <w:spacing w:after="0" w:line="276" w:lineRule="auto"/>
        <w:rPr>
          <w:rFonts w:hint="eastAsia" w:ascii="Times New Roman" w:hAnsi="Times New Roman" w:cs="Times New Roman"/>
          <w:sz w:val="21"/>
          <w:szCs w:val="21"/>
        </w:rPr>
      </w:pPr>
    </w:p>
    <w:p w14:paraId="4C1922B2">
      <w:pPr>
        <w:spacing w:after="0" w:line="276" w:lineRule="auto"/>
        <w:rPr>
          <w:rFonts w:hint="eastAsia" w:ascii="Times New Roman" w:hAnsi="Times New Roman" w:cs="Times New Roman"/>
          <w:sz w:val="21"/>
          <w:szCs w:val="21"/>
        </w:rPr>
      </w:pPr>
    </w:p>
    <w:p w14:paraId="7C3D6C85">
      <w:pPr>
        <w:spacing w:before="100" w:beforeAutospacing="1" w:after="0" w:line="276" w:lineRule="auto"/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572000" cy="4079875"/>
            <wp:effectExtent l="0" t="0" r="0" b="15875"/>
            <wp:docPr id="1" name="图片 1" descr="ROC cop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OC copd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DF8D8">
      <w:pPr>
        <w:spacing w:before="100" w:beforeAutospacing="1" w:after="0" w:line="276" w:lineRule="auto"/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等线" w:cs="Times New Roman"/>
          <w:sz w:val="21"/>
          <w:szCs w:val="21"/>
          <w:lang w:val="en-US" w:eastAsia="zh-CN"/>
        </w:rPr>
        <w:t>Figure</w:t>
      </w:r>
      <w:r>
        <w:rPr>
          <w:rFonts w:hint="eastAsia" w:ascii="Times New Roman" w:hAnsi="Times New Roman" w:cs="Times New Roman"/>
          <w:sz w:val="21"/>
          <w:szCs w:val="21"/>
        </w:rPr>
        <w:t xml:space="preserve">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t xml:space="preserve">.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ROC analysis of incident COPD prediction model development and predictive value comparison</w:t>
      </w:r>
    </w:p>
    <w:p w14:paraId="5A666DF5">
      <w:pPr>
        <w:spacing w:before="100" w:beforeAutospacing="1" w:after="0" w:line="276" w:lineRule="auto"/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</w:p>
  </w:footnote>
  <w:footnote w:type="continuationSeparator" w:id="1">
    <w:p>
      <w:pPr>
        <w:spacing w:before="0" w:after="0" w:line="278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3F"/>
    <w:rsid w:val="00035B72"/>
    <w:rsid w:val="00106A25"/>
    <w:rsid w:val="002014A4"/>
    <w:rsid w:val="00243E2C"/>
    <w:rsid w:val="00327121"/>
    <w:rsid w:val="003A0B4D"/>
    <w:rsid w:val="004165F5"/>
    <w:rsid w:val="005351C5"/>
    <w:rsid w:val="005732A4"/>
    <w:rsid w:val="005739E3"/>
    <w:rsid w:val="00682C11"/>
    <w:rsid w:val="009922FF"/>
    <w:rsid w:val="00B3496A"/>
    <w:rsid w:val="00B60FB0"/>
    <w:rsid w:val="00BA7F95"/>
    <w:rsid w:val="00C55CC8"/>
    <w:rsid w:val="00CC3B5A"/>
    <w:rsid w:val="00D5083F"/>
    <w:rsid w:val="00DB16D6"/>
    <w:rsid w:val="00DB3489"/>
    <w:rsid w:val="00E40431"/>
    <w:rsid w:val="00F05385"/>
    <w:rsid w:val="00F73BDC"/>
    <w:rsid w:val="00F90134"/>
    <w:rsid w:val="1D67500F"/>
    <w:rsid w:val="216D6406"/>
    <w:rsid w:val="275B52CC"/>
    <w:rsid w:val="2BE3778B"/>
    <w:rsid w:val="34237499"/>
    <w:rsid w:val="36C559EF"/>
    <w:rsid w:val="47040901"/>
    <w:rsid w:val="48A028AB"/>
    <w:rsid w:val="4B8C62F2"/>
    <w:rsid w:val="604C2A6C"/>
    <w:rsid w:val="62FE0661"/>
    <w:rsid w:val="635E10C5"/>
    <w:rsid w:val="6D091704"/>
    <w:rsid w:val="6FBF17FD"/>
    <w:rsid w:val="7A1E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styleId="36">
    <w:name w:val="No Spacing"/>
    <w:qFormat/>
    <w:uiPriority w:val="1"/>
    <w:pPr>
      <w:widowControl w:val="0"/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902EE-2669-4228-AE05-B06BF69846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270</Words>
  <Characters>1479</Characters>
  <Lines>96</Lines>
  <Paragraphs>27</Paragraphs>
  <TotalTime>32</TotalTime>
  <ScaleCrop>false</ScaleCrop>
  <LinksUpToDate>false</LinksUpToDate>
  <CharactersWithSpaces>1698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2025-04-23T14:25:00Z</dcterms:created>
  <dc:creator>Admin</dc:creator>
  <cp:lastModifiedBy>H_BaI</cp:lastModifiedBy>
  <dcterms:modified xsi:type="dcterms:W3CDTF">2025-10-31T07:45:51Z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eyJoZGlkIjoiODE0ZTdiYTAwODUyZTA5MDUzMWMxZTUxOTkwY2IwNjUiLCJ1c2VySWQiOiIzOTU1Mjg2ODUifQ==</vt:lpwstr>
  </property>
  <property fmtid="{D5CDD505-2E9C-101B-9397-08002B2CF9AE}" pid="3" name="KSOProductBuildVer">
    <vt:lpwstr>2052-12.1.0.23125</vt:lpwstr>
  </property>
  <property fmtid="{D5CDD505-2E9C-101B-9397-08002B2CF9AE}" pid="4" name="ICV">
    <vt:lpwstr>3028E57C771349CCB4CF540BA4DF6325_12</vt:lpwstr>
  </property>
</Properties>
</file>