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9D638">
      <w:pPr>
        <w:keepNext w:val="0"/>
        <w:keepLines w:val="0"/>
        <w:widowControl/>
        <w:suppressLineNumbers w:val="0"/>
        <w:jc w:val="center"/>
        <w:rPr>
          <w:rFonts w:hint="default" w:ascii="Times New Roman" w:hAnsi="Times New Roman" w:eastAsia="宋体" w:cs="Times New Roman"/>
          <w:b/>
          <w:bCs/>
          <w:color w:val="000000"/>
          <w:kern w:val="2"/>
          <w:sz w:val="24"/>
          <w:szCs w:val="24"/>
          <w:lang w:val="en-US" w:eastAsia="zh-CN" w:bidi="ar"/>
        </w:rPr>
      </w:pPr>
      <w:r>
        <w:rPr>
          <w:rFonts w:hint="default" w:ascii="Times New Roman" w:hAnsi="Times New Roman" w:eastAsia="等线" w:cs="Times New Roman"/>
          <w:b/>
          <w:bCs w:val="0"/>
          <w:kern w:val="2"/>
          <w:sz w:val="24"/>
          <w:szCs w:val="24"/>
          <w:lang w:val="en-US" w:eastAsia="zh-CN" w:bidi="ar"/>
        </w:rPr>
        <w:t>Supplementary Material</w:t>
      </w:r>
    </w:p>
    <w:p w14:paraId="5BE72AF5">
      <w:pPr>
        <w:keepNext w:val="0"/>
        <w:keepLines w:val="0"/>
        <w:pageBreakBefore w:val="0"/>
        <w:widowControl w:val="0"/>
        <w:suppressLineNumbers w:val="0"/>
        <w:wordWrap/>
        <w:topLinePunct w:val="0"/>
        <w:autoSpaceDE/>
        <w:autoSpaceDN/>
        <w:bidi w:val="0"/>
        <w:adjustRightInd/>
        <w:snapToGrid/>
        <w:spacing w:before="0" w:beforeAutospacing="0" w:after="0" w:afterAutospacing="0" w:line="480" w:lineRule="auto"/>
        <w:ind w:left="0" w:right="0"/>
        <w:jc w:val="both"/>
        <w:textAlignment w:val="auto"/>
        <w:rPr>
          <w:rFonts w:ascii="Times New Roman Regular" w:hAnsi="Times New Roman Regular" w:cs="Times New Roman Regular" w:eastAsiaTheme="minorEastAsia"/>
          <w:color w:val="000000"/>
          <w:sz w:val="24"/>
          <w:szCs w:val="24"/>
        </w:rPr>
      </w:pPr>
      <w:r>
        <w:rPr>
          <w:rFonts w:hint="default" w:ascii="Times New Roman" w:hAnsi="Times New Roman" w:eastAsia="宋体" w:cs="Times New Roman"/>
          <w:b/>
          <w:bCs/>
          <w:color w:val="000000"/>
          <w:kern w:val="2"/>
          <w:sz w:val="24"/>
          <w:szCs w:val="24"/>
          <w:lang w:val="en-US" w:eastAsia="zh-CN" w:bidi="ar"/>
        </w:rPr>
        <w:t>Text S1.</w:t>
      </w:r>
      <w:r>
        <w:rPr>
          <w:rFonts w:hint="default" w:ascii="Times New Roman" w:hAnsi="Times New Roman" w:eastAsia="等线" w:cs="Times New Roman"/>
          <w:kern w:val="2"/>
          <w:sz w:val="24"/>
          <w:szCs w:val="24"/>
          <w:lang w:val="en-US" w:eastAsia="zh-CN" w:bidi="ar"/>
        </w:rPr>
        <w:t xml:space="preserve"> Definition of variables involved in this study.</w:t>
      </w:r>
      <w:r>
        <w:rPr>
          <w:rFonts w:hint="default" w:ascii="宋体" w:hAnsi="宋体" w:eastAsia="宋体" w:cs="宋体"/>
          <w:kern w:val="2"/>
          <w:sz w:val="24"/>
          <w:szCs w:val="24"/>
          <w:lang w:val="en-US" w:eastAsia="zh-CN" w:bidi="ar"/>
        </w:rPr>
        <w:t xml:space="preserve"> </w:t>
      </w:r>
    </w:p>
    <w:p w14:paraId="3AE8F120">
      <w:pPr>
        <w:keepNext w:val="0"/>
        <w:keepLines w:val="0"/>
        <w:pageBreakBefore w:val="0"/>
        <w:widowControl w:val="0"/>
        <w:kinsoku w:val="0"/>
        <w:wordWrap/>
        <w:overflowPunct w:val="0"/>
        <w:topLinePunct w:val="0"/>
        <w:autoSpaceDE/>
        <w:autoSpaceDN/>
        <w:bidi w:val="0"/>
        <w:adjustRightInd/>
        <w:snapToGrid/>
        <w:spacing w:line="480" w:lineRule="auto"/>
        <w:ind w:firstLine="420"/>
        <w:textAlignment w:val="auto"/>
        <w:rPr>
          <w:sz w:val="24"/>
          <w:szCs w:val="24"/>
        </w:rPr>
      </w:pPr>
      <w:r>
        <w:rPr>
          <w:rFonts w:ascii="Times New Roman Regular" w:hAnsi="Times New Roman Regular" w:cs="Times New Roman Regular" w:eastAsiaTheme="minorEastAsia"/>
          <w:color w:val="000000"/>
          <w:sz w:val="24"/>
          <w:szCs w:val="24"/>
        </w:rPr>
        <w:t>Ethnicity was classified as Mexican Hispanic, non-Hispanic Black, non-Mexican Hispanic, non-Hispanic White, and other.</w:t>
      </w:r>
      <w:r>
        <w:rPr>
          <w:rFonts w:hint="eastAsia" w:ascii="Times New Roman Regular" w:hAnsi="Times New Roman Regular" w:cs="Times New Roman Regular" w:eastAsiaTheme="minorEastAsia"/>
          <w:color w:val="000000"/>
          <w:sz w:val="24"/>
          <w:szCs w:val="24"/>
        </w:rPr>
        <w:t xml:space="preserve"> The married population included individuals who were married, widowed, divorced, or in a committed relationship</w:t>
      </w:r>
      <w:r>
        <w:rPr>
          <w:rFonts w:ascii="Times New Roman Regular" w:hAnsi="Times New Roman Regular" w:eastAsia="Times New Roman Regular" w:cs="Times New Roman Regular"/>
          <w:sz w:val="24"/>
          <w:szCs w:val="24"/>
        </w:rPr>
        <w:t>. Family</w:t>
      </w:r>
      <w:r>
        <w:rPr>
          <w:rFonts w:ascii="Times New Roman Regular" w:hAnsi="Times New Roman Regular" w:cs="Times New Roman Regular" w:eastAsiaTheme="minorEastAsia"/>
          <w:sz w:val="24"/>
          <w:szCs w:val="24"/>
        </w:rPr>
        <w:t xml:space="preserve"> income was categorized as low, middle, or high, corresponding to a family PIR </w:t>
      </w:r>
      <w:r>
        <w:rPr>
          <w:rFonts w:hint="eastAsia" w:ascii="Times New Roman Regular" w:hAnsi="Times New Roman Regular" w:cs="Times New Roman Regular" w:eastAsiaTheme="minorEastAsia"/>
          <w:sz w:val="24"/>
          <w:szCs w:val="24"/>
          <w:lang w:val="en-US" w:eastAsia="zh-CN"/>
        </w:rPr>
        <w:t>(&lt;</w:t>
      </w:r>
      <w:r>
        <w:rPr>
          <w:rFonts w:ascii="Times New Roman Regular" w:hAnsi="Times New Roman Regular" w:cs="Times New Roman Regular" w:eastAsiaTheme="minorEastAsia"/>
          <w:sz w:val="24"/>
          <w:szCs w:val="24"/>
        </w:rPr>
        <w:t>1.0, 1.0</w:t>
      </w:r>
      <w:r>
        <w:rPr>
          <w:rFonts w:ascii="Times New Roman" w:hAnsi="Times New Roman" w:cs="Times New Roman" w:eastAsiaTheme="minorEastAsia"/>
          <w:sz w:val="24"/>
          <w:szCs w:val="24"/>
        </w:rPr>
        <w:t>–</w:t>
      </w:r>
      <w:r>
        <w:rPr>
          <w:rFonts w:ascii="Times New Roman Regular" w:hAnsi="Times New Roman Regular" w:cs="Times New Roman Regular" w:eastAsiaTheme="minorEastAsia"/>
          <w:sz w:val="24"/>
          <w:szCs w:val="24"/>
        </w:rPr>
        <w:t xml:space="preserve">3.0, </w:t>
      </w:r>
      <w:r>
        <w:rPr>
          <w:rFonts w:hint="eastAsia" w:ascii="Times New Roman Regular" w:hAnsi="Times New Roman Regular" w:cs="Times New Roman Regular" w:eastAsiaTheme="minorEastAsia"/>
          <w:sz w:val="24"/>
          <w:szCs w:val="24"/>
          <w:lang w:val="en-US" w:eastAsia="zh-CN"/>
        </w:rPr>
        <w:t>&gt;</w:t>
      </w:r>
      <w:r>
        <w:rPr>
          <w:rFonts w:ascii="Times New Roman Regular" w:hAnsi="Times New Roman Regular" w:cs="Times New Roman Regular" w:eastAsiaTheme="minorEastAsia"/>
          <w:sz w:val="24"/>
          <w:szCs w:val="24"/>
        </w:rPr>
        <w:t>3.0</w:t>
      </w:r>
      <w:r>
        <w:rPr>
          <w:rFonts w:hint="eastAsia" w:ascii="Times New Roman Regular" w:hAnsi="Times New Roman Regular" w:cs="Times New Roman Regular" w:eastAsiaTheme="minorEastAsia"/>
          <w:sz w:val="24"/>
          <w:szCs w:val="24"/>
          <w:lang w:val="en-US" w:eastAsia="zh-CN"/>
        </w:rPr>
        <w:t>)</w:t>
      </w:r>
      <w:r>
        <w:rPr>
          <w:rFonts w:ascii="Times New Roman Regular" w:hAnsi="Times New Roman Regular" w:cs="Times New Roman Regular" w:eastAsiaTheme="minorEastAsia"/>
          <w:sz w:val="24"/>
          <w:szCs w:val="24"/>
        </w:rPr>
        <w:t>, respectively.</w:t>
      </w:r>
      <w:r>
        <w:rPr>
          <w:rFonts w:hint="eastAsia" w:ascii="Times New Roman Regular" w:hAnsi="Times New Roman Regular" w:cs="Times New Roman Regular" w:eastAsiaTheme="minorEastAsia"/>
          <w:sz w:val="24"/>
          <w:szCs w:val="24"/>
        </w:rPr>
        <w:t xml:space="preserve"> </w:t>
      </w:r>
      <w:r>
        <w:rPr>
          <w:rFonts w:ascii="Times New Roman Regular" w:hAnsi="Times New Roman Regular" w:cs="Times New Roman Regular" w:eastAsiaTheme="minorEastAsia"/>
          <w:color w:val="000000"/>
          <w:sz w:val="24"/>
          <w:szCs w:val="24"/>
        </w:rPr>
        <w:t>Education levels were divided into three groups.</w:t>
      </w:r>
      <w:r>
        <w:rPr>
          <w:rFonts w:hint="eastAsia" w:ascii="Times New Roman Regular" w:hAnsi="Times New Roman Regular" w:cs="Times New Roman Regular" w:eastAsiaTheme="minorEastAsia"/>
          <w:color w:val="000000"/>
          <w:sz w:val="24"/>
          <w:szCs w:val="24"/>
        </w:rPr>
        <w:t xml:space="preserve"> </w:t>
      </w:r>
      <w:r>
        <w:rPr>
          <w:rFonts w:ascii="Times New Roman Regular" w:hAnsi="Times New Roman Regular" w:eastAsia="Times New Roman Regular" w:cs="Times New Roman Regular"/>
          <w:sz w:val="24"/>
          <w:szCs w:val="24"/>
        </w:rPr>
        <w:t>Alcohol consumption was designated as five categories: never, former, heavy, moderate, and mild drinkers.</w:t>
      </w:r>
      <w:r>
        <w:rPr>
          <w:sz w:val="24"/>
          <w:szCs w:val="24"/>
        </w:rPr>
        <w:t xml:space="preserve"> </w:t>
      </w:r>
    </w:p>
    <w:p w14:paraId="69BC5C5F">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38F06989">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6E35B912">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5A659E9B">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51A9CFC9">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0D96E6BF">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759AADF1">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7F00EA2C">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4D0F269E">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14FFA850">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47B86056">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4704174F">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4E00061D">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68700672">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7DB9D551">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5EE6C9D0">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76776BEE">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5DF83EC8">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5199C85A">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516F3F06">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42065E26">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13413AA2">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78479E1B">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61B18665">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2D6C6B3D">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52477D5D">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337CD7C9">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06B00655">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r>
        <w:rPr>
          <w:rFonts w:hint="default" w:ascii="Times New Roman" w:hAnsi="Times New Roman" w:eastAsia="等线" w:cs="Times New Roman"/>
          <w:b/>
          <w:bCs/>
          <w:kern w:val="2"/>
          <w:sz w:val="24"/>
          <w:szCs w:val="24"/>
          <w:lang w:val="en-US" w:eastAsia="zh-CN" w:bidi="ar"/>
        </w:rPr>
        <w:drawing>
          <wp:inline distT="0" distB="0" distL="114300" distR="114300">
            <wp:extent cx="5273040" cy="5273040"/>
            <wp:effectExtent l="0" t="0" r="3810" b="3810"/>
            <wp:docPr id="1" name="图片 1" descr="Figure S1. Restricted cubic spline of LC9 and osteoarthritis among adults aged 40 years and 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Restricted cubic spline of LC9 and osteoarthritis among adults aged 40 years and older"/>
                    <pic:cNvPicPr>
                      <a:picLocks noChangeAspect="1"/>
                    </pic:cNvPicPr>
                  </pic:nvPicPr>
                  <pic:blipFill>
                    <a:blip r:embed="rId4"/>
                    <a:stretch>
                      <a:fillRect/>
                    </a:stretch>
                  </pic:blipFill>
                  <pic:spPr>
                    <a:xfrm>
                      <a:off x="0" y="0"/>
                      <a:ext cx="5273040" cy="5273040"/>
                    </a:xfrm>
                    <a:prstGeom prst="rect">
                      <a:avLst/>
                    </a:prstGeom>
                  </pic:spPr>
                </pic:pic>
              </a:graphicData>
            </a:graphic>
          </wp:inline>
        </w:drawing>
      </w:r>
    </w:p>
    <w:p w14:paraId="5845B609">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6284AF52">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207E483D">
      <w:pPr>
        <w:keepNext w:val="0"/>
        <w:keepLines w:val="0"/>
        <w:widowControl w:val="0"/>
        <w:suppressLineNumbers w:val="0"/>
        <w:spacing w:before="0" w:beforeAutospacing="0" w:after="0" w:afterAutospacing="0"/>
        <w:ind w:left="0" w:right="0"/>
        <w:jc w:val="both"/>
        <w:rPr>
          <w:rFonts w:hint="default" w:ascii="Times New Roman" w:hAnsi="Times New Roman" w:cs="Times New Roman"/>
          <w:bCs/>
          <w:sz w:val="24"/>
          <w:szCs w:val="24"/>
          <w:lang w:val="en-US"/>
        </w:rPr>
      </w:pPr>
      <w:r>
        <w:rPr>
          <w:rFonts w:hint="eastAsia" w:ascii="Times New Roman" w:hAnsi="Times New Roman" w:eastAsia="宋体" w:cs="Times New Roman"/>
          <w:b/>
          <w:bCs/>
          <w:color w:val="000000"/>
          <w:kern w:val="2"/>
          <w:sz w:val="24"/>
          <w:szCs w:val="24"/>
          <w:lang w:val="en-US" w:eastAsia="zh-CN" w:bidi="ar"/>
        </w:rPr>
        <w:t xml:space="preserve">Figure </w:t>
      </w:r>
      <w:bookmarkStart w:id="1" w:name="_GoBack"/>
      <w:bookmarkEnd w:id="1"/>
      <w:r>
        <w:rPr>
          <w:rFonts w:hint="default" w:ascii="Times New Roman" w:hAnsi="Times New Roman" w:eastAsia="宋体" w:cs="Times New Roman"/>
          <w:b/>
          <w:bCs/>
          <w:color w:val="000000"/>
          <w:kern w:val="2"/>
          <w:sz w:val="24"/>
          <w:szCs w:val="24"/>
          <w:lang w:val="en-US" w:eastAsia="zh-CN" w:bidi="ar"/>
        </w:rPr>
        <w:t>S</w:t>
      </w:r>
      <w:r>
        <w:rPr>
          <w:rFonts w:hint="eastAsia" w:ascii="Times New Roman" w:hAnsi="Times New Roman" w:eastAsia="宋体" w:cs="Times New Roman"/>
          <w:b/>
          <w:bCs/>
          <w:color w:val="000000"/>
          <w:kern w:val="2"/>
          <w:sz w:val="24"/>
          <w:szCs w:val="24"/>
          <w:lang w:val="en-US" w:eastAsia="zh-CN" w:bidi="ar"/>
        </w:rPr>
        <w:t xml:space="preserve">1 </w:t>
      </w:r>
      <w:r>
        <w:rPr>
          <w:rFonts w:hint="default" w:ascii="Times New Roman" w:hAnsi="Times New Roman" w:eastAsia="宋体" w:cs="Times New Roman"/>
          <w:bCs/>
          <w:kern w:val="2"/>
          <w:sz w:val="24"/>
          <w:szCs w:val="24"/>
          <w:lang w:val="en-US" w:eastAsia="zh-CN" w:bidi="ar"/>
        </w:rPr>
        <w:t>Dose–response relationships between Life's Crucial 9 and OA.</w:t>
      </w:r>
    </w:p>
    <w:p w14:paraId="211D3F62">
      <w:pPr>
        <w:keepNext w:val="0"/>
        <w:keepLines w:val="0"/>
        <w:widowControl w:val="0"/>
        <w:suppressLineNumbers w:val="0"/>
        <w:spacing w:before="0" w:beforeAutospacing="0" w:after="0" w:afterAutospacing="0"/>
        <w:ind w:left="0" w:right="0"/>
        <w:jc w:val="both"/>
        <w:rPr>
          <w:rFonts w:hint="default" w:ascii="Times New Roman" w:hAnsi="Times New Roman" w:cs="Times New Roman"/>
          <w:bCs/>
          <w:sz w:val="24"/>
          <w:szCs w:val="24"/>
          <w:lang w:val="en-US"/>
        </w:rPr>
      </w:pPr>
      <w:r>
        <w:rPr>
          <w:rFonts w:hint="default" w:ascii="Times New Roman" w:hAnsi="Times New Roman" w:eastAsia="宋体" w:cs="Times New Roman"/>
          <w:bCs/>
          <w:kern w:val="2"/>
          <w:sz w:val="24"/>
          <w:szCs w:val="24"/>
          <w:lang w:val="en-US" w:eastAsia="zh-CN" w:bidi="ar"/>
        </w:rPr>
        <w:t>Adjusted for age, gender, race, education level, marital, PIR and alcohol consumption. ORs (solid lines) and 95% confidence levels (dotted lines). OR, odds ratio; CI, confidence interval; LC9, Life's Crucial 9.</w:t>
      </w:r>
    </w:p>
    <w:p w14:paraId="5EA7DD3F">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2DE62CD1">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426CE6A2">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6C6F27CA">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409B3DA9">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03B7E10E">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0C6986CA">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16A148A0">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1E5AC359">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0AC8200C">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18E8CC6B">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29CEF9E0">
      <w:pPr>
        <w:keepNext w:val="0"/>
        <w:keepLines w:val="0"/>
        <w:widowControl/>
        <w:suppressLineNumbers w:val="0"/>
        <w:jc w:val="left"/>
        <w:rPr>
          <w:rFonts w:hint="default" w:ascii="Times New Roman" w:hAnsi="Times New Roman" w:eastAsia="等线" w:cs="Times New Roman"/>
          <w:b/>
          <w:bCs/>
          <w:kern w:val="2"/>
          <w:sz w:val="24"/>
          <w:szCs w:val="24"/>
          <w:lang w:val="en-US" w:eastAsia="zh-CN" w:bidi="ar"/>
        </w:rPr>
      </w:pPr>
    </w:p>
    <w:p w14:paraId="6C7C3B50">
      <w:pPr>
        <w:keepNext w:val="0"/>
        <w:keepLines w:val="0"/>
        <w:widowControl/>
        <w:suppressLineNumbers w:val="0"/>
        <w:jc w:val="left"/>
      </w:pPr>
      <w:r>
        <w:rPr>
          <w:rFonts w:hint="default" w:ascii="Times New Roman" w:hAnsi="Times New Roman" w:eastAsia="等线" w:cs="Times New Roman"/>
          <w:b/>
          <w:bCs/>
          <w:kern w:val="2"/>
          <w:sz w:val="24"/>
          <w:szCs w:val="24"/>
          <w:lang w:val="en-US" w:eastAsia="zh-CN" w:bidi="ar"/>
        </w:rPr>
        <w:t>Table S1.</w:t>
      </w:r>
      <w:r>
        <w:rPr>
          <w:rFonts w:hint="default" w:ascii="Times New Roman" w:hAnsi="Times New Roman" w:eastAsia="等线" w:cs="Times New Roman"/>
          <w:kern w:val="2"/>
          <w:sz w:val="24"/>
          <w:szCs w:val="24"/>
          <w:lang w:val="en-US" w:eastAsia="zh-CN" w:bidi="ar"/>
        </w:rPr>
        <w:t xml:space="preserve"> Definition and scoring approach for the Life’s Crucial 9 score.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97"/>
        <w:gridCol w:w="1309"/>
        <w:gridCol w:w="1254"/>
        <w:gridCol w:w="4362"/>
      </w:tblGrid>
      <w:tr w14:paraId="3064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36" w:type="pct"/>
            <w:tcBorders>
              <w:top w:val="single" w:color="auto" w:sz="4" w:space="0"/>
              <w:left w:val="single" w:color="auto" w:sz="4" w:space="0"/>
              <w:bottom w:val="single" w:color="auto" w:sz="4" w:space="0"/>
              <w:right w:val="single" w:color="auto" w:sz="4" w:space="0"/>
            </w:tcBorders>
            <w:shd w:val="clear" w:color="auto" w:fill="auto"/>
            <w:vAlign w:val="top"/>
          </w:tcPr>
          <w:p w14:paraId="192B7CE8">
            <w:pPr>
              <w:keepNext w:val="0"/>
              <w:keepLines w:val="0"/>
              <w:widowControl w:val="0"/>
              <w:suppressLineNumbers w:val="0"/>
              <w:spacing w:before="0" w:beforeAutospacing="0" w:after="0" w:afterAutospacing="0" w:line="276" w:lineRule="auto"/>
              <w:ind w:left="0" w:right="0"/>
              <w:jc w:val="both"/>
              <w:rPr>
                <w:rFonts w:hint="default" w:ascii="Times New Roman" w:hAnsi="Times New Roman" w:eastAsia="等线" w:cs="Times New Roman"/>
                <w:sz w:val="24"/>
                <w:szCs w:val="24"/>
                <w:lang w:val="en-US"/>
              </w:rPr>
            </w:pPr>
            <w:r>
              <w:rPr>
                <w:rFonts w:hint="default" w:ascii="Times New Roman" w:hAnsi="Times New Roman" w:eastAsia="等线" w:cs="Times New Roman"/>
                <w:kern w:val="2"/>
                <w:sz w:val="24"/>
                <w:szCs w:val="24"/>
                <w:lang w:val="en-US" w:eastAsia="zh-CN" w:bidi="ar"/>
              </w:rPr>
              <w:t>Domain</w:t>
            </w:r>
          </w:p>
        </w:tc>
        <w:tc>
          <w:tcPr>
            <w:tcW w:w="767" w:type="pct"/>
            <w:tcBorders>
              <w:top w:val="single" w:color="auto" w:sz="4" w:space="0"/>
              <w:left w:val="single" w:color="auto" w:sz="4" w:space="0"/>
              <w:bottom w:val="single" w:color="auto" w:sz="4" w:space="0"/>
              <w:right w:val="single" w:color="auto" w:sz="4" w:space="0"/>
            </w:tcBorders>
            <w:shd w:val="clear" w:color="auto" w:fill="auto"/>
            <w:vAlign w:val="top"/>
          </w:tcPr>
          <w:p w14:paraId="180A5D4A">
            <w:pPr>
              <w:keepNext w:val="0"/>
              <w:keepLines w:val="0"/>
              <w:widowControl w:val="0"/>
              <w:suppressLineNumbers w:val="0"/>
              <w:spacing w:before="0" w:beforeAutospacing="0" w:after="0" w:afterAutospacing="0" w:line="276" w:lineRule="auto"/>
              <w:ind w:left="0" w:right="0"/>
              <w:jc w:val="both"/>
              <w:rPr>
                <w:rFonts w:hint="default" w:ascii="Times New Roman" w:hAnsi="Times New Roman" w:eastAsia="等线" w:cs="Times New Roman"/>
                <w:sz w:val="24"/>
                <w:szCs w:val="24"/>
                <w:lang w:val="en-US"/>
              </w:rPr>
            </w:pPr>
            <w:r>
              <w:rPr>
                <w:rFonts w:hint="default" w:ascii="Times New Roman" w:hAnsi="Times New Roman" w:eastAsia="等线" w:cs="Times New Roman"/>
                <w:kern w:val="2"/>
                <w:sz w:val="24"/>
                <w:szCs w:val="24"/>
                <w:lang w:val="en-US" w:eastAsia="zh-CN" w:bidi="ar"/>
              </w:rPr>
              <w:t>CVH Metric</w:t>
            </w:r>
          </w:p>
        </w:tc>
        <w:tc>
          <w:tcPr>
            <w:tcW w:w="736" w:type="pct"/>
            <w:tcBorders>
              <w:top w:val="single" w:color="auto" w:sz="4" w:space="0"/>
              <w:left w:val="single" w:color="auto" w:sz="4" w:space="0"/>
              <w:bottom w:val="single" w:color="auto" w:sz="4" w:space="0"/>
              <w:right w:val="single" w:color="auto" w:sz="4" w:space="0"/>
            </w:tcBorders>
            <w:shd w:val="clear" w:color="auto" w:fill="auto"/>
            <w:vAlign w:val="top"/>
          </w:tcPr>
          <w:p w14:paraId="57D9165C">
            <w:pPr>
              <w:keepNext w:val="0"/>
              <w:keepLines w:val="0"/>
              <w:widowControl w:val="0"/>
              <w:suppressLineNumbers w:val="0"/>
              <w:spacing w:before="0" w:beforeAutospacing="0" w:after="0" w:afterAutospacing="0" w:line="276" w:lineRule="auto"/>
              <w:ind w:left="0" w:right="0"/>
              <w:jc w:val="both"/>
              <w:rPr>
                <w:rFonts w:hint="default" w:ascii="Times New Roman" w:hAnsi="Times New Roman" w:eastAsia="等线" w:cs="Times New Roman"/>
                <w:sz w:val="24"/>
                <w:szCs w:val="24"/>
                <w:lang w:val="en-US"/>
              </w:rPr>
            </w:pPr>
            <w:r>
              <w:rPr>
                <w:rFonts w:hint="default" w:ascii="Times New Roman" w:hAnsi="Times New Roman" w:eastAsia="等线" w:cs="Times New Roman"/>
                <w:kern w:val="2"/>
                <w:sz w:val="24"/>
                <w:szCs w:val="24"/>
                <w:lang w:val="en-US" w:eastAsia="zh-CN" w:bidi="ar"/>
              </w:rPr>
              <w:t>Measurement</w:t>
            </w:r>
          </w:p>
        </w:tc>
        <w:tc>
          <w:tcPr>
            <w:tcW w:w="2557" w:type="pct"/>
            <w:tcBorders>
              <w:top w:val="single" w:color="auto" w:sz="4" w:space="0"/>
              <w:left w:val="single" w:color="auto" w:sz="4" w:space="0"/>
              <w:bottom w:val="single" w:color="auto" w:sz="4" w:space="0"/>
              <w:right w:val="single" w:color="auto" w:sz="4" w:space="0"/>
            </w:tcBorders>
            <w:shd w:val="clear" w:color="auto" w:fill="auto"/>
            <w:vAlign w:val="top"/>
          </w:tcPr>
          <w:p w14:paraId="7B12D0D1">
            <w:pPr>
              <w:pStyle w:val="2"/>
              <w:keepNext w:val="0"/>
              <w:keepLines w:val="0"/>
              <w:widowControl/>
              <w:suppressLineNumbers w:val="0"/>
              <w:rPr>
                <w:rFonts w:hint="default" w:ascii="Times New Roman" w:hAnsi="Times New Roman" w:cs="Times New Roman"/>
                <w:lang w:val="en-US"/>
              </w:rPr>
            </w:pPr>
            <w:r>
              <w:rPr>
                <w:rFonts w:hint="default" w:ascii="Times New Roman" w:hAnsi="Times New Roman" w:cs="Times New Roman"/>
                <w:lang w:val="en-US"/>
              </w:rPr>
              <w:t xml:space="preserve">Quantification and Scoring of CVH Metric </w:t>
            </w:r>
          </w:p>
        </w:tc>
      </w:tr>
      <w:tr w14:paraId="7C5A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36" w:type="pct"/>
            <w:tcBorders>
              <w:top w:val="single" w:color="auto" w:sz="4" w:space="0"/>
              <w:left w:val="single" w:color="auto" w:sz="4" w:space="0"/>
              <w:bottom w:val="single" w:color="auto" w:sz="4" w:space="0"/>
              <w:right w:val="single" w:color="auto" w:sz="4" w:space="0"/>
            </w:tcBorders>
            <w:shd w:val="clear" w:color="auto" w:fill="auto"/>
            <w:vAlign w:val="top"/>
          </w:tcPr>
          <w:p w14:paraId="76611C10">
            <w:pPr>
              <w:keepNext w:val="0"/>
              <w:keepLines w:val="0"/>
              <w:widowControl w:val="0"/>
              <w:suppressLineNumbers w:val="0"/>
              <w:spacing w:before="0" w:beforeAutospacing="0" w:after="0" w:afterAutospacing="0" w:line="276" w:lineRule="auto"/>
              <w:ind w:left="0" w:right="0"/>
              <w:jc w:val="both"/>
              <w:rPr>
                <w:rFonts w:hint="default" w:ascii="Times New Roman" w:hAnsi="Times New Roman" w:eastAsia="等线" w:cs="Times New Roman"/>
                <w:sz w:val="24"/>
                <w:szCs w:val="24"/>
                <w:lang w:val="en-US"/>
              </w:rPr>
            </w:pPr>
            <w:r>
              <w:rPr>
                <w:rFonts w:hint="default" w:ascii="Times New Roman" w:hAnsi="Times New Roman" w:eastAsia="等线" w:cs="Times New Roman"/>
                <w:kern w:val="2"/>
                <w:sz w:val="24"/>
                <w:szCs w:val="24"/>
                <w:lang w:val="en-US" w:eastAsia="zh-CN" w:bidi="ar"/>
              </w:rPr>
              <w:t>Psychological</w:t>
            </w:r>
          </w:p>
          <w:p w14:paraId="6AE47EFB">
            <w:pPr>
              <w:keepNext w:val="0"/>
              <w:keepLines w:val="0"/>
              <w:widowControl w:val="0"/>
              <w:suppressLineNumbers w:val="0"/>
              <w:spacing w:before="0" w:beforeAutospacing="0" w:after="0" w:afterAutospacing="0" w:line="276" w:lineRule="auto"/>
              <w:ind w:left="0" w:right="0"/>
              <w:jc w:val="both"/>
              <w:rPr>
                <w:rFonts w:hint="default" w:ascii="Times New Roman" w:hAnsi="Times New Roman" w:eastAsia="等线" w:cs="Times New Roman"/>
                <w:sz w:val="24"/>
                <w:szCs w:val="24"/>
                <w:lang w:val="en-US"/>
              </w:rPr>
            </w:pPr>
            <w:r>
              <w:rPr>
                <w:rFonts w:hint="default" w:ascii="Times New Roman" w:hAnsi="Times New Roman" w:eastAsia="等线" w:cs="Times New Roman"/>
                <w:kern w:val="2"/>
                <w:sz w:val="24"/>
                <w:szCs w:val="24"/>
                <w:lang w:val="en-US" w:eastAsia="zh-CN" w:bidi="ar"/>
              </w:rPr>
              <w:t xml:space="preserve">Health  </w:t>
            </w:r>
          </w:p>
        </w:tc>
        <w:tc>
          <w:tcPr>
            <w:tcW w:w="767" w:type="pct"/>
            <w:tcBorders>
              <w:top w:val="single" w:color="auto" w:sz="4" w:space="0"/>
              <w:left w:val="single" w:color="auto" w:sz="4" w:space="0"/>
              <w:bottom w:val="single" w:color="auto" w:sz="4" w:space="0"/>
              <w:right w:val="single" w:color="auto" w:sz="4" w:space="0"/>
            </w:tcBorders>
            <w:shd w:val="clear" w:color="auto" w:fill="auto"/>
            <w:vAlign w:val="top"/>
          </w:tcPr>
          <w:p w14:paraId="2F155785">
            <w:pPr>
              <w:keepNext w:val="0"/>
              <w:keepLines w:val="0"/>
              <w:widowControl w:val="0"/>
              <w:suppressLineNumbers w:val="0"/>
              <w:spacing w:before="0" w:beforeAutospacing="0" w:after="0" w:afterAutospacing="0" w:line="276" w:lineRule="auto"/>
              <w:ind w:left="0" w:right="0"/>
              <w:jc w:val="both"/>
              <w:rPr>
                <w:rFonts w:hint="default" w:ascii="Times New Roman" w:hAnsi="Times New Roman" w:eastAsia="等线" w:cs="Times New Roman"/>
                <w:sz w:val="24"/>
                <w:szCs w:val="24"/>
                <w:lang w:val="en-US"/>
              </w:rPr>
            </w:pPr>
            <w:r>
              <w:rPr>
                <w:rFonts w:hint="default" w:ascii="Times New Roman" w:hAnsi="Times New Roman" w:eastAsia="等线" w:cs="Times New Roman"/>
                <w:kern w:val="2"/>
                <w:sz w:val="24"/>
                <w:szCs w:val="24"/>
                <w:lang w:val="en-US" w:eastAsia="zh-CN" w:bidi="ar"/>
              </w:rPr>
              <w:t>Depressive symptoms</w:t>
            </w:r>
          </w:p>
        </w:tc>
        <w:tc>
          <w:tcPr>
            <w:tcW w:w="736" w:type="pct"/>
            <w:tcBorders>
              <w:top w:val="single" w:color="auto" w:sz="4" w:space="0"/>
              <w:left w:val="single" w:color="auto" w:sz="4" w:space="0"/>
              <w:bottom w:val="single" w:color="auto" w:sz="4" w:space="0"/>
              <w:right w:val="single" w:color="auto" w:sz="4" w:space="0"/>
            </w:tcBorders>
            <w:shd w:val="clear" w:color="auto" w:fill="auto"/>
            <w:vAlign w:val="top"/>
          </w:tcPr>
          <w:p w14:paraId="1B4E0A14">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Depression Screener Questionnaire (DPQ) </w:t>
            </w:r>
          </w:p>
        </w:tc>
        <w:tc>
          <w:tcPr>
            <w:tcW w:w="2557" w:type="pct"/>
            <w:tcBorders>
              <w:top w:val="single" w:color="auto" w:sz="4" w:space="0"/>
              <w:left w:val="single" w:color="auto" w:sz="4" w:space="0"/>
              <w:bottom w:val="single" w:color="auto" w:sz="4" w:space="0"/>
              <w:right w:val="single" w:color="auto" w:sz="4" w:space="0"/>
            </w:tcBorders>
            <w:shd w:val="clear" w:color="auto" w:fill="auto"/>
            <w:vAlign w:val="top"/>
          </w:tcPr>
          <w:p w14:paraId="5DCCCE2A">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Metric: Nine-item depression screening instrument PHQ-9. Each symptom item in PHQ-9 is scored on a 4-point scale, from 0 (‘not at all’) to 3 (‘nearly every day’), resulting in a total score of 0 to 27 points.</w:t>
            </w:r>
          </w:p>
          <w:p w14:paraId="28575F47">
            <w:pPr>
              <w:pStyle w:val="2"/>
              <w:keepNext w:val="0"/>
              <w:keepLines w:val="0"/>
              <w:widowControl/>
              <w:suppressLineNumbers w:val="0"/>
              <w:shd w:val="clear" w:fill="FFFFFF"/>
              <w:rPr>
                <w:rFonts w:hint="default" w:ascii="Times New Roman" w:hAnsi="Times New Roman" w:cs="Times New Roman"/>
                <w:shd w:val="clear" w:fill="FFFFFF"/>
                <w:lang w:val="en-US"/>
              </w:rPr>
            </w:pPr>
          </w:p>
          <w:p w14:paraId="45254AB3">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Scoring:</w:t>
            </w:r>
          </w:p>
          <w:p w14:paraId="3C053246">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Points Level</w:t>
            </w:r>
          </w:p>
          <w:p w14:paraId="79CE02D2">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100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the score of 0 to 4 points</w:t>
            </w:r>
          </w:p>
          <w:p w14:paraId="5ADDDEE6">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70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the score of 5 to 9 points</w:t>
            </w:r>
          </w:p>
          <w:p w14:paraId="5DC4A407">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30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the score of 10 to 14 points</w:t>
            </w:r>
          </w:p>
          <w:p w14:paraId="6C62D19E">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 xml:space="preserve">the score of 15 to 27 points </w:t>
            </w:r>
          </w:p>
        </w:tc>
      </w:tr>
      <w:tr w14:paraId="3A21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36" w:type="pct"/>
            <w:vMerge w:val="restart"/>
            <w:tcBorders>
              <w:top w:val="single" w:color="auto" w:sz="4" w:space="0"/>
              <w:left w:val="single" w:color="auto" w:sz="4" w:space="0"/>
              <w:bottom w:val="single" w:color="auto" w:sz="4" w:space="0"/>
              <w:right w:val="single" w:color="auto" w:sz="4" w:space="0"/>
            </w:tcBorders>
            <w:shd w:val="clear" w:color="auto" w:fill="auto"/>
            <w:vAlign w:val="top"/>
          </w:tcPr>
          <w:p w14:paraId="1FF58FC7">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Health Behaviors </w:t>
            </w:r>
          </w:p>
        </w:tc>
        <w:tc>
          <w:tcPr>
            <w:tcW w:w="767" w:type="pct"/>
            <w:tcBorders>
              <w:top w:val="single" w:color="auto" w:sz="4" w:space="0"/>
              <w:left w:val="single" w:color="auto" w:sz="4" w:space="0"/>
              <w:bottom w:val="single" w:color="auto" w:sz="4" w:space="0"/>
              <w:right w:val="single" w:color="auto" w:sz="4" w:space="0"/>
            </w:tcBorders>
            <w:shd w:val="clear" w:color="auto" w:fill="auto"/>
            <w:vAlign w:val="top"/>
          </w:tcPr>
          <w:p w14:paraId="46FFBB73">
            <w:pPr>
              <w:keepNext w:val="0"/>
              <w:keepLines w:val="0"/>
              <w:widowControl w:val="0"/>
              <w:suppressLineNumbers w:val="0"/>
              <w:spacing w:before="0" w:beforeAutospacing="0" w:after="0" w:afterAutospacing="0" w:line="276" w:lineRule="auto"/>
              <w:ind w:left="0" w:right="0"/>
              <w:jc w:val="both"/>
              <w:rPr>
                <w:rFonts w:hint="default" w:ascii="Times New Roman" w:hAnsi="Times New Roman" w:eastAsia="等线" w:cs="Times New Roman"/>
                <w:sz w:val="24"/>
                <w:szCs w:val="24"/>
                <w:lang w:val="en-US"/>
              </w:rPr>
            </w:pPr>
            <w:r>
              <w:rPr>
                <w:rFonts w:hint="default" w:ascii="Times New Roman" w:hAnsi="Times New Roman" w:eastAsia="等线" w:cs="Times New Roman"/>
                <w:kern w:val="2"/>
                <w:sz w:val="24"/>
                <w:szCs w:val="24"/>
                <w:lang w:val="en-US" w:eastAsia="zh-CN" w:bidi="ar"/>
              </w:rPr>
              <w:t>Diet</w:t>
            </w:r>
          </w:p>
        </w:tc>
        <w:tc>
          <w:tcPr>
            <w:tcW w:w="736" w:type="pct"/>
            <w:tcBorders>
              <w:top w:val="single" w:color="auto" w:sz="4" w:space="0"/>
              <w:left w:val="single" w:color="auto" w:sz="4" w:space="0"/>
              <w:bottom w:val="single" w:color="auto" w:sz="4" w:space="0"/>
              <w:right w:val="single" w:color="auto" w:sz="4" w:space="0"/>
            </w:tcBorders>
            <w:shd w:val="clear" w:color="auto" w:fill="auto"/>
            <w:vAlign w:val="top"/>
          </w:tcPr>
          <w:p w14:paraId="52544E29">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Healthy Eating Index-2015 diet score percentile</w:t>
            </w:r>
          </w:p>
        </w:tc>
        <w:tc>
          <w:tcPr>
            <w:tcW w:w="2557" w:type="pct"/>
            <w:tcBorders>
              <w:top w:val="single" w:color="auto" w:sz="4" w:space="0"/>
              <w:left w:val="single" w:color="auto" w:sz="4" w:space="0"/>
              <w:bottom w:val="single" w:color="auto" w:sz="4" w:space="0"/>
              <w:right w:val="single" w:color="auto" w:sz="4" w:space="0"/>
            </w:tcBorders>
            <w:shd w:val="clear" w:color="auto" w:fill="auto"/>
            <w:vAlign w:val="top"/>
          </w:tcPr>
          <w:p w14:paraId="5E38909C">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Quantiles of DASH-style diet adherence</w:t>
            </w:r>
          </w:p>
          <w:p w14:paraId="758B7FF8">
            <w:pPr>
              <w:pStyle w:val="2"/>
              <w:keepNext w:val="0"/>
              <w:keepLines w:val="0"/>
              <w:widowControl/>
              <w:suppressLineNumbers w:val="0"/>
              <w:shd w:val="clear" w:fill="FFFFFF"/>
              <w:rPr>
                <w:rFonts w:hint="default" w:ascii="Times New Roman" w:hAnsi="Times New Roman" w:cs="Times New Roman"/>
                <w:shd w:val="clear" w:fill="FFFFFF"/>
                <w:lang w:val="en-US"/>
              </w:rPr>
            </w:pPr>
          </w:p>
          <w:p w14:paraId="4E73BF91">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Scoring (Population):</w:t>
            </w:r>
          </w:p>
          <w:p w14:paraId="31474472">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Points Quantile</w:t>
            </w:r>
          </w:p>
          <w:p w14:paraId="24F91FC4">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100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≥95th percentile (top/ideal diet)</w:t>
            </w:r>
          </w:p>
          <w:p w14:paraId="74C22A10">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80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75th – 94th percentile</w:t>
            </w:r>
          </w:p>
          <w:p w14:paraId="5073E2A6">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50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50th – 74th percentile</w:t>
            </w:r>
          </w:p>
          <w:p w14:paraId="0ADDD034">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25</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25th – 49th percentile</w:t>
            </w:r>
          </w:p>
          <w:p w14:paraId="6BB4B827">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 xml:space="preserve">     1st – 24th percentile (bottom/least ideal quartile)</w:t>
            </w:r>
          </w:p>
        </w:tc>
      </w:tr>
      <w:tr w14:paraId="572D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36" w:type="pct"/>
            <w:vMerge w:val="continue"/>
            <w:tcBorders>
              <w:top w:val="single" w:color="auto" w:sz="4" w:space="0"/>
              <w:left w:val="single" w:color="auto" w:sz="4" w:space="0"/>
              <w:bottom w:val="single" w:color="auto" w:sz="4" w:space="0"/>
              <w:right w:val="single" w:color="auto" w:sz="4" w:space="0"/>
            </w:tcBorders>
            <w:shd w:val="clear" w:color="auto" w:fill="auto"/>
            <w:vAlign w:val="top"/>
          </w:tcPr>
          <w:p w14:paraId="743F8E96">
            <w:pPr>
              <w:keepNext w:val="0"/>
              <w:keepLines w:val="0"/>
              <w:suppressLineNumbers w:val="0"/>
              <w:spacing w:before="0" w:beforeAutospacing="0" w:after="0" w:afterAutospacing="0"/>
              <w:ind w:left="0" w:right="0"/>
              <w:rPr>
                <w:rFonts w:hint="default" w:ascii="Times New Roman" w:hAnsi="Times New Roman" w:cs="Times New Roman"/>
                <w:sz w:val="21"/>
                <w:szCs w:val="22"/>
              </w:rPr>
            </w:pPr>
          </w:p>
        </w:tc>
        <w:tc>
          <w:tcPr>
            <w:tcW w:w="767" w:type="pct"/>
            <w:tcBorders>
              <w:top w:val="single" w:color="auto" w:sz="4" w:space="0"/>
              <w:left w:val="single" w:color="auto" w:sz="4" w:space="0"/>
              <w:bottom w:val="single" w:color="auto" w:sz="4" w:space="0"/>
              <w:right w:val="single" w:color="auto" w:sz="4" w:space="0"/>
            </w:tcBorders>
            <w:shd w:val="clear" w:color="auto" w:fill="auto"/>
            <w:vAlign w:val="top"/>
          </w:tcPr>
          <w:p w14:paraId="0FDA287A">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Physical activity </w:t>
            </w:r>
          </w:p>
        </w:tc>
        <w:tc>
          <w:tcPr>
            <w:tcW w:w="736" w:type="pct"/>
            <w:tcBorders>
              <w:top w:val="single" w:color="auto" w:sz="4" w:space="0"/>
              <w:left w:val="single" w:color="auto" w:sz="4" w:space="0"/>
              <w:bottom w:val="single" w:color="auto" w:sz="4" w:space="0"/>
              <w:right w:val="single" w:color="auto" w:sz="4" w:space="0"/>
            </w:tcBorders>
            <w:shd w:val="clear" w:color="auto" w:fill="auto"/>
            <w:vAlign w:val="top"/>
          </w:tcPr>
          <w:p w14:paraId="1DD82B2D">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Self-reported minutes of moderate or vigorous physical activity per week </w:t>
            </w:r>
          </w:p>
        </w:tc>
        <w:tc>
          <w:tcPr>
            <w:tcW w:w="2557" w:type="pct"/>
            <w:tcBorders>
              <w:top w:val="single" w:color="auto" w:sz="4" w:space="0"/>
              <w:left w:val="single" w:color="auto" w:sz="4" w:space="0"/>
              <w:bottom w:val="single" w:color="auto" w:sz="4" w:space="0"/>
              <w:right w:val="single" w:color="auto" w:sz="4" w:space="0"/>
            </w:tcBorders>
            <w:shd w:val="clear" w:color="auto" w:fill="auto"/>
            <w:vAlign w:val="top"/>
          </w:tcPr>
          <w:p w14:paraId="2EAC8397">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Metric: Minutes of moderate (or greater) intensity activity per week</w:t>
            </w:r>
          </w:p>
          <w:p w14:paraId="52DEF3AE">
            <w:pPr>
              <w:pStyle w:val="2"/>
              <w:keepNext w:val="0"/>
              <w:keepLines w:val="0"/>
              <w:widowControl/>
              <w:suppressLineNumbers w:val="0"/>
              <w:shd w:val="clear" w:fill="FFFFFF"/>
              <w:rPr>
                <w:rFonts w:hint="default" w:ascii="Times New Roman" w:hAnsi="Times New Roman" w:cs="Times New Roman"/>
                <w:shd w:val="clear" w:fill="FFFFFF"/>
                <w:lang w:val="en-US"/>
              </w:rPr>
            </w:pPr>
          </w:p>
          <w:p w14:paraId="1EB786A4">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Scoring:</w:t>
            </w:r>
          </w:p>
          <w:p w14:paraId="42584B27">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Points Minutes</w:t>
            </w:r>
          </w:p>
          <w:p w14:paraId="2576CF0B">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100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≥150</w:t>
            </w:r>
          </w:p>
          <w:p w14:paraId="1B3B7581">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90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120 – 149</w:t>
            </w:r>
          </w:p>
          <w:p w14:paraId="51466BFF">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80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90 – 119</w:t>
            </w:r>
          </w:p>
          <w:p w14:paraId="4662315E">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60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60 – 89</w:t>
            </w:r>
          </w:p>
          <w:p w14:paraId="7C138EE8">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40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30 – 59</w:t>
            </w:r>
          </w:p>
          <w:p w14:paraId="65A30A26">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20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1 – 29</w:t>
            </w:r>
          </w:p>
          <w:p w14:paraId="74D106E5">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0</w:t>
            </w:r>
          </w:p>
        </w:tc>
      </w:tr>
      <w:tr w14:paraId="613B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36" w:type="pct"/>
            <w:vMerge w:val="continue"/>
            <w:tcBorders>
              <w:top w:val="single" w:color="auto" w:sz="4" w:space="0"/>
              <w:left w:val="single" w:color="auto" w:sz="4" w:space="0"/>
              <w:bottom w:val="single" w:color="auto" w:sz="4" w:space="0"/>
              <w:right w:val="single" w:color="auto" w:sz="4" w:space="0"/>
            </w:tcBorders>
            <w:shd w:val="clear" w:color="auto" w:fill="auto"/>
            <w:vAlign w:val="top"/>
          </w:tcPr>
          <w:p w14:paraId="6EF02E95">
            <w:pPr>
              <w:keepNext w:val="0"/>
              <w:keepLines w:val="0"/>
              <w:suppressLineNumbers w:val="0"/>
              <w:spacing w:before="0" w:beforeAutospacing="0" w:after="0" w:afterAutospacing="0"/>
              <w:ind w:left="0" w:right="0"/>
              <w:rPr>
                <w:rFonts w:hint="default" w:ascii="Times New Roman" w:hAnsi="Times New Roman" w:cs="Times New Roman"/>
                <w:sz w:val="21"/>
                <w:szCs w:val="22"/>
              </w:rPr>
            </w:pPr>
          </w:p>
        </w:tc>
        <w:tc>
          <w:tcPr>
            <w:tcW w:w="767" w:type="pct"/>
            <w:tcBorders>
              <w:top w:val="single" w:color="auto" w:sz="4" w:space="0"/>
              <w:left w:val="single" w:color="auto" w:sz="4" w:space="0"/>
              <w:bottom w:val="single" w:color="auto" w:sz="4" w:space="0"/>
              <w:right w:val="single" w:color="auto" w:sz="4" w:space="0"/>
            </w:tcBorders>
            <w:shd w:val="clear" w:color="auto" w:fill="auto"/>
            <w:vAlign w:val="top"/>
          </w:tcPr>
          <w:p w14:paraId="54AE6426">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Nicotine exposure </w:t>
            </w:r>
          </w:p>
        </w:tc>
        <w:tc>
          <w:tcPr>
            <w:tcW w:w="736" w:type="pct"/>
            <w:tcBorders>
              <w:top w:val="single" w:color="auto" w:sz="4" w:space="0"/>
              <w:left w:val="single" w:color="auto" w:sz="4" w:space="0"/>
              <w:bottom w:val="single" w:color="auto" w:sz="4" w:space="0"/>
              <w:right w:val="single" w:color="auto" w:sz="4" w:space="0"/>
            </w:tcBorders>
            <w:shd w:val="clear" w:color="auto" w:fill="auto"/>
            <w:vAlign w:val="top"/>
          </w:tcPr>
          <w:p w14:paraId="1115C504">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Self-reported use of cigarettes or inhaled nicotine-delivery system </w:t>
            </w:r>
          </w:p>
        </w:tc>
        <w:tc>
          <w:tcPr>
            <w:tcW w:w="2557" w:type="pct"/>
            <w:tcBorders>
              <w:top w:val="single" w:color="auto" w:sz="4" w:space="0"/>
              <w:left w:val="single" w:color="auto" w:sz="4" w:space="0"/>
              <w:bottom w:val="single" w:color="auto" w:sz="4" w:space="0"/>
              <w:right w:val="single" w:color="auto" w:sz="4" w:space="0"/>
            </w:tcBorders>
            <w:shd w:val="clear" w:color="auto" w:fill="auto"/>
            <w:vAlign w:val="top"/>
          </w:tcPr>
          <w:p w14:paraId="0D0624BD">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Metric: Combustible tobacco use and inhaled NDS use; or secondhand smoke exposure</w:t>
            </w:r>
          </w:p>
          <w:p w14:paraId="6AE2BBC2">
            <w:pPr>
              <w:pStyle w:val="2"/>
              <w:keepNext w:val="0"/>
              <w:keepLines w:val="0"/>
              <w:widowControl/>
              <w:suppressLineNumbers w:val="0"/>
              <w:shd w:val="clear" w:fill="FFFFFF"/>
              <w:rPr>
                <w:rFonts w:hint="default" w:ascii="Times New Roman" w:hAnsi="Times New Roman" w:cs="Times New Roman"/>
                <w:shd w:val="clear" w:fill="FFFFFF"/>
                <w:lang w:val="en-US"/>
              </w:rPr>
            </w:pPr>
          </w:p>
          <w:p w14:paraId="5E6510BB">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Scoring:</w:t>
            </w:r>
          </w:p>
          <w:p w14:paraId="5AFDFBCE">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Points Status</w:t>
            </w:r>
          </w:p>
          <w:p w14:paraId="65A6DB16">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100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Never smoker</w:t>
            </w:r>
          </w:p>
          <w:p w14:paraId="53D24D29">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75</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Former smoker, quit ≥5 yrs</w:t>
            </w:r>
          </w:p>
          <w:p w14:paraId="4DCFD94A">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50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Former smoker, quit 1 - &lt;5 yrs</w:t>
            </w:r>
          </w:p>
          <w:p w14:paraId="5A1B9038">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25</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Former smoker, quit &lt;1 year, or currently using inhaled NDS</w:t>
            </w:r>
          </w:p>
          <w:p w14:paraId="364D2309">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Current smoker</w:t>
            </w:r>
          </w:p>
          <w:p w14:paraId="347B67F7">
            <w:pPr>
              <w:pStyle w:val="2"/>
              <w:keepNext w:val="0"/>
              <w:keepLines w:val="0"/>
              <w:widowControl/>
              <w:suppressLineNumbers w:val="0"/>
              <w:shd w:val="clear" w:fill="FFFFFF"/>
              <w:rPr>
                <w:rFonts w:hint="default" w:ascii="Times New Roman" w:hAnsi="Times New Roman" w:cs="Times New Roman"/>
                <w:shd w:val="clear" w:fill="FFFFFF"/>
                <w:lang w:val="en-US"/>
              </w:rPr>
            </w:pPr>
          </w:p>
          <w:p w14:paraId="783C76EC">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Subtract 20 points (unless the score is 0) for living with an active indoor smoker in the home</w:t>
            </w:r>
          </w:p>
        </w:tc>
      </w:tr>
      <w:tr w14:paraId="5CE6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36" w:type="pct"/>
            <w:vMerge w:val="continue"/>
            <w:tcBorders>
              <w:top w:val="single" w:color="auto" w:sz="4" w:space="0"/>
              <w:left w:val="single" w:color="auto" w:sz="4" w:space="0"/>
              <w:bottom w:val="single" w:color="auto" w:sz="4" w:space="0"/>
              <w:right w:val="single" w:color="auto" w:sz="4" w:space="0"/>
            </w:tcBorders>
            <w:shd w:val="clear" w:color="auto" w:fill="auto"/>
            <w:vAlign w:val="top"/>
          </w:tcPr>
          <w:p w14:paraId="7F6C3CD1">
            <w:pPr>
              <w:keepNext w:val="0"/>
              <w:keepLines w:val="0"/>
              <w:suppressLineNumbers w:val="0"/>
              <w:spacing w:before="0" w:beforeAutospacing="0" w:after="0" w:afterAutospacing="0"/>
              <w:ind w:left="0" w:right="0"/>
              <w:rPr>
                <w:rFonts w:hint="default" w:ascii="Times New Roman" w:hAnsi="Times New Roman" w:cs="Times New Roman"/>
                <w:sz w:val="21"/>
                <w:szCs w:val="22"/>
              </w:rPr>
            </w:pPr>
          </w:p>
        </w:tc>
        <w:tc>
          <w:tcPr>
            <w:tcW w:w="767" w:type="pct"/>
            <w:tcBorders>
              <w:top w:val="single" w:color="auto" w:sz="4" w:space="0"/>
              <w:left w:val="single" w:color="auto" w:sz="4" w:space="0"/>
              <w:bottom w:val="single" w:color="auto" w:sz="4" w:space="0"/>
              <w:right w:val="single" w:color="auto" w:sz="4" w:space="0"/>
            </w:tcBorders>
            <w:shd w:val="clear" w:color="auto" w:fill="auto"/>
            <w:vAlign w:val="top"/>
          </w:tcPr>
          <w:p w14:paraId="5C206E15">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Sleep health </w:t>
            </w:r>
          </w:p>
          <w:p w14:paraId="7B59B974">
            <w:pPr>
              <w:keepNext w:val="0"/>
              <w:keepLines w:val="0"/>
              <w:widowControl w:val="0"/>
              <w:suppressLineNumbers w:val="0"/>
              <w:spacing w:before="0" w:beforeAutospacing="0" w:after="0" w:afterAutospacing="0" w:line="276" w:lineRule="auto"/>
              <w:ind w:left="0" w:right="0"/>
              <w:jc w:val="both"/>
              <w:rPr>
                <w:rFonts w:hint="default" w:ascii="Times New Roman" w:hAnsi="Times New Roman" w:eastAsia="等线" w:cs="Times New Roman"/>
                <w:sz w:val="24"/>
                <w:szCs w:val="24"/>
                <w:lang w:val="en-US"/>
              </w:rPr>
            </w:pPr>
          </w:p>
        </w:tc>
        <w:tc>
          <w:tcPr>
            <w:tcW w:w="736" w:type="pct"/>
            <w:tcBorders>
              <w:top w:val="single" w:color="auto" w:sz="4" w:space="0"/>
              <w:left w:val="single" w:color="auto" w:sz="4" w:space="0"/>
              <w:bottom w:val="single" w:color="auto" w:sz="4" w:space="0"/>
              <w:right w:val="single" w:color="auto" w:sz="4" w:space="0"/>
            </w:tcBorders>
            <w:shd w:val="clear" w:color="auto" w:fill="auto"/>
            <w:vAlign w:val="top"/>
          </w:tcPr>
          <w:p w14:paraId="3E67E484">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Self-reported average hours of sleep per night </w:t>
            </w:r>
          </w:p>
        </w:tc>
        <w:tc>
          <w:tcPr>
            <w:tcW w:w="2557" w:type="pct"/>
            <w:tcBorders>
              <w:top w:val="single" w:color="auto" w:sz="4" w:space="0"/>
              <w:left w:val="single" w:color="auto" w:sz="4" w:space="0"/>
              <w:bottom w:val="single" w:color="auto" w:sz="4" w:space="0"/>
              <w:right w:val="single" w:color="auto" w:sz="4" w:space="0"/>
            </w:tcBorders>
            <w:shd w:val="clear" w:color="auto" w:fill="auto"/>
            <w:vAlign w:val="top"/>
          </w:tcPr>
          <w:p w14:paraId="45B1CB40">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Metric: Average hours of sleep per night</w:t>
            </w:r>
          </w:p>
          <w:p w14:paraId="2A75D4BE">
            <w:pPr>
              <w:pStyle w:val="2"/>
              <w:keepNext w:val="0"/>
              <w:keepLines w:val="0"/>
              <w:widowControl/>
              <w:suppressLineNumbers w:val="0"/>
              <w:shd w:val="clear" w:fill="FFFFFF"/>
              <w:rPr>
                <w:rFonts w:hint="default" w:ascii="Times New Roman" w:hAnsi="Times New Roman" w:cs="Times New Roman"/>
                <w:shd w:val="clear" w:fill="FFFFFF"/>
                <w:lang w:val="en-US"/>
              </w:rPr>
            </w:pPr>
          </w:p>
          <w:p w14:paraId="03B742DB">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Scoring:</w:t>
            </w:r>
          </w:p>
          <w:p w14:paraId="19B6D9C4">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Points Level</w:t>
            </w:r>
          </w:p>
          <w:p w14:paraId="11ABCF11">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100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7 – &lt;9</w:t>
            </w:r>
          </w:p>
          <w:p w14:paraId="37941BB7">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90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9 – &lt;10</w:t>
            </w:r>
          </w:p>
          <w:p w14:paraId="14A1668E">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70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6 – &lt;7</w:t>
            </w:r>
          </w:p>
          <w:p w14:paraId="0BB677F8">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40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5 – &lt;6 or ≥10</w:t>
            </w:r>
          </w:p>
          <w:p w14:paraId="3F98EF2C">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20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4 – &lt;5</w:t>
            </w:r>
          </w:p>
          <w:p w14:paraId="69E5DA70">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&lt;4</w:t>
            </w:r>
          </w:p>
        </w:tc>
      </w:tr>
      <w:tr w14:paraId="5BD9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36" w:type="pct"/>
            <w:vMerge w:val="restart"/>
            <w:tcBorders>
              <w:top w:val="single" w:color="auto" w:sz="4" w:space="0"/>
              <w:left w:val="single" w:color="auto" w:sz="4" w:space="0"/>
              <w:bottom w:val="single" w:color="auto" w:sz="4" w:space="0"/>
              <w:right w:val="single" w:color="auto" w:sz="4" w:space="0"/>
            </w:tcBorders>
            <w:shd w:val="clear" w:color="auto" w:fill="auto"/>
            <w:vAlign w:val="top"/>
          </w:tcPr>
          <w:p w14:paraId="6CBD7B37">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Health Factors </w:t>
            </w:r>
          </w:p>
          <w:p w14:paraId="72F1A972">
            <w:pPr>
              <w:keepNext w:val="0"/>
              <w:keepLines w:val="0"/>
              <w:widowControl w:val="0"/>
              <w:suppressLineNumbers w:val="0"/>
              <w:spacing w:before="0" w:beforeAutospacing="0" w:after="0" w:afterAutospacing="0" w:line="276" w:lineRule="auto"/>
              <w:ind w:left="0" w:right="0"/>
              <w:jc w:val="both"/>
              <w:rPr>
                <w:rFonts w:hint="default" w:ascii="Times New Roman" w:hAnsi="Times New Roman" w:eastAsia="等线" w:cs="Times New Roman"/>
                <w:sz w:val="24"/>
                <w:szCs w:val="24"/>
                <w:lang w:val="en-US"/>
              </w:rPr>
            </w:pPr>
          </w:p>
        </w:tc>
        <w:tc>
          <w:tcPr>
            <w:tcW w:w="767" w:type="pct"/>
            <w:tcBorders>
              <w:top w:val="single" w:color="auto" w:sz="4" w:space="0"/>
              <w:left w:val="single" w:color="auto" w:sz="4" w:space="0"/>
              <w:bottom w:val="single" w:color="auto" w:sz="4" w:space="0"/>
              <w:right w:val="single" w:color="auto" w:sz="4" w:space="0"/>
            </w:tcBorders>
            <w:shd w:val="clear" w:color="auto" w:fill="auto"/>
            <w:vAlign w:val="top"/>
          </w:tcPr>
          <w:p w14:paraId="431C754F">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Body mass index </w:t>
            </w:r>
          </w:p>
          <w:p w14:paraId="7142B065">
            <w:pPr>
              <w:keepNext w:val="0"/>
              <w:keepLines w:val="0"/>
              <w:widowControl w:val="0"/>
              <w:suppressLineNumbers w:val="0"/>
              <w:spacing w:before="0" w:beforeAutospacing="0" w:after="0" w:afterAutospacing="0" w:line="276" w:lineRule="auto"/>
              <w:ind w:left="0" w:right="0"/>
              <w:jc w:val="both"/>
              <w:rPr>
                <w:rFonts w:hint="default" w:ascii="Times New Roman" w:hAnsi="Times New Roman" w:eastAsia="等线" w:cs="Times New Roman"/>
                <w:sz w:val="24"/>
                <w:szCs w:val="24"/>
                <w:lang w:val="en-US"/>
              </w:rPr>
            </w:pPr>
          </w:p>
        </w:tc>
        <w:tc>
          <w:tcPr>
            <w:tcW w:w="736" w:type="pct"/>
            <w:tcBorders>
              <w:top w:val="single" w:color="auto" w:sz="4" w:space="0"/>
              <w:left w:val="single" w:color="auto" w:sz="4" w:space="0"/>
              <w:bottom w:val="single" w:color="auto" w:sz="4" w:space="0"/>
              <w:right w:val="single" w:color="auto" w:sz="4" w:space="0"/>
            </w:tcBorders>
            <w:shd w:val="clear" w:color="auto" w:fill="auto"/>
            <w:vAlign w:val="top"/>
          </w:tcPr>
          <w:p w14:paraId="536FE48E">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Body weight (kg) divided by height squared (m2) </w:t>
            </w:r>
          </w:p>
        </w:tc>
        <w:tc>
          <w:tcPr>
            <w:tcW w:w="2557" w:type="pct"/>
            <w:tcBorders>
              <w:top w:val="single" w:color="auto" w:sz="4" w:space="0"/>
              <w:left w:val="single" w:color="auto" w:sz="4" w:space="0"/>
              <w:bottom w:val="single" w:color="auto" w:sz="4" w:space="0"/>
              <w:right w:val="single" w:color="auto" w:sz="4" w:space="0"/>
            </w:tcBorders>
            <w:shd w:val="clear" w:color="auto" w:fill="auto"/>
            <w:vAlign w:val="top"/>
          </w:tcPr>
          <w:p w14:paraId="27D47CD0">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Metric: Body mass index (kg/m2)</w:t>
            </w:r>
          </w:p>
          <w:p w14:paraId="0EB64761">
            <w:pPr>
              <w:pStyle w:val="2"/>
              <w:keepNext w:val="0"/>
              <w:keepLines w:val="0"/>
              <w:widowControl/>
              <w:suppressLineNumbers w:val="0"/>
              <w:shd w:val="clear" w:fill="FFFFFF"/>
              <w:rPr>
                <w:rFonts w:hint="default" w:ascii="Times New Roman" w:hAnsi="Times New Roman" w:cs="Times New Roman"/>
                <w:shd w:val="clear" w:fill="FFFFFF"/>
                <w:lang w:val="en-US"/>
              </w:rPr>
            </w:pPr>
          </w:p>
          <w:p w14:paraId="6453D9A7">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Scoring: </w:t>
            </w:r>
          </w:p>
          <w:p w14:paraId="3971105D">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Points Level</w:t>
            </w:r>
          </w:p>
          <w:p w14:paraId="1EBE165A">
            <w:pPr>
              <w:pStyle w:val="2"/>
              <w:keepNext w:val="0"/>
              <w:keepLines w:val="0"/>
              <w:widowControl/>
              <w:suppressLineNumbers w:val="0"/>
              <w:shd w:val="clear" w:fill="FFFFFF"/>
              <w:rPr>
                <w:rFonts w:hint="default" w:ascii="Times New Roman" w:hAnsi="Times New Roman" w:cs="Times New Roman"/>
                <w:shd w:val="clear" w:fill="FFFFFF"/>
                <w:lang w:val="en-US"/>
              </w:rPr>
            </w:pPr>
          </w:p>
          <w:p w14:paraId="1004F2CB">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100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 xml:space="preserve">&lt;25.0 </w:t>
            </w:r>
          </w:p>
          <w:p w14:paraId="2684919B">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70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25.0 – 29.9</w:t>
            </w:r>
          </w:p>
          <w:p w14:paraId="338633DA">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30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30.0 – 34.9</w:t>
            </w:r>
          </w:p>
          <w:p w14:paraId="101659CD">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15</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35.0 – 39.9</w:t>
            </w:r>
          </w:p>
          <w:p w14:paraId="687BA77F">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≥40.0</w:t>
            </w:r>
          </w:p>
        </w:tc>
      </w:tr>
      <w:tr w14:paraId="6D5C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36" w:type="pct"/>
            <w:vMerge w:val="continue"/>
            <w:tcBorders>
              <w:top w:val="single" w:color="auto" w:sz="4" w:space="0"/>
              <w:left w:val="single" w:color="auto" w:sz="4" w:space="0"/>
              <w:bottom w:val="single" w:color="auto" w:sz="4" w:space="0"/>
              <w:right w:val="single" w:color="auto" w:sz="4" w:space="0"/>
            </w:tcBorders>
            <w:shd w:val="clear" w:color="auto" w:fill="auto"/>
            <w:vAlign w:val="top"/>
          </w:tcPr>
          <w:p w14:paraId="549EA045">
            <w:pPr>
              <w:keepNext w:val="0"/>
              <w:keepLines w:val="0"/>
              <w:suppressLineNumbers w:val="0"/>
              <w:spacing w:before="0" w:beforeAutospacing="0" w:after="0" w:afterAutospacing="0"/>
              <w:ind w:left="0" w:right="0"/>
              <w:rPr>
                <w:rFonts w:hint="default" w:ascii="Times New Roman" w:hAnsi="Times New Roman" w:cs="Times New Roman"/>
                <w:sz w:val="21"/>
                <w:szCs w:val="22"/>
              </w:rPr>
            </w:pPr>
          </w:p>
        </w:tc>
        <w:tc>
          <w:tcPr>
            <w:tcW w:w="767" w:type="pct"/>
            <w:tcBorders>
              <w:top w:val="single" w:color="auto" w:sz="4" w:space="0"/>
              <w:left w:val="single" w:color="auto" w:sz="4" w:space="0"/>
              <w:bottom w:val="single" w:color="auto" w:sz="4" w:space="0"/>
              <w:right w:val="single" w:color="auto" w:sz="4" w:space="0"/>
            </w:tcBorders>
            <w:shd w:val="clear" w:color="auto" w:fill="auto"/>
            <w:vAlign w:val="top"/>
          </w:tcPr>
          <w:p w14:paraId="514B675F">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Blood lipids </w:t>
            </w:r>
          </w:p>
          <w:p w14:paraId="2F176AE1">
            <w:pPr>
              <w:keepNext w:val="0"/>
              <w:keepLines w:val="0"/>
              <w:widowControl w:val="0"/>
              <w:suppressLineNumbers w:val="0"/>
              <w:spacing w:before="0" w:beforeAutospacing="0" w:after="0" w:afterAutospacing="0" w:line="276" w:lineRule="auto"/>
              <w:ind w:left="0" w:right="0"/>
              <w:jc w:val="both"/>
              <w:rPr>
                <w:rFonts w:hint="default" w:ascii="Times New Roman" w:hAnsi="Times New Roman" w:eastAsia="等线" w:cs="Times New Roman"/>
                <w:sz w:val="24"/>
                <w:szCs w:val="24"/>
                <w:lang w:val="en-US"/>
              </w:rPr>
            </w:pPr>
          </w:p>
        </w:tc>
        <w:tc>
          <w:tcPr>
            <w:tcW w:w="736" w:type="pct"/>
            <w:tcBorders>
              <w:top w:val="single" w:color="auto" w:sz="4" w:space="0"/>
              <w:left w:val="single" w:color="auto" w:sz="4" w:space="0"/>
              <w:bottom w:val="single" w:color="auto" w:sz="4" w:space="0"/>
              <w:right w:val="single" w:color="auto" w:sz="4" w:space="0"/>
            </w:tcBorders>
            <w:shd w:val="clear" w:color="auto" w:fill="auto"/>
            <w:vAlign w:val="top"/>
          </w:tcPr>
          <w:p w14:paraId="156FC095">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Plasma total and HDL-cholesterol with the calculation of non-HDL-cholesterol </w:t>
            </w:r>
          </w:p>
        </w:tc>
        <w:tc>
          <w:tcPr>
            <w:tcW w:w="2557" w:type="pct"/>
            <w:tcBorders>
              <w:top w:val="single" w:color="auto" w:sz="4" w:space="0"/>
              <w:left w:val="single" w:color="auto" w:sz="4" w:space="0"/>
              <w:bottom w:val="single" w:color="auto" w:sz="4" w:space="0"/>
              <w:right w:val="single" w:color="auto" w:sz="4" w:space="0"/>
            </w:tcBorders>
            <w:shd w:val="clear" w:color="auto" w:fill="auto"/>
            <w:vAlign w:val="top"/>
          </w:tcPr>
          <w:p w14:paraId="323F9CB9">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Metric: Non-HDL-cholesterol (mg/dL)</w:t>
            </w:r>
          </w:p>
          <w:p w14:paraId="3F26E002">
            <w:pPr>
              <w:pStyle w:val="2"/>
              <w:keepNext w:val="0"/>
              <w:keepLines w:val="0"/>
              <w:widowControl/>
              <w:suppressLineNumbers w:val="0"/>
              <w:shd w:val="clear" w:fill="FFFFFF"/>
              <w:rPr>
                <w:rFonts w:hint="default" w:ascii="Times New Roman" w:hAnsi="Times New Roman" w:cs="Times New Roman"/>
                <w:shd w:val="clear" w:fill="FFFFFF"/>
                <w:lang w:val="en-US"/>
              </w:rPr>
            </w:pPr>
          </w:p>
          <w:p w14:paraId="43DC9804">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Scoring:</w:t>
            </w:r>
          </w:p>
          <w:p w14:paraId="5AE2AE7F">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Points Level</w:t>
            </w:r>
          </w:p>
          <w:p w14:paraId="5931C657">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100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 xml:space="preserve">&lt;130 </w:t>
            </w:r>
          </w:p>
          <w:p w14:paraId="24D3CE4E">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60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130 – 159</w:t>
            </w:r>
          </w:p>
          <w:p w14:paraId="200E1BEB">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40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160 – 189</w:t>
            </w:r>
          </w:p>
          <w:p w14:paraId="5E0D383A">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20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190 – 219</w:t>
            </w:r>
          </w:p>
          <w:p w14:paraId="0F244E27">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≥220</w:t>
            </w:r>
          </w:p>
          <w:p w14:paraId="4BF33393">
            <w:pPr>
              <w:pStyle w:val="2"/>
              <w:keepNext w:val="0"/>
              <w:keepLines w:val="0"/>
              <w:widowControl/>
              <w:suppressLineNumbers w:val="0"/>
              <w:shd w:val="clear" w:fill="FFFFFF"/>
              <w:rPr>
                <w:rFonts w:hint="default" w:ascii="Times New Roman" w:hAnsi="Times New Roman" w:cs="Times New Roman"/>
                <w:shd w:val="clear" w:fill="FFFFFF"/>
                <w:lang w:val="en-US"/>
              </w:rPr>
            </w:pPr>
          </w:p>
          <w:p w14:paraId="33DCA15D">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If the drug-treated level, subtract 20 points</w:t>
            </w:r>
          </w:p>
        </w:tc>
      </w:tr>
      <w:tr w14:paraId="4C83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36" w:type="pct"/>
            <w:vMerge w:val="continue"/>
            <w:tcBorders>
              <w:top w:val="single" w:color="auto" w:sz="4" w:space="0"/>
              <w:left w:val="single" w:color="auto" w:sz="4" w:space="0"/>
              <w:bottom w:val="single" w:color="auto" w:sz="4" w:space="0"/>
              <w:right w:val="single" w:color="auto" w:sz="4" w:space="0"/>
            </w:tcBorders>
            <w:shd w:val="clear" w:color="auto" w:fill="auto"/>
            <w:vAlign w:val="top"/>
          </w:tcPr>
          <w:p w14:paraId="470DB1EA">
            <w:pPr>
              <w:keepNext w:val="0"/>
              <w:keepLines w:val="0"/>
              <w:suppressLineNumbers w:val="0"/>
              <w:spacing w:before="0" w:beforeAutospacing="0" w:after="0" w:afterAutospacing="0"/>
              <w:ind w:left="0" w:right="0"/>
              <w:rPr>
                <w:rFonts w:hint="default" w:ascii="Times New Roman" w:hAnsi="Times New Roman" w:cs="Times New Roman"/>
                <w:sz w:val="21"/>
                <w:szCs w:val="22"/>
              </w:rPr>
            </w:pPr>
          </w:p>
        </w:tc>
        <w:tc>
          <w:tcPr>
            <w:tcW w:w="767" w:type="pct"/>
            <w:tcBorders>
              <w:top w:val="single" w:color="auto" w:sz="4" w:space="0"/>
              <w:left w:val="single" w:color="auto" w:sz="4" w:space="0"/>
              <w:bottom w:val="single" w:color="auto" w:sz="4" w:space="0"/>
              <w:right w:val="single" w:color="auto" w:sz="4" w:space="0"/>
            </w:tcBorders>
            <w:shd w:val="clear" w:color="auto" w:fill="auto"/>
            <w:vAlign w:val="top"/>
          </w:tcPr>
          <w:p w14:paraId="29C2662E">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Blood glucose </w:t>
            </w:r>
          </w:p>
          <w:p w14:paraId="70AEFC50">
            <w:pPr>
              <w:pStyle w:val="2"/>
              <w:keepNext w:val="0"/>
              <w:keepLines w:val="0"/>
              <w:widowControl/>
              <w:suppressLineNumbers w:val="0"/>
              <w:shd w:val="clear" w:fill="FFFFFF"/>
              <w:rPr>
                <w:rFonts w:hint="default" w:ascii="Times New Roman" w:hAnsi="Times New Roman" w:cs="Times New Roman"/>
                <w:shd w:val="clear" w:fill="FFFFFF"/>
                <w:lang w:val="en-US"/>
              </w:rPr>
            </w:pPr>
          </w:p>
        </w:tc>
        <w:tc>
          <w:tcPr>
            <w:tcW w:w="736" w:type="pct"/>
            <w:tcBorders>
              <w:top w:val="single" w:color="auto" w:sz="4" w:space="0"/>
              <w:left w:val="single" w:color="auto" w:sz="4" w:space="0"/>
              <w:bottom w:val="single" w:color="auto" w:sz="4" w:space="0"/>
              <w:right w:val="single" w:color="auto" w:sz="4" w:space="0"/>
            </w:tcBorders>
            <w:shd w:val="clear" w:color="auto" w:fill="auto"/>
            <w:vAlign w:val="top"/>
          </w:tcPr>
          <w:p w14:paraId="620E8262">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Fasting blood glucose or casual hemoglobin A1c </w:t>
            </w:r>
          </w:p>
        </w:tc>
        <w:tc>
          <w:tcPr>
            <w:tcW w:w="2557" w:type="pct"/>
            <w:tcBorders>
              <w:top w:val="single" w:color="auto" w:sz="4" w:space="0"/>
              <w:left w:val="single" w:color="auto" w:sz="4" w:space="0"/>
              <w:bottom w:val="single" w:color="auto" w:sz="4" w:space="0"/>
              <w:right w:val="single" w:color="auto" w:sz="4" w:space="0"/>
            </w:tcBorders>
            <w:shd w:val="clear" w:color="auto" w:fill="auto"/>
            <w:vAlign w:val="top"/>
          </w:tcPr>
          <w:p w14:paraId="469F861C">
            <w:pPr>
              <w:pStyle w:val="2"/>
              <w:keepNext w:val="0"/>
              <w:keepLines w:val="0"/>
              <w:widowControl/>
              <w:suppressLineNumbers w:val="0"/>
              <w:shd w:val="clear" w:fill="FFFFFF"/>
              <w:rPr>
                <w:rFonts w:hint="default" w:ascii="Times New Roman" w:hAnsi="Times New Roman" w:cs="Times New Roman"/>
                <w:shd w:val="clear" w:fill="FFFFFF"/>
                <w:lang w:val="en-US"/>
              </w:rPr>
            </w:pPr>
            <w:bookmarkStart w:id="0" w:name="OLE_LINK23"/>
            <w:r>
              <w:rPr>
                <w:rFonts w:hint="default" w:ascii="Times New Roman" w:hAnsi="Times New Roman" w:cs="Times New Roman"/>
                <w:color w:val="auto"/>
                <w:shd w:val="clear" w:fill="FFFFFF"/>
                <w:lang w:val="en-US"/>
              </w:rPr>
              <w:t>Metric: Fasting blood glucose (mg/dL) or Hemoglobin A1c (%)</w:t>
            </w:r>
          </w:p>
          <w:p w14:paraId="13145807">
            <w:pPr>
              <w:pStyle w:val="2"/>
              <w:keepNext w:val="0"/>
              <w:keepLines w:val="0"/>
              <w:widowControl/>
              <w:suppressLineNumbers w:val="0"/>
              <w:shd w:val="clear" w:fill="FFFFFF"/>
              <w:rPr>
                <w:rFonts w:hint="default" w:ascii="Times New Roman" w:hAnsi="Times New Roman" w:cs="Times New Roman"/>
                <w:shd w:val="clear" w:fill="FFFFFF"/>
                <w:lang w:val="en-US"/>
              </w:rPr>
            </w:pPr>
          </w:p>
          <w:p w14:paraId="71829FCF">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Scoring:</w:t>
            </w:r>
          </w:p>
          <w:p w14:paraId="6C199F2C">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Points Level</w:t>
            </w:r>
          </w:p>
          <w:p w14:paraId="607DF9E4">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100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No history of diabetes and FBG &lt;100 (or HbA1c &lt; 5.7)</w:t>
            </w:r>
          </w:p>
          <w:p w14:paraId="0F2A460A">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60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No diabetes and FBG 100 – 125 (or HbA1c 5.7-6.4) (Pre-diabetes)</w:t>
            </w:r>
          </w:p>
          <w:p w14:paraId="18663170">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40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Diabetes with HbA1c &lt;7.0</w:t>
            </w:r>
          </w:p>
          <w:p w14:paraId="0A687743">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30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Diabetes with HbA1c 7.0 – 7.9</w:t>
            </w:r>
          </w:p>
          <w:p w14:paraId="238EF7A6">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20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Diabetes with HbA1c 8.0 – 8.9</w:t>
            </w:r>
          </w:p>
          <w:p w14:paraId="7973ACDC">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10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Diabetes with Hb A1c 9.0 – 9.9</w:t>
            </w:r>
          </w:p>
          <w:p w14:paraId="569D576C">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Diabetes with HbA1c ≥10.0</w:t>
            </w:r>
            <w:bookmarkEnd w:id="0"/>
          </w:p>
        </w:tc>
      </w:tr>
      <w:tr w14:paraId="7E97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36" w:type="pct"/>
            <w:vMerge w:val="continue"/>
            <w:tcBorders>
              <w:top w:val="single" w:color="auto" w:sz="4" w:space="0"/>
              <w:left w:val="single" w:color="auto" w:sz="4" w:space="0"/>
              <w:bottom w:val="single" w:color="auto" w:sz="4" w:space="0"/>
              <w:right w:val="single" w:color="auto" w:sz="4" w:space="0"/>
            </w:tcBorders>
            <w:shd w:val="clear" w:color="auto" w:fill="auto"/>
            <w:vAlign w:val="top"/>
          </w:tcPr>
          <w:p w14:paraId="662D091D">
            <w:pPr>
              <w:keepNext w:val="0"/>
              <w:keepLines w:val="0"/>
              <w:suppressLineNumbers w:val="0"/>
              <w:spacing w:before="0" w:beforeAutospacing="0" w:after="0" w:afterAutospacing="0"/>
              <w:ind w:left="0" w:right="0"/>
              <w:rPr>
                <w:rFonts w:hint="default" w:ascii="Times New Roman" w:hAnsi="Times New Roman" w:cs="Times New Roman"/>
                <w:sz w:val="21"/>
                <w:szCs w:val="22"/>
              </w:rPr>
            </w:pPr>
          </w:p>
        </w:tc>
        <w:tc>
          <w:tcPr>
            <w:tcW w:w="767" w:type="pct"/>
            <w:tcBorders>
              <w:top w:val="single" w:color="auto" w:sz="4" w:space="0"/>
              <w:left w:val="single" w:color="auto" w:sz="4" w:space="0"/>
              <w:bottom w:val="single" w:color="auto" w:sz="4" w:space="0"/>
              <w:right w:val="single" w:color="auto" w:sz="4" w:space="0"/>
            </w:tcBorders>
            <w:shd w:val="clear" w:color="auto" w:fill="auto"/>
            <w:vAlign w:val="top"/>
          </w:tcPr>
          <w:p w14:paraId="088A39E8">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Blood pressure </w:t>
            </w:r>
          </w:p>
        </w:tc>
        <w:tc>
          <w:tcPr>
            <w:tcW w:w="736" w:type="pct"/>
            <w:tcBorders>
              <w:top w:val="single" w:color="auto" w:sz="4" w:space="0"/>
              <w:left w:val="single" w:color="auto" w:sz="4" w:space="0"/>
              <w:bottom w:val="single" w:color="auto" w:sz="4" w:space="0"/>
              <w:right w:val="single" w:color="auto" w:sz="4" w:space="0"/>
            </w:tcBorders>
            <w:shd w:val="clear" w:color="auto" w:fill="auto"/>
            <w:vAlign w:val="top"/>
          </w:tcPr>
          <w:p w14:paraId="4A70373E">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 xml:space="preserve">Appropriately measured systolic and diastolic blood pressure </w:t>
            </w:r>
          </w:p>
        </w:tc>
        <w:tc>
          <w:tcPr>
            <w:tcW w:w="2557" w:type="pct"/>
            <w:tcBorders>
              <w:top w:val="single" w:color="auto" w:sz="4" w:space="0"/>
              <w:left w:val="single" w:color="auto" w:sz="4" w:space="0"/>
              <w:bottom w:val="single" w:color="auto" w:sz="4" w:space="0"/>
              <w:right w:val="single" w:color="auto" w:sz="4" w:space="0"/>
            </w:tcBorders>
            <w:shd w:val="clear" w:color="auto" w:fill="auto"/>
            <w:vAlign w:val="top"/>
          </w:tcPr>
          <w:p w14:paraId="7256A971">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Metric: Systolic and diastolic blood pressure (mm Hg)</w:t>
            </w:r>
          </w:p>
          <w:p w14:paraId="4997BE34">
            <w:pPr>
              <w:pStyle w:val="2"/>
              <w:keepNext w:val="0"/>
              <w:keepLines w:val="0"/>
              <w:widowControl/>
              <w:suppressLineNumbers w:val="0"/>
              <w:shd w:val="clear" w:fill="FFFFFF"/>
              <w:rPr>
                <w:rFonts w:hint="default" w:ascii="Times New Roman" w:hAnsi="Times New Roman" w:cs="Times New Roman"/>
                <w:shd w:val="clear" w:fill="FFFFFF"/>
                <w:lang w:val="en-US"/>
              </w:rPr>
            </w:pPr>
          </w:p>
          <w:p w14:paraId="13FEA460">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Scoring:</w:t>
            </w:r>
          </w:p>
          <w:p w14:paraId="09920632">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Points Level</w:t>
            </w:r>
          </w:p>
          <w:p w14:paraId="656858AE">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100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&lt;120/&lt;80 (Optimal)</w:t>
            </w:r>
          </w:p>
          <w:p w14:paraId="014CC86A">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75</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120-129/&lt;80 (Elevated)</w:t>
            </w:r>
          </w:p>
          <w:p w14:paraId="52748923">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50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130-139 or 80-89 (Stage I HTN)</w:t>
            </w:r>
          </w:p>
          <w:p w14:paraId="329CA2A6">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25</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140-159 or 90-99</w:t>
            </w:r>
          </w:p>
          <w:p w14:paraId="7AABBDDB">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0</w:t>
            </w:r>
            <w:r>
              <w:rPr>
                <w:rFonts w:hint="default" w:ascii="Times New Roman" w:hAnsi="Times New Roman" w:cs="Times New Roman"/>
                <w:color w:val="auto"/>
                <w:shd w:val="clear" w:fill="FFFFFF"/>
                <w:lang w:val="en-US"/>
              </w:rPr>
              <w:tab/>
            </w:r>
            <w:r>
              <w:rPr>
                <w:rFonts w:hint="default" w:ascii="Times New Roman" w:hAnsi="Times New Roman" w:cs="Times New Roman"/>
                <w:color w:val="auto"/>
                <w:shd w:val="clear" w:fill="FFFFFF"/>
                <w:lang w:val="en-US"/>
              </w:rPr>
              <w:t>≥160 or ≥100</w:t>
            </w:r>
          </w:p>
          <w:p w14:paraId="4ECDC0C0">
            <w:pPr>
              <w:pStyle w:val="2"/>
              <w:keepNext w:val="0"/>
              <w:keepLines w:val="0"/>
              <w:widowControl/>
              <w:suppressLineNumbers w:val="0"/>
              <w:shd w:val="clear" w:fill="FFFFFF"/>
              <w:rPr>
                <w:rFonts w:hint="default" w:ascii="Times New Roman" w:hAnsi="Times New Roman" w:cs="Times New Roman"/>
                <w:shd w:val="clear" w:fill="FFFFFF"/>
                <w:lang w:val="en-US"/>
              </w:rPr>
            </w:pPr>
          </w:p>
          <w:p w14:paraId="02D4AB85">
            <w:pPr>
              <w:pStyle w:val="2"/>
              <w:keepNext w:val="0"/>
              <w:keepLines w:val="0"/>
              <w:widowControl/>
              <w:suppressLineNumbers w:val="0"/>
              <w:shd w:val="clear" w:fill="FFFFFF"/>
              <w:rPr>
                <w:rFonts w:hint="default" w:ascii="Times New Roman" w:hAnsi="Times New Roman" w:cs="Times New Roman"/>
                <w:shd w:val="clear" w:fill="FFFFFF"/>
                <w:lang w:val="en-US"/>
              </w:rPr>
            </w:pPr>
            <w:r>
              <w:rPr>
                <w:rFonts w:hint="default" w:ascii="Times New Roman" w:hAnsi="Times New Roman" w:cs="Times New Roman"/>
                <w:color w:val="auto"/>
                <w:shd w:val="clear" w:fill="FFFFFF"/>
                <w:lang w:val="en-US"/>
              </w:rPr>
              <w:t>Subtract 20 points if treated level</w:t>
            </w:r>
          </w:p>
        </w:tc>
      </w:tr>
    </w:tbl>
    <w:p w14:paraId="7378F0FF">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700D0ADE">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43EC8106">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3BC9F974">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642CC03F">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5B25693A">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3F6FD531">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1E541725">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53B31CFF">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17D7E19A">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3A3DBF0D">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6BBB618A">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70E2A07F">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6173250B">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7F9AD814">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471D77FC">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4E2B179D">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105D4FE7">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6F3AD108">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17886D96">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66161FF1">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7D7CCEAC">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6F245340">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014943CC">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3C810035">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2CB6863C">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6A7E7C0E">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3634EE87">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1414B4A0">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06FDA70E">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4A743E33">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058B9F0E">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40C33DC1">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2B33FB34">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b/>
          <w:bCs/>
          <w:kern w:val="2"/>
          <w:sz w:val="24"/>
          <w:szCs w:val="24"/>
          <w:lang w:val="en-US" w:eastAsia="zh-CN" w:bidi="ar"/>
        </w:rPr>
      </w:pPr>
    </w:p>
    <w:p w14:paraId="787A52DD">
      <w:pPr>
        <w:keepNext w:val="0"/>
        <w:keepLines w:val="0"/>
        <w:widowControl w:val="0"/>
        <w:suppressLineNumbers w:val="0"/>
        <w:spacing w:before="0" w:beforeAutospacing="0" w:after="0" w:afterAutospacing="0"/>
        <w:ind w:left="0" w:right="0"/>
        <w:jc w:val="both"/>
        <w:rPr>
          <w:rFonts w:hint="default" w:ascii="Times New Roman" w:hAnsi="Times New Roman" w:cs="Times New Roman"/>
          <w:b/>
          <w:bCs/>
          <w:sz w:val="24"/>
          <w:szCs w:val="24"/>
          <w:lang w:val="en-US"/>
        </w:rPr>
      </w:pPr>
      <w:r>
        <w:rPr>
          <w:rFonts w:hint="default" w:ascii="Times New Roman" w:hAnsi="Times New Roman" w:eastAsia="等线" w:cs="Times New Roman"/>
          <w:b/>
          <w:bCs/>
          <w:kern w:val="2"/>
          <w:sz w:val="24"/>
          <w:szCs w:val="24"/>
          <w:lang w:val="en-US" w:eastAsia="zh-CN" w:bidi="ar"/>
        </w:rPr>
        <w:t xml:space="preserve">Table S2. </w:t>
      </w:r>
      <w:r>
        <w:rPr>
          <w:rFonts w:hint="default" w:ascii="Times New Roman" w:hAnsi="Times New Roman" w:eastAsia="等线" w:cs="Times New Roman"/>
          <w:kern w:val="2"/>
          <w:sz w:val="24"/>
          <w:szCs w:val="24"/>
          <w:lang w:val="en-US" w:eastAsia="zh-CN" w:bidi="ar"/>
        </w:rPr>
        <w:t>Healthy Eating Index-2015 Components &amp; Scoring Standards.</w:t>
      </w:r>
    </w:p>
    <w:tbl>
      <w:tblPr>
        <w:tblStyle w:val="7"/>
        <w:tblW w:w="5000" w:type="pct"/>
        <w:jc w:val="cente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Layout w:type="autofit"/>
        <w:tblCellMar>
          <w:top w:w="0" w:type="dxa"/>
          <w:left w:w="108" w:type="dxa"/>
          <w:bottom w:w="0" w:type="dxa"/>
          <w:right w:w="108" w:type="dxa"/>
        </w:tblCellMar>
      </w:tblPr>
      <w:tblGrid>
        <w:gridCol w:w="1712"/>
        <w:gridCol w:w="1318"/>
        <w:gridCol w:w="2802"/>
        <w:gridCol w:w="2690"/>
      </w:tblGrid>
      <w:tr w14:paraId="1FDB6D86">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666666" w:sz="12" w:space="0"/>
              <w:right w:val="single" w:color="999999" w:sz="4" w:space="0"/>
            </w:tcBorders>
            <w:shd w:val="clear" w:color="auto" w:fill="auto"/>
            <w:vAlign w:val="top"/>
          </w:tcPr>
          <w:p w14:paraId="3FC85A6C">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
                <w:bCs/>
                <w:color w:val="333333"/>
                <w:kern w:val="0"/>
                <w:sz w:val="24"/>
                <w:szCs w:val="24"/>
                <w:lang w:val="en-US" w:eastAsia="en-US"/>
              </w:rPr>
            </w:pPr>
            <w:r>
              <w:rPr>
                <w:rFonts w:hint="default" w:ascii="Times New Roman" w:hAnsi="Times New Roman" w:eastAsia="Times New Roman" w:cs="Times New Roman"/>
                <w:b/>
                <w:bCs/>
                <w:color w:val="333333"/>
                <w:kern w:val="0"/>
                <w:sz w:val="24"/>
                <w:szCs w:val="24"/>
                <w:lang w:val="en-US" w:eastAsia="en-US" w:bidi="ar"/>
              </w:rPr>
              <w:t>Component</w:t>
            </w:r>
          </w:p>
        </w:tc>
        <w:tc>
          <w:tcPr>
            <w:tcW w:w="773" w:type="pct"/>
            <w:tcBorders>
              <w:top w:val="single" w:color="999999" w:sz="4" w:space="0"/>
              <w:left w:val="single" w:color="999999" w:sz="4" w:space="0"/>
              <w:bottom w:val="single" w:color="666666" w:sz="12" w:space="0"/>
              <w:right w:val="single" w:color="999999" w:sz="4" w:space="0"/>
            </w:tcBorders>
            <w:shd w:val="clear" w:color="auto" w:fill="auto"/>
            <w:vAlign w:val="top"/>
          </w:tcPr>
          <w:p w14:paraId="5457C829">
            <w:pPr>
              <w:keepNext w:val="0"/>
              <w:keepLines w:val="0"/>
              <w:widowControl w:val="0"/>
              <w:suppressLineNumbers w:val="0"/>
              <w:spacing w:before="0" w:beforeAutospacing="0" w:after="0" w:afterAutospacing="0"/>
              <w:ind w:left="0" w:right="0"/>
              <w:jc w:val="center"/>
              <w:rPr>
                <w:rFonts w:hint="default" w:ascii="Times New Roman" w:hAnsi="Times New Roman" w:cs="Times New Roman"/>
                <w:b/>
                <w:bCs/>
                <w:color w:val="333333"/>
                <w:kern w:val="0"/>
                <w:sz w:val="24"/>
                <w:szCs w:val="24"/>
                <w:lang w:val="en-US" w:eastAsia="en-US"/>
              </w:rPr>
            </w:pPr>
            <w:r>
              <w:rPr>
                <w:rFonts w:hint="default" w:ascii="Times New Roman" w:hAnsi="Times New Roman" w:eastAsia="Times New Roman" w:cs="Times New Roman"/>
                <w:b/>
                <w:bCs/>
                <w:color w:val="333333"/>
                <w:kern w:val="0"/>
                <w:sz w:val="24"/>
                <w:szCs w:val="24"/>
                <w:lang w:val="en-US" w:eastAsia="en-US" w:bidi="ar"/>
              </w:rPr>
              <w:t>Maximum points</w:t>
            </w:r>
            <w:r>
              <w:rPr>
                <w:rFonts w:hint="default" w:ascii="Times New Roman" w:hAnsi="Times New Roman" w:eastAsia="等线" w:cs="Times New Roman"/>
                <w:color w:val="333333"/>
                <w:kern w:val="0"/>
                <w:sz w:val="24"/>
                <w:szCs w:val="24"/>
                <w:vertAlign w:val="superscript"/>
                <w:lang w:val="en-US" w:eastAsia="en-US" w:bidi="ar"/>
              </w:rPr>
              <w:t>1</w:t>
            </w:r>
          </w:p>
        </w:tc>
        <w:tc>
          <w:tcPr>
            <w:tcW w:w="1644" w:type="pct"/>
            <w:tcBorders>
              <w:top w:val="single" w:color="999999" w:sz="4" w:space="0"/>
              <w:left w:val="single" w:color="999999" w:sz="4" w:space="0"/>
              <w:bottom w:val="single" w:color="666666" w:sz="12" w:space="0"/>
              <w:right w:val="single" w:color="999999" w:sz="4" w:space="0"/>
            </w:tcBorders>
            <w:shd w:val="clear" w:color="auto" w:fill="auto"/>
            <w:vAlign w:val="top"/>
          </w:tcPr>
          <w:p w14:paraId="79DBB40B">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
                <w:bCs/>
                <w:color w:val="333333"/>
                <w:kern w:val="0"/>
                <w:sz w:val="24"/>
                <w:szCs w:val="24"/>
                <w:lang w:val="en-US" w:eastAsia="en-US"/>
              </w:rPr>
            </w:pPr>
            <w:r>
              <w:rPr>
                <w:rFonts w:hint="default" w:ascii="Times New Roman" w:hAnsi="Times New Roman" w:eastAsia="Times New Roman" w:cs="Times New Roman"/>
                <w:b/>
                <w:bCs/>
                <w:color w:val="333333"/>
                <w:kern w:val="0"/>
                <w:sz w:val="24"/>
                <w:szCs w:val="24"/>
                <w:lang w:val="en-US" w:eastAsia="en-US" w:bidi="ar"/>
              </w:rPr>
              <w:t>The standard for maximum score</w:t>
            </w:r>
          </w:p>
        </w:tc>
        <w:tc>
          <w:tcPr>
            <w:tcW w:w="1576" w:type="pct"/>
            <w:tcBorders>
              <w:top w:val="single" w:color="999999" w:sz="4" w:space="0"/>
              <w:left w:val="single" w:color="999999" w:sz="4" w:space="0"/>
              <w:bottom w:val="single" w:color="666666" w:sz="12" w:space="0"/>
              <w:right w:val="single" w:color="999999" w:sz="4" w:space="0"/>
            </w:tcBorders>
            <w:shd w:val="clear" w:color="auto" w:fill="auto"/>
            <w:vAlign w:val="top"/>
          </w:tcPr>
          <w:p w14:paraId="14EBB3B2">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
                <w:bCs/>
                <w:color w:val="333333"/>
                <w:kern w:val="0"/>
                <w:sz w:val="24"/>
                <w:szCs w:val="24"/>
                <w:lang w:val="en-US" w:eastAsia="en-US"/>
              </w:rPr>
            </w:pPr>
            <w:r>
              <w:rPr>
                <w:rFonts w:hint="default" w:ascii="Times New Roman" w:hAnsi="Times New Roman" w:eastAsia="Times New Roman" w:cs="Times New Roman"/>
                <w:b/>
                <w:bCs/>
                <w:color w:val="333333"/>
                <w:kern w:val="0"/>
                <w:sz w:val="24"/>
                <w:szCs w:val="24"/>
                <w:lang w:val="en-US" w:eastAsia="en-US" w:bidi="ar"/>
              </w:rPr>
              <w:t>The standard for a minimum score of zero</w:t>
            </w:r>
          </w:p>
        </w:tc>
      </w:tr>
      <w:tr w14:paraId="1EE33EB5">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Ex>
        <w:trPr>
          <w:jc w:val="center"/>
        </w:trPr>
        <w:tc>
          <w:tcPr>
            <w:tcW w:w="5000" w:type="pct"/>
            <w:gridSpan w:val="4"/>
            <w:tcBorders>
              <w:top w:val="single" w:color="999999" w:sz="4" w:space="0"/>
              <w:left w:val="single" w:color="999999" w:sz="4" w:space="0"/>
              <w:bottom w:val="single" w:color="999999" w:sz="4" w:space="0"/>
              <w:right w:val="single" w:color="999999" w:sz="4" w:space="0"/>
            </w:tcBorders>
            <w:shd w:val="clear" w:color="auto" w:fill="auto"/>
            <w:vAlign w:val="top"/>
          </w:tcPr>
          <w:p w14:paraId="721FC269">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i/>
                <w:iCs/>
                <w:color w:val="212529"/>
                <w:kern w:val="0"/>
                <w:sz w:val="24"/>
                <w:szCs w:val="24"/>
                <w:lang w:val="en-US" w:eastAsia="en-US"/>
              </w:rPr>
            </w:pPr>
            <w:r>
              <w:rPr>
                <w:rFonts w:hint="default" w:ascii="Times New Roman" w:hAnsi="Times New Roman" w:eastAsia="Times New Roman" w:cs="Times New Roman"/>
                <w:b/>
                <w:bCs/>
                <w:i/>
                <w:iCs/>
                <w:color w:val="212529"/>
                <w:kern w:val="0"/>
                <w:sz w:val="24"/>
                <w:szCs w:val="24"/>
                <w:lang w:val="en-US" w:eastAsia="en-US" w:bidi="ar"/>
              </w:rPr>
              <w:t>Adequacy</w:t>
            </w:r>
          </w:p>
        </w:tc>
      </w:tr>
      <w:tr w14:paraId="75E076B3">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0098C105">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kern w:val="0"/>
                <w:sz w:val="24"/>
                <w:szCs w:val="24"/>
                <w:lang w:val="en-US" w:eastAsia="en-US"/>
              </w:rPr>
            </w:pPr>
            <w:r>
              <w:rPr>
                <w:rFonts w:hint="default" w:ascii="Times New Roman" w:hAnsi="Times New Roman" w:eastAsia="Times New Roman" w:cs="Times New Roman"/>
                <w:kern w:val="0"/>
                <w:sz w:val="24"/>
                <w:szCs w:val="24"/>
                <w:lang w:val="en-US" w:eastAsia="en-US" w:bidi="ar"/>
              </w:rPr>
              <w:t>Total Fruits</w:t>
            </w:r>
            <w:r>
              <w:rPr>
                <w:rFonts w:hint="default" w:ascii="Times New Roman" w:hAnsi="Times New Roman" w:eastAsia="等线" w:cs="Times New Roman"/>
                <w:b/>
                <w:bCs/>
                <w:kern w:val="2"/>
                <w:sz w:val="24"/>
                <w:szCs w:val="24"/>
                <w:lang w:val="en-US" w:eastAsia="en-US" w:bidi="ar"/>
              </w:rPr>
              <w:fldChar w:fldCharType="begin"/>
            </w:r>
            <w:r>
              <w:rPr>
                <w:rFonts w:hint="default" w:ascii="Times New Roman" w:hAnsi="Times New Roman" w:eastAsia="等线" w:cs="Times New Roman"/>
                <w:b/>
                <w:bCs/>
                <w:kern w:val="2"/>
                <w:sz w:val="24"/>
                <w:szCs w:val="24"/>
                <w:lang w:val="en-US" w:eastAsia="en-US" w:bidi="ar"/>
              </w:rPr>
              <w:instrText xml:space="preserve"> HYPERLINK "https://epi.grants.cancer.gov/hei/developing.html" \l "f2" </w:instrText>
            </w:r>
            <w:r>
              <w:rPr>
                <w:rFonts w:hint="default" w:ascii="Times New Roman" w:hAnsi="Times New Roman" w:eastAsia="等线" w:cs="Times New Roman"/>
                <w:b/>
                <w:bCs/>
                <w:kern w:val="2"/>
                <w:sz w:val="24"/>
                <w:szCs w:val="24"/>
                <w:lang w:val="en-US" w:eastAsia="en-US" w:bidi="ar"/>
              </w:rPr>
              <w:fldChar w:fldCharType="separate"/>
            </w:r>
            <w:r>
              <w:rPr>
                <w:rStyle w:val="6"/>
                <w:rFonts w:hint="default" w:ascii="Times New Roman" w:hAnsi="Times New Roman" w:eastAsia="Times New Roman" w:cs="Times New Roman"/>
                <w:b w:val="0"/>
                <w:bCs w:val="0"/>
                <w:color w:val="auto"/>
                <w:kern w:val="0"/>
                <w:sz w:val="24"/>
                <w:szCs w:val="24"/>
                <w:u w:val="none"/>
                <w:vertAlign w:val="superscript"/>
                <w:lang w:val="en-US" w:eastAsia="en-US"/>
              </w:rPr>
              <w:t>2</w:t>
            </w:r>
            <w:r>
              <w:rPr>
                <w:rFonts w:hint="default" w:ascii="Times New Roman" w:hAnsi="Times New Roman" w:eastAsia="等线" w:cs="Times New Roman"/>
                <w:b/>
                <w:bCs/>
                <w:kern w:val="2"/>
                <w:sz w:val="24"/>
                <w:szCs w:val="24"/>
                <w:lang w:val="en-US" w:eastAsia="en-US" w:bidi="ar"/>
              </w:rPr>
              <w:fldChar w:fldCharType="end"/>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5EF4EFB0">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5</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2D275BC8">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≥0.8 cup equiv. per 1,000 kcal</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372236B7">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No Fruit</w:t>
            </w:r>
          </w:p>
        </w:tc>
      </w:tr>
      <w:tr w14:paraId="3BA419B5">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6D39982C">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kern w:val="0"/>
                <w:sz w:val="24"/>
                <w:szCs w:val="24"/>
                <w:lang w:val="en-US" w:eastAsia="en-US"/>
              </w:rPr>
            </w:pPr>
            <w:r>
              <w:rPr>
                <w:rFonts w:hint="default" w:ascii="Times New Roman" w:hAnsi="Times New Roman" w:eastAsia="Times New Roman" w:cs="Times New Roman"/>
                <w:kern w:val="0"/>
                <w:sz w:val="24"/>
                <w:szCs w:val="24"/>
                <w:lang w:val="en-US" w:eastAsia="en-US" w:bidi="ar"/>
              </w:rPr>
              <w:t>Whole Fruits</w:t>
            </w:r>
            <w:r>
              <w:rPr>
                <w:rFonts w:hint="default" w:ascii="Times New Roman" w:hAnsi="Times New Roman" w:eastAsia="等线" w:cs="Times New Roman"/>
                <w:b/>
                <w:bCs/>
                <w:kern w:val="2"/>
                <w:sz w:val="24"/>
                <w:szCs w:val="24"/>
                <w:lang w:val="en-US" w:eastAsia="en-US" w:bidi="ar"/>
              </w:rPr>
              <w:fldChar w:fldCharType="begin"/>
            </w:r>
            <w:r>
              <w:rPr>
                <w:rFonts w:hint="default" w:ascii="Times New Roman" w:hAnsi="Times New Roman" w:eastAsia="等线" w:cs="Times New Roman"/>
                <w:b/>
                <w:bCs/>
                <w:kern w:val="2"/>
                <w:sz w:val="24"/>
                <w:szCs w:val="24"/>
                <w:lang w:val="en-US" w:eastAsia="en-US" w:bidi="ar"/>
              </w:rPr>
              <w:instrText xml:space="preserve"> HYPERLINK "https://epi.grants.cancer.gov/hei/developing.html" \l "f3" </w:instrText>
            </w:r>
            <w:r>
              <w:rPr>
                <w:rFonts w:hint="default" w:ascii="Times New Roman" w:hAnsi="Times New Roman" w:eastAsia="等线" w:cs="Times New Roman"/>
                <w:b/>
                <w:bCs/>
                <w:kern w:val="2"/>
                <w:sz w:val="24"/>
                <w:szCs w:val="24"/>
                <w:lang w:val="en-US" w:eastAsia="en-US" w:bidi="ar"/>
              </w:rPr>
              <w:fldChar w:fldCharType="separate"/>
            </w:r>
            <w:r>
              <w:rPr>
                <w:rStyle w:val="6"/>
                <w:rFonts w:hint="default" w:ascii="Times New Roman" w:hAnsi="Times New Roman" w:eastAsia="Times New Roman" w:cs="Times New Roman"/>
                <w:b w:val="0"/>
                <w:bCs w:val="0"/>
                <w:color w:val="auto"/>
                <w:kern w:val="0"/>
                <w:sz w:val="24"/>
                <w:szCs w:val="24"/>
                <w:u w:val="none"/>
                <w:vertAlign w:val="superscript"/>
                <w:lang w:val="en-US" w:eastAsia="en-US"/>
              </w:rPr>
              <w:t>3</w:t>
            </w:r>
            <w:r>
              <w:rPr>
                <w:rFonts w:hint="default" w:ascii="Times New Roman" w:hAnsi="Times New Roman" w:eastAsia="等线" w:cs="Times New Roman"/>
                <w:b/>
                <w:bCs/>
                <w:kern w:val="2"/>
                <w:sz w:val="24"/>
                <w:szCs w:val="24"/>
                <w:lang w:val="en-US" w:eastAsia="en-US" w:bidi="ar"/>
              </w:rPr>
              <w:fldChar w:fldCharType="end"/>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7992936C">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5</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51819832">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≥0.4 cup equiv. per 1,000 kcal</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6104E60A">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No Whole Fruit</w:t>
            </w:r>
          </w:p>
        </w:tc>
      </w:tr>
      <w:tr w14:paraId="1875DCA0">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78C1A03B">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kern w:val="0"/>
                <w:sz w:val="24"/>
                <w:szCs w:val="24"/>
                <w:lang w:val="en-US" w:eastAsia="en-US"/>
              </w:rPr>
            </w:pPr>
            <w:r>
              <w:rPr>
                <w:rFonts w:hint="default" w:ascii="Times New Roman" w:hAnsi="Times New Roman" w:eastAsia="Times New Roman" w:cs="Times New Roman"/>
                <w:kern w:val="0"/>
                <w:sz w:val="24"/>
                <w:szCs w:val="24"/>
                <w:lang w:val="en-US" w:eastAsia="en-US" w:bidi="ar"/>
              </w:rPr>
              <w:t>Total Vegetables</w:t>
            </w:r>
            <w:r>
              <w:rPr>
                <w:rFonts w:hint="default" w:ascii="Times New Roman" w:hAnsi="Times New Roman" w:eastAsia="等线" w:cs="Times New Roman"/>
                <w:b/>
                <w:bCs/>
                <w:kern w:val="2"/>
                <w:sz w:val="24"/>
                <w:szCs w:val="24"/>
                <w:lang w:val="en-US" w:eastAsia="en-US" w:bidi="ar"/>
              </w:rPr>
              <w:fldChar w:fldCharType="begin"/>
            </w:r>
            <w:r>
              <w:rPr>
                <w:rFonts w:hint="default" w:ascii="Times New Roman" w:hAnsi="Times New Roman" w:eastAsia="等线" w:cs="Times New Roman"/>
                <w:b/>
                <w:bCs/>
                <w:kern w:val="2"/>
                <w:sz w:val="24"/>
                <w:szCs w:val="24"/>
                <w:lang w:val="en-US" w:eastAsia="en-US" w:bidi="ar"/>
              </w:rPr>
              <w:instrText xml:space="preserve"> HYPERLINK "https://epi.grants.cancer.gov/hei/developing.html" \l "f4" </w:instrText>
            </w:r>
            <w:r>
              <w:rPr>
                <w:rFonts w:hint="default" w:ascii="Times New Roman" w:hAnsi="Times New Roman" w:eastAsia="等线" w:cs="Times New Roman"/>
                <w:b/>
                <w:bCs/>
                <w:kern w:val="2"/>
                <w:sz w:val="24"/>
                <w:szCs w:val="24"/>
                <w:lang w:val="en-US" w:eastAsia="en-US" w:bidi="ar"/>
              </w:rPr>
              <w:fldChar w:fldCharType="separate"/>
            </w:r>
            <w:r>
              <w:rPr>
                <w:rStyle w:val="6"/>
                <w:rFonts w:hint="default" w:ascii="Times New Roman" w:hAnsi="Times New Roman" w:eastAsia="Times New Roman" w:cs="Times New Roman"/>
                <w:b w:val="0"/>
                <w:bCs w:val="0"/>
                <w:color w:val="auto"/>
                <w:kern w:val="0"/>
                <w:sz w:val="24"/>
                <w:szCs w:val="24"/>
                <w:u w:val="none"/>
                <w:vertAlign w:val="superscript"/>
                <w:lang w:val="en-US" w:eastAsia="en-US"/>
              </w:rPr>
              <w:t>4</w:t>
            </w:r>
            <w:r>
              <w:rPr>
                <w:rFonts w:hint="default" w:ascii="Times New Roman" w:hAnsi="Times New Roman" w:eastAsia="等线" w:cs="Times New Roman"/>
                <w:b/>
                <w:bCs/>
                <w:kern w:val="2"/>
                <w:sz w:val="24"/>
                <w:szCs w:val="24"/>
                <w:lang w:val="en-US" w:eastAsia="en-US" w:bidi="ar"/>
              </w:rPr>
              <w:fldChar w:fldCharType="end"/>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6E657C65">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5</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69EE46EA">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≥1.1 cup equiv. per 1,000 kcal</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6FAA1FCA">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No Vegetables</w:t>
            </w:r>
          </w:p>
        </w:tc>
      </w:tr>
      <w:tr w14:paraId="1D1E09C6">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7DF373F3">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kern w:val="0"/>
                <w:sz w:val="24"/>
                <w:szCs w:val="24"/>
                <w:lang w:val="en-US" w:eastAsia="en-US"/>
              </w:rPr>
            </w:pPr>
            <w:r>
              <w:rPr>
                <w:rFonts w:hint="default" w:ascii="Times New Roman" w:hAnsi="Times New Roman" w:eastAsia="Times New Roman" w:cs="Times New Roman"/>
                <w:kern w:val="0"/>
                <w:sz w:val="24"/>
                <w:szCs w:val="24"/>
                <w:lang w:val="en-US" w:eastAsia="en-US" w:bidi="ar"/>
              </w:rPr>
              <w:t>Greens and Beans</w:t>
            </w:r>
            <w:r>
              <w:rPr>
                <w:rFonts w:hint="default" w:ascii="Times New Roman" w:hAnsi="Times New Roman" w:eastAsia="等线" w:cs="Times New Roman"/>
                <w:b/>
                <w:bCs/>
                <w:kern w:val="2"/>
                <w:sz w:val="24"/>
                <w:szCs w:val="24"/>
                <w:lang w:val="en-US" w:eastAsia="en-US" w:bidi="ar"/>
              </w:rPr>
              <w:fldChar w:fldCharType="begin"/>
            </w:r>
            <w:r>
              <w:rPr>
                <w:rFonts w:hint="default" w:ascii="Times New Roman" w:hAnsi="Times New Roman" w:eastAsia="等线" w:cs="Times New Roman"/>
                <w:b/>
                <w:bCs/>
                <w:kern w:val="2"/>
                <w:sz w:val="24"/>
                <w:szCs w:val="24"/>
                <w:lang w:val="en-US" w:eastAsia="en-US" w:bidi="ar"/>
              </w:rPr>
              <w:instrText xml:space="preserve"> HYPERLINK "https://epi.grants.cancer.gov/hei/developing.html" \l "f4" </w:instrText>
            </w:r>
            <w:r>
              <w:rPr>
                <w:rFonts w:hint="default" w:ascii="Times New Roman" w:hAnsi="Times New Roman" w:eastAsia="等线" w:cs="Times New Roman"/>
                <w:b/>
                <w:bCs/>
                <w:kern w:val="2"/>
                <w:sz w:val="24"/>
                <w:szCs w:val="24"/>
                <w:lang w:val="en-US" w:eastAsia="en-US" w:bidi="ar"/>
              </w:rPr>
              <w:fldChar w:fldCharType="separate"/>
            </w:r>
            <w:r>
              <w:rPr>
                <w:rStyle w:val="6"/>
                <w:rFonts w:hint="default" w:ascii="Times New Roman" w:hAnsi="Times New Roman" w:eastAsia="Times New Roman" w:cs="Times New Roman"/>
                <w:b w:val="0"/>
                <w:bCs w:val="0"/>
                <w:color w:val="auto"/>
                <w:kern w:val="0"/>
                <w:sz w:val="24"/>
                <w:szCs w:val="24"/>
                <w:u w:val="none"/>
                <w:vertAlign w:val="superscript"/>
                <w:lang w:val="en-US" w:eastAsia="en-US"/>
              </w:rPr>
              <w:t>4</w:t>
            </w:r>
            <w:r>
              <w:rPr>
                <w:rFonts w:hint="default" w:ascii="Times New Roman" w:hAnsi="Times New Roman" w:eastAsia="等线" w:cs="Times New Roman"/>
                <w:b/>
                <w:bCs/>
                <w:kern w:val="2"/>
                <w:sz w:val="24"/>
                <w:szCs w:val="24"/>
                <w:lang w:val="en-US" w:eastAsia="en-US" w:bidi="ar"/>
              </w:rPr>
              <w:fldChar w:fldCharType="end"/>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196DC83E">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5</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6E4AA692">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≥0.2 cup equiv. per 1,000 kcal</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0F437EAB">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No Dark Green Vegetables or Legumes</w:t>
            </w:r>
          </w:p>
        </w:tc>
      </w:tr>
      <w:tr w14:paraId="09E66AB0">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4553B721">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kern w:val="0"/>
                <w:sz w:val="24"/>
                <w:szCs w:val="24"/>
                <w:lang w:val="en-US" w:eastAsia="en-US"/>
              </w:rPr>
            </w:pPr>
            <w:r>
              <w:rPr>
                <w:rFonts w:hint="default" w:ascii="Times New Roman" w:hAnsi="Times New Roman" w:eastAsia="Times New Roman" w:cs="Times New Roman"/>
                <w:kern w:val="0"/>
                <w:sz w:val="24"/>
                <w:szCs w:val="24"/>
                <w:lang w:val="en-US" w:eastAsia="en-US" w:bidi="ar"/>
              </w:rPr>
              <w:t>Whole Grains</w:t>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276CA3B9">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10</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6B71F6F7">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≥1.5 oz equiv. per 1,000 kcal</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6CF48985">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No Whole Grains</w:t>
            </w:r>
          </w:p>
        </w:tc>
      </w:tr>
      <w:tr w14:paraId="7407D579">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15183B12">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kern w:val="0"/>
                <w:sz w:val="24"/>
                <w:szCs w:val="24"/>
                <w:lang w:val="en-US" w:eastAsia="en-US"/>
              </w:rPr>
            </w:pPr>
            <w:r>
              <w:rPr>
                <w:rFonts w:hint="default" w:ascii="Times New Roman" w:hAnsi="Times New Roman" w:eastAsia="Times New Roman" w:cs="Times New Roman"/>
                <w:kern w:val="0"/>
                <w:sz w:val="24"/>
                <w:szCs w:val="24"/>
                <w:lang w:val="en-US" w:eastAsia="en-US" w:bidi="ar"/>
              </w:rPr>
              <w:t>Dairy</w:t>
            </w:r>
            <w:r>
              <w:rPr>
                <w:rFonts w:hint="default" w:ascii="Times New Roman" w:hAnsi="Times New Roman" w:eastAsia="等线" w:cs="Times New Roman"/>
                <w:b/>
                <w:bCs/>
                <w:kern w:val="2"/>
                <w:sz w:val="24"/>
                <w:szCs w:val="24"/>
                <w:lang w:val="en-US" w:eastAsia="en-US" w:bidi="ar"/>
              </w:rPr>
              <w:fldChar w:fldCharType="begin"/>
            </w:r>
            <w:r>
              <w:rPr>
                <w:rFonts w:hint="default" w:ascii="Times New Roman" w:hAnsi="Times New Roman" w:eastAsia="等线" w:cs="Times New Roman"/>
                <w:b/>
                <w:bCs/>
                <w:kern w:val="2"/>
                <w:sz w:val="24"/>
                <w:szCs w:val="24"/>
                <w:lang w:val="en-US" w:eastAsia="en-US" w:bidi="ar"/>
              </w:rPr>
              <w:instrText xml:space="preserve"> HYPERLINK "https://epi.grants.cancer.gov/hei/developing.html" \l "f5" </w:instrText>
            </w:r>
            <w:r>
              <w:rPr>
                <w:rFonts w:hint="default" w:ascii="Times New Roman" w:hAnsi="Times New Roman" w:eastAsia="等线" w:cs="Times New Roman"/>
                <w:b/>
                <w:bCs/>
                <w:kern w:val="2"/>
                <w:sz w:val="24"/>
                <w:szCs w:val="24"/>
                <w:lang w:val="en-US" w:eastAsia="en-US" w:bidi="ar"/>
              </w:rPr>
              <w:fldChar w:fldCharType="separate"/>
            </w:r>
            <w:r>
              <w:rPr>
                <w:rStyle w:val="6"/>
                <w:rFonts w:hint="default" w:ascii="Times New Roman" w:hAnsi="Times New Roman" w:eastAsia="Times New Roman" w:cs="Times New Roman"/>
                <w:b w:val="0"/>
                <w:bCs w:val="0"/>
                <w:color w:val="auto"/>
                <w:kern w:val="0"/>
                <w:sz w:val="24"/>
                <w:szCs w:val="24"/>
                <w:u w:val="none"/>
                <w:vertAlign w:val="superscript"/>
                <w:lang w:val="en-US" w:eastAsia="en-US"/>
              </w:rPr>
              <w:t>5</w:t>
            </w:r>
            <w:r>
              <w:rPr>
                <w:rFonts w:hint="default" w:ascii="Times New Roman" w:hAnsi="Times New Roman" w:eastAsia="等线" w:cs="Times New Roman"/>
                <w:b/>
                <w:bCs/>
                <w:kern w:val="2"/>
                <w:sz w:val="24"/>
                <w:szCs w:val="24"/>
                <w:lang w:val="en-US" w:eastAsia="en-US" w:bidi="ar"/>
              </w:rPr>
              <w:fldChar w:fldCharType="end"/>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52B23E14">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10</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5B110BB9">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≥1.3 cup equiv. per 1,000 kcal</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092B6B46">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No Dairy</w:t>
            </w:r>
          </w:p>
        </w:tc>
      </w:tr>
      <w:tr w14:paraId="0F458C4A">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743E7431">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kern w:val="0"/>
                <w:sz w:val="24"/>
                <w:szCs w:val="24"/>
                <w:lang w:val="en-US" w:eastAsia="en-US"/>
              </w:rPr>
            </w:pPr>
            <w:r>
              <w:rPr>
                <w:rFonts w:hint="default" w:ascii="Times New Roman" w:hAnsi="Times New Roman" w:eastAsia="Times New Roman" w:cs="Times New Roman"/>
                <w:kern w:val="0"/>
                <w:sz w:val="24"/>
                <w:szCs w:val="24"/>
                <w:lang w:val="en-US" w:eastAsia="en-US" w:bidi="ar"/>
              </w:rPr>
              <w:t>Total Protein Foods</w:t>
            </w:r>
            <w:r>
              <w:rPr>
                <w:rFonts w:hint="default" w:ascii="Times New Roman" w:hAnsi="Times New Roman" w:eastAsia="等线" w:cs="Times New Roman"/>
                <w:b/>
                <w:bCs/>
                <w:kern w:val="2"/>
                <w:sz w:val="24"/>
                <w:szCs w:val="24"/>
                <w:lang w:val="en-US" w:eastAsia="en-US" w:bidi="ar"/>
              </w:rPr>
              <w:fldChar w:fldCharType="begin"/>
            </w:r>
            <w:r>
              <w:rPr>
                <w:rFonts w:hint="default" w:ascii="Times New Roman" w:hAnsi="Times New Roman" w:eastAsia="等线" w:cs="Times New Roman"/>
                <w:b/>
                <w:bCs/>
                <w:kern w:val="2"/>
                <w:sz w:val="24"/>
                <w:szCs w:val="24"/>
                <w:lang w:val="en-US" w:eastAsia="en-US" w:bidi="ar"/>
              </w:rPr>
              <w:instrText xml:space="preserve"> HYPERLINK "https://epi.grants.cancer.gov/hei/developing.html" \l "f6" </w:instrText>
            </w:r>
            <w:r>
              <w:rPr>
                <w:rFonts w:hint="default" w:ascii="Times New Roman" w:hAnsi="Times New Roman" w:eastAsia="等线" w:cs="Times New Roman"/>
                <w:b/>
                <w:bCs/>
                <w:kern w:val="2"/>
                <w:sz w:val="24"/>
                <w:szCs w:val="24"/>
                <w:lang w:val="en-US" w:eastAsia="en-US" w:bidi="ar"/>
              </w:rPr>
              <w:fldChar w:fldCharType="separate"/>
            </w:r>
            <w:r>
              <w:rPr>
                <w:rStyle w:val="6"/>
                <w:rFonts w:hint="default" w:ascii="Times New Roman" w:hAnsi="Times New Roman" w:eastAsia="Times New Roman" w:cs="Times New Roman"/>
                <w:b w:val="0"/>
                <w:bCs w:val="0"/>
                <w:color w:val="auto"/>
                <w:kern w:val="0"/>
                <w:sz w:val="24"/>
                <w:szCs w:val="24"/>
                <w:u w:val="none"/>
                <w:vertAlign w:val="superscript"/>
                <w:lang w:val="en-US" w:eastAsia="en-US"/>
              </w:rPr>
              <w:t>6</w:t>
            </w:r>
            <w:r>
              <w:rPr>
                <w:rFonts w:hint="default" w:ascii="Times New Roman" w:hAnsi="Times New Roman" w:eastAsia="等线" w:cs="Times New Roman"/>
                <w:b/>
                <w:bCs/>
                <w:kern w:val="2"/>
                <w:sz w:val="24"/>
                <w:szCs w:val="24"/>
                <w:lang w:val="en-US" w:eastAsia="en-US" w:bidi="ar"/>
              </w:rPr>
              <w:fldChar w:fldCharType="end"/>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194B9129">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5</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3D7FEEE5">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≥2.5 oz equiv. per 1,000 kcal</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35FDF486">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No Protein Foods</w:t>
            </w:r>
          </w:p>
        </w:tc>
      </w:tr>
      <w:tr w14:paraId="33964C46">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4F246A1D">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kern w:val="0"/>
                <w:sz w:val="24"/>
                <w:szCs w:val="24"/>
                <w:lang w:val="en-US" w:eastAsia="en-US"/>
              </w:rPr>
            </w:pPr>
            <w:r>
              <w:rPr>
                <w:rFonts w:hint="default" w:ascii="Times New Roman" w:hAnsi="Times New Roman" w:eastAsia="Times New Roman" w:cs="Times New Roman"/>
                <w:kern w:val="0"/>
                <w:sz w:val="24"/>
                <w:szCs w:val="24"/>
                <w:lang w:val="en-US" w:eastAsia="en-US" w:bidi="ar"/>
              </w:rPr>
              <w:t>Seafood and Plant Proteins</w:t>
            </w:r>
            <w:r>
              <w:rPr>
                <w:rFonts w:hint="default" w:ascii="Times New Roman" w:hAnsi="Times New Roman" w:eastAsia="等线" w:cs="Times New Roman"/>
                <w:b/>
                <w:bCs/>
                <w:kern w:val="2"/>
                <w:sz w:val="24"/>
                <w:szCs w:val="24"/>
                <w:lang w:val="en-US" w:eastAsia="en-US" w:bidi="ar"/>
              </w:rPr>
              <w:fldChar w:fldCharType="begin"/>
            </w:r>
            <w:r>
              <w:rPr>
                <w:rFonts w:hint="default" w:ascii="Times New Roman" w:hAnsi="Times New Roman" w:eastAsia="等线" w:cs="Times New Roman"/>
                <w:b/>
                <w:bCs/>
                <w:kern w:val="2"/>
                <w:sz w:val="24"/>
                <w:szCs w:val="24"/>
                <w:lang w:val="en-US" w:eastAsia="en-US" w:bidi="ar"/>
              </w:rPr>
              <w:instrText xml:space="preserve"> HYPERLINK "https://epi.grants.cancer.gov/hei/developing.html" \l "f6" </w:instrText>
            </w:r>
            <w:r>
              <w:rPr>
                <w:rFonts w:hint="default" w:ascii="Times New Roman" w:hAnsi="Times New Roman" w:eastAsia="等线" w:cs="Times New Roman"/>
                <w:b/>
                <w:bCs/>
                <w:kern w:val="2"/>
                <w:sz w:val="24"/>
                <w:szCs w:val="24"/>
                <w:lang w:val="en-US" w:eastAsia="en-US" w:bidi="ar"/>
              </w:rPr>
              <w:fldChar w:fldCharType="separate"/>
            </w:r>
            <w:r>
              <w:rPr>
                <w:rStyle w:val="6"/>
                <w:rFonts w:hint="default" w:ascii="Times New Roman" w:hAnsi="Times New Roman" w:eastAsia="Times New Roman" w:cs="Times New Roman"/>
                <w:b w:val="0"/>
                <w:bCs w:val="0"/>
                <w:color w:val="auto"/>
                <w:kern w:val="0"/>
                <w:sz w:val="24"/>
                <w:szCs w:val="24"/>
                <w:u w:val="none"/>
                <w:vertAlign w:val="superscript"/>
                <w:lang w:val="en-US" w:eastAsia="en-US"/>
              </w:rPr>
              <w:t>6</w:t>
            </w:r>
            <w:r>
              <w:rPr>
                <w:rFonts w:hint="default" w:ascii="Times New Roman" w:hAnsi="Times New Roman" w:eastAsia="等线" w:cs="Times New Roman"/>
                <w:b/>
                <w:bCs/>
                <w:kern w:val="2"/>
                <w:sz w:val="24"/>
                <w:szCs w:val="24"/>
                <w:lang w:val="en-US" w:eastAsia="en-US" w:bidi="ar"/>
              </w:rPr>
              <w:fldChar w:fldCharType="end"/>
            </w:r>
            <w:r>
              <w:rPr>
                <w:rFonts w:hint="default" w:ascii="Times New Roman" w:hAnsi="Times New Roman" w:eastAsia="Times New Roman" w:cs="Times New Roman"/>
                <w:kern w:val="0"/>
                <w:sz w:val="24"/>
                <w:szCs w:val="24"/>
                <w:vertAlign w:val="superscript"/>
                <w:lang w:val="en-US" w:eastAsia="en-US" w:bidi="ar"/>
              </w:rPr>
              <w:t>,</w:t>
            </w:r>
            <w:r>
              <w:rPr>
                <w:rFonts w:hint="default" w:ascii="Times New Roman" w:hAnsi="Times New Roman" w:eastAsia="等线" w:cs="Times New Roman"/>
                <w:b/>
                <w:bCs/>
                <w:kern w:val="2"/>
                <w:sz w:val="24"/>
                <w:szCs w:val="24"/>
                <w:lang w:val="en-US" w:eastAsia="en-US" w:bidi="ar"/>
              </w:rPr>
              <w:fldChar w:fldCharType="begin"/>
            </w:r>
            <w:r>
              <w:rPr>
                <w:rFonts w:hint="default" w:ascii="Times New Roman" w:hAnsi="Times New Roman" w:eastAsia="等线" w:cs="Times New Roman"/>
                <w:b/>
                <w:bCs/>
                <w:kern w:val="2"/>
                <w:sz w:val="24"/>
                <w:szCs w:val="24"/>
                <w:lang w:val="en-US" w:eastAsia="en-US" w:bidi="ar"/>
              </w:rPr>
              <w:instrText xml:space="preserve"> HYPERLINK "https://epi.grants.cancer.gov/hei/developing.html" \l "f7" </w:instrText>
            </w:r>
            <w:r>
              <w:rPr>
                <w:rFonts w:hint="default" w:ascii="Times New Roman" w:hAnsi="Times New Roman" w:eastAsia="等线" w:cs="Times New Roman"/>
                <w:b/>
                <w:bCs/>
                <w:kern w:val="2"/>
                <w:sz w:val="24"/>
                <w:szCs w:val="24"/>
                <w:lang w:val="en-US" w:eastAsia="en-US" w:bidi="ar"/>
              </w:rPr>
              <w:fldChar w:fldCharType="separate"/>
            </w:r>
            <w:r>
              <w:rPr>
                <w:rStyle w:val="6"/>
                <w:rFonts w:hint="default" w:ascii="Times New Roman" w:hAnsi="Times New Roman" w:eastAsia="Times New Roman" w:cs="Times New Roman"/>
                <w:b w:val="0"/>
                <w:bCs w:val="0"/>
                <w:color w:val="auto"/>
                <w:kern w:val="0"/>
                <w:sz w:val="24"/>
                <w:szCs w:val="24"/>
                <w:u w:val="none"/>
                <w:vertAlign w:val="superscript"/>
                <w:lang w:val="en-US" w:eastAsia="en-US"/>
              </w:rPr>
              <w:t>7</w:t>
            </w:r>
            <w:r>
              <w:rPr>
                <w:rFonts w:hint="default" w:ascii="Times New Roman" w:hAnsi="Times New Roman" w:eastAsia="等线" w:cs="Times New Roman"/>
                <w:b/>
                <w:bCs/>
                <w:kern w:val="2"/>
                <w:sz w:val="24"/>
                <w:szCs w:val="24"/>
                <w:lang w:val="en-US" w:eastAsia="en-US" w:bidi="ar"/>
              </w:rPr>
              <w:fldChar w:fldCharType="end"/>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3799479E">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5</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1178D4EF">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≥0.8 oz equiv. per 1,000 kcal</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1A4C6EDF">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No Seafood or Plant Proteins</w:t>
            </w:r>
          </w:p>
        </w:tc>
      </w:tr>
      <w:tr w14:paraId="1C7925F1">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1BD7CA00">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kern w:val="0"/>
                <w:sz w:val="24"/>
                <w:szCs w:val="24"/>
                <w:lang w:val="en-US" w:eastAsia="en-US"/>
              </w:rPr>
            </w:pPr>
            <w:r>
              <w:rPr>
                <w:rFonts w:hint="default" w:ascii="Times New Roman" w:hAnsi="Times New Roman" w:eastAsia="Times New Roman" w:cs="Times New Roman"/>
                <w:kern w:val="0"/>
                <w:sz w:val="24"/>
                <w:szCs w:val="24"/>
                <w:lang w:val="en-US" w:eastAsia="en-US" w:bidi="ar"/>
              </w:rPr>
              <w:t>Fatty Acids</w:t>
            </w:r>
            <w:r>
              <w:rPr>
                <w:rFonts w:hint="default" w:ascii="Times New Roman" w:hAnsi="Times New Roman" w:eastAsia="等线" w:cs="Times New Roman"/>
                <w:b/>
                <w:bCs/>
                <w:kern w:val="2"/>
                <w:sz w:val="24"/>
                <w:szCs w:val="24"/>
                <w:lang w:val="en-US" w:eastAsia="en-US" w:bidi="ar"/>
              </w:rPr>
              <w:fldChar w:fldCharType="begin"/>
            </w:r>
            <w:r>
              <w:rPr>
                <w:rFonts w:hint="default" w:ascii="Times New Roman" w:hAnsi="Times New Roman" w:eastAsia="等线" w:cs="Times New Roman"/>
                <w:b/>
                <w:bCs/>
                <w:kern w:val="2"/>
                <w:sz w:val="24"/>
                <w:szCs w:val="24"/>
                <w:lang w:val="en-US" w:eastAsia="en-US" w:bidi="ar"/>
              </w:rPr>
              <w:instrText xml:space="preserve"> HYPERLINK "https://epi.grants.cancer.gov/hei/developing.html" \l "f8" </w:instrText>
            </w:r>
            <w:r>
              <w:rPr>
                <w:rFonts w:hint="default" w:ascii="Times New Roman" w:hAnsi="Times New Roman" w:eastAsia="等线" w:cs="Times New Roman"/>
                <w:b/>
                <w:bCs/>
                <w:kern w:val="2"/>
                <w:sz w:val="24"/>
                <w:szCs w:val="24"/>
                <w:lang w:val="en-US" w:eastAsia="en-US" w:bidi="ar"/>
              </w:rPr>
              <w:fldChar w:fldCharType="separate"/>
            </w:r>
            <w:r>
              <w:rPr>
                <w:rStyle w:val="6"/>
                <w:rFonts w:hint="default" w:ascii="Times New Roman" w:hAnsi="Times New Roman" w:eastAsia="Times New Roman" w:cs="Times New Roman"/>
                <w:b w:val="0"/>
                <w:bCs w:val="0"/>
                <w:color w:val="auto"/>
                <w:kern w:val="0"/>
                <w:sz w:val="24"/>
                <w:szCs w:val="24"/>
                <w:u w:val="none"/>
                <w:vertAlign w:val="superscript"/>
                <w:lang w:val="en-US" w:eastAsia="en-US"/>
              </w:rPr>
              <w:t>8</w:t>
            </w:r>
            <w:r>
              <w:rPr>
                <w:rFonts w:hint="default" w:ascii="Times New Roman" w:hAnsi="Times New Roman" w:eastAsia="等线" w:cs="Times New Roman"/>
                <w:b/>
                <w:bCs/>
                <w:kern w:val="2"/>
                <w:sz w:val="24"/>
                <w:szCs w:val="24"/>
                <w:lang w:val="en-US" w:eastAsia="en-US" w:bidi="ar"/>
              </w:rPr>
              <w:fldChar w:fldCharType="end"/>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53F395E1">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10</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1D5CEC8A">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(PUFAs + MUFAs)/SFAs ≥2.5</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0ACFB253">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(PUFAs + MUFAs)/SFAs ≤1.2</w:t>
            </w:r>
          </w:p>
        </w:tc>
      </w:tr>
      <w:tr w14:paraId="359CD7C6">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CellMar>
            <w:top w:w="0" w:type="dxa"/>
            <w:left w:w="108" w:type="dxa"/>
            <w:bottom w:w="0" w:type="dxa"/>
            <w:right w:w="108" w:type="dxa"/>
          </w:tblCellMar>
        </w:tblPrEx>
        <w:trPr>
          <w:jc w:val="center"/>
        </w:trPr>
        <w:tc>
          <w:tcPr>
            <w:tcW w:w="5000" w:type="pct"/>
            <w:gridSpan w:val="4"/>
            <w:tcBorders>
              <w:top w:val="single" w:color="999999" w:sz="4" w:space="0"/>
              <w:left w:val="single" w:color="999999" w:sz="4" w:space="0"/>
              <w:bottom w:val="single" w:color="999999" w:sz="4" w:space="0"/>
              <w:right w:val="single" w:color="999999" w:sz="4" w:space="0"/>
            </w:tcBorders>
            <w:shd w:val="clear" w:color="auto" w:fill="auto"/>
            <w:vAlign w:val="top"/>
          </w:tcPr>
          <w:p w14:paraId="1094CC53">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i/>
                <w:iCs/>
                <w:color w:val="212529"/>
                <w:kern w:val="0"/>
                <w:sz w:val="24"/>
                <w:szCs w:val="24"/>
                <w:lang w:val="en-US" w:eastAsia="en-US"/>
              </w:rPr>
            </w:pPr>
            <w:r>
              <w:rPr>
                <w:rFonts w:hint="default" w:ascii="Times New Roman" w:hAnsi="Times New Roman" w:eastAsia="Times New Roman" w:cs="Times New Roman"/>
                <w:b/>
                <w:bCs/>
                <w:i/>
                <w:iCs/>
                <w:color w:val="212529"/>
                <w:kern w:val="0"/>
                <w:sz w:val="24"/>
                <w:szCs w:val="24"/>
                <w:lang w:val="en-US" w:eastAsia="en-US" w:bidi="ar"/>
              </w:rPr>
              <w:t>Moderation</w:t>
            </w:r>
          </w:p>
        </w:tc>
      </w:tr>
      <w:tr w14:paraId="1DC14698">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3B8D3107">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Refined Grains</w:t>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3CAB22A4">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10</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4E5DA61D">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≤1.8 oz equiv. per 1,000 kcal</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3B3B49C5">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≥4.3 oz equiv. per 1,000 kcal</w:t>
            </w:r>
          </w:p>
        </w:tc>
      </w:tr>
      <w:tr w14:paraId="2F135955">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1249FFF4">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Sodium</w:t>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786A139F">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10</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21DBD5CB">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≤1.1 gram per 1,000 kcal</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38B92E58">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≥2.0 grams per 1,000 kcal</w:t>
            </w:r>
          </w:p>
        </w:tc>
      </w:tr>
      <w:tr w14:paraId="3D5E3F37">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0C8B4DD7">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Added Sugars</w:t>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2A801351">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10</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207AFAF8">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≤6.5% of energy</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722C7C05">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≥26% of energy</w:t>
            </w:r>
          </w:p>
        </w:tc>
      </w:tr>
      <w:tr w14:paraId="0ACBF9F4">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shd w:val="clear" w:color="auto" w:fill="auto"/>
          <w:tblCellMar>
            <w:top w:w="0" w:type="dxa"/>
            <w:left w:w="108" w:type="dxa"/>
            <w:bottom w:w="0" w:type="dxa"/>
            <w:right w:w="108" w:type="dxa"/>
          </w:tblCellMar>
        </w:tblPrEx>
        <w:trPr>
          <w:jc w:val="center"/>
        </w:trPr>
        <w:tc>
          <w:tcPr>
            <w:tcW w:w="1005" w:type="pct"/>
            <w:tcBorders>
              <w:top w:val="single" w:color="999999" w:sz="4" w:space="0"/>
              <w:left w:val="single" w:color="999999" w:sz="4" w:space="0"/>
              <w:bottom w:val="single" w:color="999999" w:sz="4" w:space="0"/>
              <w:right w:val="single" w:color="999999" w:sz="4" w:space="0"/>
            </w:tcBorders>
            <w:shd w:val="clear" w:color="auto" w:fill="auto"/>
            <w:vAlign w:val="top"/>
          </w:tcPr>
          <w:p w14:paraId="5690DA3F">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b/>
                <w:bCs/>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Saturated Fats</w:t>
            </w:r>
          </w:p>
        </w:tc>
        <w:tc>
          <w:tcPr>
            <w:tcW w:w="773" w:type="pct"/>
            <w:tcBorders>
              <w:top w:val="single" w:color="999999" w:sz="4" w:space="0"/>
              <w:left w:val="single" w:color="999999" w:sz="4" w:space="0"/>
              <w:bottom w:val="single" w:color="999999" w:sz="4" w:space="0"/>
              <w:right w:val="single" w:color="999999" w:sz="4" w:space="0"/>
            </w:tcBorders>
            <w:shd w:val="clear" w:color="auto" w:fill="auto"/>
            <w:vAlign w:val="top"/>
          </w:tcPr>
          <w:p w14:paraId="45753258">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10</w:t>
            </w:r>
          </w:p>
        </w:tc>
        <w:tc>
          <w:tcPr>
            <w:tcW w:w="1644" w:type="pct"/>
            <w:tcBorders>
              <w:top w:val="single" w:color="999999" w:sz="4" w:space="0"/>
              <w:left w:val="single" w:color="999999" w:sz="4" w:space="0"/>
              <w:bottom w:val="single" w:color="999999" w:sz="4" w:space="0"/>
              <w:right w:val="single" w:color="999999" w:sz="4" w:space="0"/>
            </w:tcBorders>
            <w:shd w:val="clear" w:color="auto" w:fill="auto"/>
            <w:vAlign w:val="top"/>
          </w:tcPr>
          <w:p w14:paraId="35A22F68">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≤8% of energy</w:t>
            </w:r>
          </w:p>
        </w:tc>
        <w:tc>
          <w:tcPr>
            <w:tcW w:w="1576" w:type="pct"/>
            <w:tcBorders>
              <w:top w:val="single" w:color="999999" w:sz="4" w:space="0"/>
              <w:left w:val="single" w:color="999999" w:sz="4" w:space="0"/>
              <w:bottom w:val="single" w:color="999999" w:sz="4" w:space="0"/>
              <w:right w:val="single" w:color="999999" w:sz="4" w:space="0"/>
            </w:tcBorders>
            <w:shd w:val="clear" w:color="auto" w:fill="auto"/>
            <w:vAlign w:val="top"/>
          </w:tcPr>
          <w:p w14:paraId="63F8E08F">
            <w:pPr>
              <w:keepNext w:val="0"/>
              <w:keepLines w:val="0"/>
              <w:widowControl w:val="0"/>
              <w:suppressLineNumbers w:val="0"/>
              <w:spacing w:before="0" w:beforeAutospacing="0" w:after="0" w:afterAutospacing="0"/>
              <w:ind w:left="0" w:right="0"/>
              <w:jc w:val="both"/>
              <w:rPr>
                <w:rFonts w:hint="default" w:ascii="Times New Roman" w:hAnsi="Times New Roman" w:eastAsia="Times New Roman" w:cs="Times New Roman"/>
                <w:color w:val="212529"/>
                <w:kern w:val="0"/>
                <w:sz w:val="24"/>
                <w:szCs w:val="24"/>
                <w:lang w:val="en-US" w:eastAsia="en-US"/>
              </w:rPr>
            </w:pPr>
            <w:r>
              <w:rPr>
                <w:rFonts w:hint="default" w:ascii="Times New Roman" w:hAnsi="Times New Roman" w:eastAsia="Times New Roman" w:cs="Times New Roman"/>
                <w:color w:val="212529"/>
                <w:kern w:val="0"/>
                <w:sz w:val="24"/>
                <w:szCs w:val="24"/>
                <w:lang w:val="en-US" w:eastAsia="en-US" w:bidi="ar"/>
              </w:rPr>
              <w:t>≥16% of energy</w:t>
            </w:r>
          </w:p>
        </w:tc>
      </w:tr>
    </w:tbl>
    <w:p w14:paraId="58D2A5F0">
      <w:pPr>
        <w:keepNext w:val="0"/>
        <w:keepLines w:val="0"/>
        <w:widowControl w:val="0"/>
        <w:suppressLineNumbers w:val="0"/>
        <w:spacing w:before="0" w:beforeAutospacing="0" w:after="0" w:afterAutospacing="0"/>
        <w:ind w:left="0" w:right="0"/>
        <w:jc w:val="both"/>
        <w:rPr>
          <w:rFonts w:hint="default" w:ascii="Times New Roman" w:hAnsi="Times New Roman" w:eastAsia="等线" w:cs="Times New Roman"/>
          <w:kern w:val="2"/>
          <w:sz w:val="24"/>
          <w:szCs w:val="24"/>
          <w:lang w:val="en-US" w:eastAsia="zh-CN" w:bidi="ar"/>
        </w:rPr>
      </w:pPr>
    </w:p>
    <w:p w14:paraId="056462DF">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等线" w:cs="Times New Roman"/>
          <w:kern w:val="2"/>
          <w:sz w:val="24"/>
          <w:szCs w:val="24"/>
          <w:lang w:val="en-US" w:eastAsia="zh-CN" w:bidi="ar"/>
        </w:rPr>
        <w:t>(1) Intakes between the minimum and maximum standards are scored proportionately.</w:t>
      </w:r>
    </w:p>
    <w:p w14:paraId="72D10361">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等线" w:cs="Times New Roman"/>
          <w:kern w:val="2"/>
          <w:sz w:val="24"/>
          <w:szCs w:val="24"/>
          <w:lang w:val="en-US" w:eastAsia="zh-CN" w:bidi="ar"/>
        </w:rPr>
        <w:t>(2) Includes 100% fruit juice.</w:t>
      </w:r>
    </w:p>
    <w:p w14:paraId="65DC6708">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等线" w:cs="Times New Roman"/>
          <w:kern w:val="2"/>
          <w:sz w:val="24"/>
          <w:szCs w:val="24"/>
          <w:lang w:val="en-US" w:eastAsia="zh-CN" w:bidi="ar"/>
        </w:rPr>
        <w:t>(3) Includes all forms except juice.</w:t>
      </w:r>
    </w:p>
    <w:p w14:paraId="178C03AC">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等线" w:cs="Times New Roman"/>
          <w:kern w:val="2"/>
          <w:sz w:val="24"/>
          <w:szCs w:val="24"/>
          <w:lang w:val="en-US" w:eastAsia="zh-CN" w:bidi="ar"/>
        </w:rPr>
        <w:t>(4) Includes legumes (beans and peas).</w:t>
      </w:r>
    </w:p>
    <w:p w14:paraId="0FF48D86">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等线" w:cs="Times New Roman"/>
          <w:kern w:val="2"/>
          <w:sz w:val="24"/>
          <w:szCs w:val="24"/>
          <w:lang w:val="en-US" w:eastAsia="zh-CN" w:bidi="ar"/>
        </w:rPr>
        <w:t>(5) Includes all milk products, such as fluid milk, yogurt, cheese, and fortified soy beverages.</w:t>
      </w:r>
    </w:p>
    <w:p w14:paraId="0020DABF">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等线" w:cs="Times New Roman"/>
          <w:kern w:val="2"/>
          <w:sz w:val="24"/>
          <w:szCs w:val="24"/>
          <w:lang w:val="en-US" w:eastAsia="zh-CN" w:bidi="ar"/>
        </w:rPr>
        <w:t>(6) Includes legumes (beans and peas).</w:t>
      </w:r>
    </w:p>
    <w:p w14:paraId="428969DF">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等线" w:cs="Times New Roman"/>
          <w:kern w:val="2"/>
          <w:sz w:val="24"/>
          <w:szCs w:val="24"/>
          <w:lang w:val="en-US" w:eastAsia="zh-CN" w:bidi="ar"/>
        </w:rPr>
        <w:t>(7) Includes seafood, nuts, seeds, soy products (other than beverages), and legumes (beans and peas).</w:t>
      </w:r>
    </w:p>
    <w:p w14:paraId="0DDDB8F1">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等线" w:cs="Times New Roman"/>
          <w:kern w:val="2"/>
          <w:sz w:val="24"/>
          <w:szCs w:val="24"/>
          <w:lang w:val="en-US" w:eastAsia="zh-CN" w:bidi="ar"/>
        </w:rPr>
        <w:t>(8) Ratio of poly- and monounsaturated fatty acids (PUFAs and MUFAs) to saturated fatty acids (SFAs).</w:t>
      </w:r>
    </w:p>
    <w:p w14:paraId="4AC03027">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等线" w:cs="Times New Roman"/>
          <w:kern w:val="2"/>
          <w:sz w:val="24"/>
          <w:szCs w:val="24"/>
          <w:lang w:val="en-US" w:eastAsia="zh-CN" w:bidi="ar"/>
        </w:rPr>
        <w:t>Adequacy components represent the food groups, subgroups, and dietary elements that are encouraged. Higher scores reflect higher intakes for these components because higher intakes are desirable.</w:t>
      </w:r>
    </w:p>
    <w:p w14:paraId="04DFB560">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等线" w:cs="Times New Roman"/>
          <w:kern w:val="2"/>
          <w:sz w:val="24"/>
          <w:szCs w:val="24"/>
          <w:lang w:val="en-US" w:eastAsia="zh-CN" w:bidi="ar"/>
        </w:rPr>
        <w:t>Moderation components represent the food groups and dietary elements for which there are recommended limits to consumption. For moderation components, higher scores reflect lower intakes, because lower intakes are more desirable.</w:t>
      </w:r>
    </w:p>
    <w:p w14:paraId="3B7936B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450" w:beforeAutospacing="0" w:after="0" w:afterAutospacing="0" w:line="360" w:lineRule="auto"/>
        <w:textAlignment w:val="auto"/>
        <w:rPr>
          <w:rFonts w:hint="default" w:ascii="Times New Roman Regular" w:hAnsi="Times New Roman Regular" w:eastAsia="仿宋" w:cs="Times New Roman Regular"/>
          <w:i w:val="0"/>
          <w:iCs w:val="0"/>
          <w:caps w:val="0"/>
          <w:color w:val="1B1B1B"/>
          <w:spacing w:val="0"/>
          <w:sz w:val="24"/>
          <w:szCs w:val="24"/>
          <w:shd w:val="clear" w:fill="FFFFFF"/>
          <w:lang w:val="en-US" w:eastAsia="zh-CN"/>
        </w:rPr>
      </w:pPr>
    </w:p>
    <w:p w14:paraId="2619693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450" w:beforeAutospacing="0" w:after="0" w:afterAutospacing="0" w:line="360" w:lineRule="auto"/>
        <w:ind w:left="0" w:firstLine="0"/>
        <w:textAlignment w:val="auto"/>
        <w:rPr>
          <w:rFonts w:hint="default" w:ascii="Times New Roman Regular" w:hAnsi="Times New Roman Regular" w:eastAsia="仿宋" w:cs="Times New Roman Regular"/>
          <w:i w:val="0"/>
          <w:iCs w:val="0"/>
          <w:caps w:val="0"/>
          <w:color w:val="1B1B1B"/>
          <w:spacing w:val="0"/>
          <w:sz w:val="24"/>
          <w:szCs w:val="24"/>
          <w:shd w:val="clear" w:fill="FFFFFF"/>
        </w:rPr>
      </w:pPr>
      <w:r>
        <w:rPr>
          <w:rFonts w:hint="default" w:ascii="Times New Roman" w:hAnsi="Times New Roman" w:cs="Times New Roman"/>
          <w:b/>
          <w:bCs/>
          <w:sz w:val="24"/>
          <w:szCs w:val="24"/>
        </w:rPr>
        <w:br w:type="textWrapping"/>
      </w:r>
    </w:p>
    <w:p w14:paraId="3E065C7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450" w:beforeAutospacing="0" w:after="0" w:afterAutospacing="0" w:line="360" w:lineRule="auto"/>
        <w:ind w:left="0" w:firstLine="0"/>
        <w:textAlignment w:val="auto"/>
        <w:rPr>
          <w:rFonts w:hint="default" w:ascii="Times New Roman Regular" w:hAnsi="Times New Roman Regular" w:eastAsia="仿宋" w:cs="Times New Roman Regular"/>
          <w:i w:val="0"/>
          <w:iCs w:val="0"/>
          <w:caps w:val="0"/>
          <w:color w:val="1B1B1B"/>
          <w:spacing w:val="0"/>
          <w:sz w:val="24"/>
          <w:szCs w:val="24"/>
          <w:shd w:val="clear" w:fill="FFFFFF"/>
        </w:rPr>
      </w:pPr>
    </w:p>
    <w:p w14:paraId="6882470C">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75355512">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385365A5">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7B18DEC2">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7F12C01F">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4CA74313">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23C90A3F">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4B3005EF">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3B78A70B">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14392C72">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51F7F245">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69C82114">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14E1EBFA">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4F1975C9">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36499906">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27E8B42D">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5AE6C330">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644E54EC">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20CAD148">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057CE221">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4C310AF0">
      <w:pPr>
        <w:rPr>
          <w:rFonts w:hint="default" w:ascii="Times New Roman" w:hAnsi="Times New Roman" w:eastAsia="Helvetica" w:cs="Times New Roman"/>
          <w:b w:val="0"/>
          <w:bCs w:val="0"/>
          <w:i w:val="0"/>
          <w:iCs w:val="0"/>
          <w:caps w:val="0"/>
          <w:color w:val="333333"/>
          <w:spacing w:val="0"/>
          <w:kern w:val="0"/>
          <w:sz w:val="24"/>
          <w:szCs w:val="24"/>
          <w:lang w:val="en-US" w:eastAsia="zh-CN" w:bidi="ar"/>
        </w:rPr>
      </w:pPr>
      <w:r>
        <w:rPr>
          <w:rFonts w:hint="default" w:ascii="Times New Roman" w:hAnsi="Times New Roman" w:eastAsia="宋体" w:cs="Times New Roman"/>
          <w:b/>
          <w:bCs/>
          <w:i w:val="0"/>
          <w:iCs w:val="0"/>
          <w:color w:val="333333"/>
          <w:kern w:val="0"/>
          <w:sz w:val="24"/>
          <w:szCs w:val="24"/>
          <w:u w:val="none"/>
          <w:lang w:val="en-US" w:eastAsia="zh-CN" w:bidi="ar"/>
        </w:rPr>
        <w:t xml:space="preserve">Table </w:t>
      </w:r>
      <w:r>
        <w:rPr>
          <w:rFonts w:hint="eastAsia" w:ascii="Times New Roman" w:hAnsi="Times New Roman" w:eastAsia="宋体" w:cs="Times New Roman"/>
          <w:b/>
          <w:bCs/>
          <w:i w:val="0"/>
          <w:iCs w:val="0"/>
          <w:color w:val="333333"/>
          <w:kern w:val="0"/>
          <w:sz w:val="24"/>
          <w:szCs w:val="24"/>
          <w:u w:val="none"/>
          <w:lang w:val="en-US" w:eastAsia="zh-CN" w:bidi="ar"/>
        </w:rPr>
        <w:t>S3</w:t>
      </w:r>
      <w:r>
        <w:rPr>
          <w:rFonts w:hint="default" w:ascii="Times New Roman" w:hAnsi="Times New Roman" w:eastAsia="宋体" w:cs="Times New Roman"/>
          <w:b/>
          <w:bCs/>
          <w:i w:val="0"/>
          <w:iCs w:val="0"/>
          <w:color w:val="333333"/>
          <w:kern w:val="0"/>
          <w:sz w:val="24"/>
          <w:szCs w:val="24"/>
          <w:u w:val="none"/>
          <w:lang w:val="en-US" w:eastAsia="zh-CN" w:bidi="ar"/>
        </w:rPr>
        <w:t>.</w:t>
      </w:r>
      <w:r>
        <w:rPr>
          <w:rFonts w:hint="eastAsia" w:ascii="Times New Roman" w:hAnsi="Times New Roman" w:eastAsia="宋体" w:cs="Times New Roman"/>
          <w:b/>
          <w:bCs/>
          <w:i w:val="0"/>
          <w:iCs w:val="0"/>
          <w:color w:val="333333"/>
          <w:kern w:val="0"/>
          <w:sz w:val="24"/>
          <w:szCs w:val="24"/>
          <w:u w:val="none"/>
          <w:lang w:val="en-US" w:eastAsia="zh-CN" w:bidi="ar"/>
        </w:rPr>
        <w:t xml:space="preserve"> </w:t>
      </w:r>
      <w:r>
        <w:rPr>
          <w:rFonts w:hint="eastAsia" w:ascii="Times New Roman" w:hAnsi="Times New Roman" w:eastAsia="Helvetica" w:cs="Times New Roman"/>
          <w:b w:val="0"/>
          <w:bCs w:val="0"/>
          <w:i w:val="0"/>
          <w:iCs w:val="0"/>
          <w:caps w:val="0"/>
          <w:color w:val="333333"/>
          <w:spacing w:val="0"/>
          <w:kern w:val="0"/>
          <w:sz w:val="24"/>
          <w:szCs w:val="24"/>
          <w:lang w:val="en-US" w:eastAsia="zh-CN" w:bidi="ar"/>
        </w:rPr>
        <w:t>Linear and Logistic Regression of Mediating Variables on Osteoarthritis.</w:t>
      </w:r>
    </w:p>
    <w:tbl>
      <w:tblPr>
        <w:tblStyle w:val="3"/>
        <w:tblW w:w="84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36"/>
        <w:gridCol w:w="2759"/>
        <w:gridCol w:w="1338"/>
      </w:tblGrid>
      <w:tr w14:paraId="32937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36" w:type="dxa"/>
            <w:tcBorders>
              <w:top w:val="single" w:color="000000" w:themeColor="dark1" w:sz="12" w:space="0"/>
              <w:left w:val="nil"/>
              <w:bottom w:val="single" w:color="000000" w:themeColor="dark1" w:sz="6" w:space="0"/>
              <w:right w:val="nil"/>
            </w:tcBorders>
            <w:shd w:val="clear" w:color="auto" w:fill="FFFFFF"/>
            <w:noWrap/>
            <w:vAlign w:val="center"/>
          </w:tcPr>
          <w:p w14:paraId="6A4BEB5E">
            <w:pPr>
              <w:keepNext w:val="0"/>
              <w:keepLines w:val="0"/>
              <w:widowControl/>
              <w:suppressLineNumbers w:val="0"/>
              <w:snapToGrid w:val="0"/>
              <w:spacing w:before="0" w:beforeAutospacing="0" w:after="0" w:afterAutospacing="0"/>
              <w:ind w:left="0" w:leftChars="0" w:right="0" w:rightChars="0"/>
              <w:jc w:val="left"/>
              <w:textAlignment w:val="center"/>
              <w:rPr>
                <w:rFonts w:hint="default" w:ascii="Times New Roman" w:hAnsi="Times New Roman" w:eastAsia="宋体" w:cs="Times New Roman"/>
                <w:b/>
                <w:bCs/>
                <w:i w:val="0"/>
                <w:iCs w:val="0"/>
                <w:color w:val="000000" w:themeColor="dark1"/>
                <w:sz w:val="21"/>
                <w:szCs w:val="21"/>
                <w:u w:val="none"/>
                <w14:textFill>
                  <w14:solidFill>
                    <w14:schemeClr w14:val="dk1"/>
                  </w14:solidFill>
                </w14:textFill>
              </w:rPr>
            </w:pPr>
            <w:r>
              <w:rPr>
                <w:rFonts w:hint="default" w:ascii="Times New Roman" w:hAnsi="Times New Roman" w:eastAsia="宋体" w:cs="Times New Roman"/>
                <w:b/>
                <w:bCs/>
                <w:i w:val="0"/>
                <w:iCs w:val="0"/>
                <w:color w:val="000000" w:themeColor="dark1"/>
                <w:kern w:val="0"/>
                <w:sz w:val="22"/>
                <w:szCs w:val="22"/>
                <w:u w:val="none"/>
                <w:lang w:val="en-US" w:eastAsia="zh-CN" w:bidi="ar"/>
                <w14:textFill>
                  <w14:solidFill>
                    <w14:schemeClr w14:val="dk1"/>
                  </w14:solidFill>
                </w14:textFill>
              </w:rPr>
              <w:t>Outcome: Mediating variables</w:t>
            </w:r>
          </w:p>
        </w:tc>
        <w:tc>
          <w:tcPr>
            <w:tcW w:w="2759" w:type="dxa"/>
            <w:tcBorders>
              <w:top w:val="single" w:color="000000" w:themeColor="dark1" w:sz="12" w:space="0"/>
              <w:left w:val="nil"/>
              <w:bottom w:val="single" w:color="000000" w:themeColor="dark1" w:sz="6" w:space="0"/>
              <w:right w:val="nil"/>
            </w:tcBorders>
            <w:shd w:val="clear" w:color="auto" w:fill="FFFFFF"/>
            <w:noWrap/>
            <w:vAlign w:val="center"/>
          </w:tcPr>
          <w:p w14:paraId="7B8295C0">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333333"/>
                <w:kern w:val="0"/>
                <w:sz w:val="22"/>
                <w:szCs w:val="22"/>
                <w:u w:val="none"/>
                <w:lang w:val="en-US" w:eastAsia="zh-CN" w:bidi="ar"/>
              </w:rPr>
              <w:t>β (95%CI)</w:t>
            </w:r>
            <w:r>
              <w:rPr>
                <w:rFonts w:hint="eastAsia" w:ascii="Times New Roman" w:hAnsi="Times New Roman" w:eastAsia="宋体" w:cs="Times New Roman"/>
                <w:b/>
                <w:bCs/>
                <w:i w:val="0"/>
                <w:iCs w:val="0"/>
                <w:color w:val="333333"/>
                <w:kern w:val="0"/>
                <w:sz w:val="22"/>
                <w:szCs w:val="22"/>
                <w:u w:val="none"/>
                <w:vertAlign w:val="superscript"/>
                <w:lang w:val="en-US" w:eastAsia="zh-CN" w:bidi="ar"/>
              </w:rPr>
              <w:t>a</w:t>
            </w:r>
          </w:p>
        </w:tc>
        <w:tc>
          <w:tcPr>
            <w:tcW w:w="1338" w:type="dxa"/>
            <w:tcBorders>
              <w:top w:val="single" w:color="000000" w:themeColor="dark1" w:sz="12" w:space="0"/>
              <w:left w:val="nil"/>
              <w:bottom w:val="single" w:color="000000" w:themeColor="dark1" w:sz="6" w:space="0"/>
              <w:right w:val="nil"/>
            </w:tcBorders>
            <w:shd w:val="clear" w:color="auto" w:fill="FFFFFF"/>
            <w:vAlign w:val="center"/>
          </w:tcPr>
          <w:p w14:paraId="6E398DDB">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themeColor="dark1"/>
                <w:sz w:val="21"/>
                <w:szCs w:val="21"/>
                <w:u w:val="none"/>
                <w14:textFill>
                  <w14:solidFill>
                    <w14:schemeClr w14:val="dk1"/>
                  </w14:solidFill>
                </w14:textFill>
              </w:rPr>
            </w:pPr>
            <w:r>
              <w:rPr>
                <w:rFonts w:hint="default" w:ascii="Times New Roman" w:hAnsi="Times New Roman" w:eastAsia="宋体" w:cs="Times New Roman"/>
                <w:b/>
                <w:bCs/>
                <w:i w:val="0"/>
                <w:iCs w:val="0"/>
                <w:color w:val="000000" w:themeColor="dark1"/>
                <w:kern w:val="0"/>
                <w:sz w:val="22"/>
                <w:szCs w:val="22"/>
                <w:u w:val="none"/>
                <w:lang w:val="en-US" w:eastAsia="zh-CN" w:bidi="ar"/>
                <w14:textFill>
                  <w14:solidFill>
                    <w14:schemeClr w14:val="dk1"/>
                  </w14:solidFill>
                </w14:textFill>
              </w:rPr>
              <w:t>P-value</w:t>
            </w:r>
          </w:p>
        </w:tc>
      </w:tr>
      <w:tr w14:paraId="6F79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36" w:type="dxa"/>
            <w:tcBorders>
              <w:top w:val="single" w:color="000000" w:themeColor="dark1" w:sz="6" w:space="0"/>
              <w:left w:val="nil"/>
              <w:bottom w:val="nil"/>
              <w:right w:val="nil"/>
            </w:tcBorders>
            <w:shd w:val="clear" w:color="auto" w:fill="FFFFFF"/>
            <w:vAlign w:val="center"/>
          </w:tcPr>
          <w:p w14:paraId="6F544285">
            <w:pPr>
              <w:keepNext w:val="0"/>
              <w:keepLines w:val="0"/>
              <w:widowControl/>
              <w:suppressLineNumbers w:val="0"/>
              <w:snapToGrid w:val="0"/>
              <w:spacing w:before="0" w:beforeAutospacing="0" w:after="0" w:afterAutospacing="0"/>
              <w:ind w:left="0" w:leftChars="0" w:right="0" w:rightChars="0"/>
              <w:jc w:val="left"/>
              <w:textAlignment w:val="center"/>
              <w:rPr>
                <w:rFonts w:hint="default" w:ascii="Times New Roman" w:hAnsi="Times New Roman" w:eastAsia="宋体" w:cs="Times New Roman"/>
                <w:b w:val="0"/>
                <w:bCs/>
                <w:i w:val="0"/>
                <w:iCs w:val="0"/>
                <w:color w:val="08090C"/>
                <w:sz w:val="21"/>
                <w:szCs w:val="21"/>
                <w:u w:val="none"/>
                <w:lang w:val="en-US"/>
              </w:rPr>
            </w:pPr>
            <w:r>
              <w:rPr>
                <w:rFonts w:hint="default" w:ascii="Times New Roman" w:hAnsi="Times New Roman" w:eastAsia="宋体" w:cs="Times New Roman"/>
                <w:b w:val="0"/>
                <w:bCs/>
                <w:i w:val="0"/>
                <w:iCs w:val="0"/>
                <w:color w:val="08090C"/>
                <w:kern w:val="0"/>
                <w:sz w:val="22"/>
                <w:szCs w:val="22"/>
                <w:u w:val="none"/>
                <w:lang w:val="en-US" w:eastAsia="zh-CN" w:bidi="ar"/>
              </w:rPr>
              <w:t>LC9</w:t>
            </w:r>
            <w:r>
              <w:rPr>
                <w:rFonts w:hint="eastAsia" w:ascii="Times New Roman" w:hAnsi="Times New Roman" w:eastAsia="宋体" w:cs="Times New Roman"/>
                <w:b w:val="0"/>
                <w:bCs/>
                <w:i w:val="0"/>
                <w:iCs w:val="0"/>
                <w:color w:val="08090C"/>
                <w:kern w:val="0"/>
                <w:sz w:val="22"/>
                <w:szCs w:val="22"/>
                <w:u w:val="none"/>
                <w:vertAlign w:val="superscript"/>
                <w:lang w:val="en-US" w:eastAsia="zh-CN" w:bidi="ar"/>
              </w:rPr>
              <w:t xml:space="preserve">b </w:t>
            </w:r>
            <w:r>
              <w:rPr>
                <w:rFonts w:hint="eastAsia" w:ascii="Times New Roman" w:hAnsi="Times New Roman" w:eastAsia="宋体" w:cs="Times New Roman"/>
                <w:b w:val="0"/>
                <w:bCs/>
                <w:i w:val="0"/>
                <w:iCs w:val="0"/>
                <w:color w:val="08090C"/>
                <w:kern w:val="0"/>
                <w:sz w:val="22"/>
                <w:szCs w:val="22"/>
                <w:u w:val="none"/>
                <w:lang w:val="en-US" w:eastAsia="zh-CN" w:bidi="ar"/>
              </w:rPr>
              <w:t>- BRI</w:t>
            </w:r>
          </w:p>
        </w:tc>
        <w:tc>
          <w:tcPr>
            <w:tcW w:w="2759" w:type="dxa"/>
            <w:tcBorders>
              <w:top w:val="single" w:color="000000" w:themeColor="dark1" w:sz="6" w:space="0"/>
              <w:left w:val="nil"/>
              <w:bottom w:val="nil"/>
              <w:right w:val="nil"/>
            </w:tcBorders>
            <w:shd w:val="clear" w:color="auto" w:fill="FFFFFF"/>
            <w:vAlign w:val="center"/>
          </w:tcPr>
          <w:p w14:paraId="35121519">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8090C"/>
                <w:sz w:val="21"/>
                <w:szCs w:val="21"/>
                <w:u w:val="none"/>
              </w:rPr>
            </w:pPr>
            <w:r>
              <w:rPr>
                <w:rFonts w:hint="default" w:ascii="Times New Roman" w:hAnsi="Times New Roman" w:eastAsia="宋体" w:cs="Times New Roman"/>
                <w:b w:val="0"/>
                <w:i w:val="0"/>
                <w:iCs w:val="0"/>
                <w:color w:val="08090C"/>
                <w:kern w:val="0"/>
                <w:sz w:val="22"/>
                <w:szCs w:val="22"/>
                <w:u w:val="none"/>
                <w:lang w:val="en-US" w:eastAsia="zh-CN" w:bidi="ar"/>
              </w:rPr>
              <w:t>-0.94 (-0.97, -0.91)</w:t>
            </w:r>
          </w:p>
        </w:tc>
        <w:tc>
          <w:tcPr>
            <w:tcW w:w="1338" w:type="dxa"/>
            <w:tcBorders>
              <w:top w:val="single" w:color="000000" w:themeColor="dark1" w:sz="6" w:space="0"/>
              <w:left w:val="nil"/>
              <w:bottom w:val="nil"/>
              <w:right w:val="nil"/>
            </w:tcBorders>
            <w:shd w:val="clear" w:color="auto" w:fill="FFFFFF"/>
            <w:vAlign w:val="center"/>
          </w:tcPr>
          <w:p w14:paraId="5F60DF7C">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333333"/>
                <w:sz w:val="21"/>
                <w:szCs w:val="21"/>
                <w:u w:val="none"/>
              </w:rPr>
            </w:pPr>
            <w:r>
              <w:rPr>
                <w:rFonts w:hint="default" w:ascii="Times New Roman" w:hAnsi="Times New Roman" w:eastAsia="宋体" w:cs="Times New Roman"/>
                <w:b w:val="0"/>
                <w:i w:val="0"/>
                <w:iCs w:val="0"/>
                <w:color w:val="000000"/>
                <w:kern w:val="0"/>
                <w:sz w:val="22"/>
                <w:szCs w:val="22"/>
                <w:u w:val="none"/>
                <w:lang w:val="en-US" w:eastAsia="zh-CN" w:bidi="ar"/>
              </w:rPr>
              <w:t>&lt;0.001</w:t>
            </w:r>
          </w:p>
        </w:tc>
      </w:tr>
      <w:tr w14:paraId="12E85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36" w:type="dxa"/>
            <w:tcBorders>
              <w:top w:val="nil"/>
              <w:left w:val="nil"/>
              <w:bottom w:val="nil"/>
              <w:right w:val="nil"/>
            </w:tcBorders>
            <w:shd w:val="clear" w:color="auto" w:fill="FFFFFF"/>
            <w:vAlign w:val="center"/>
          </w:tcPr>
          <w:p w14:paraId="2AF36127">
            <w:pPr>
              <w:keepNext w:val="0"/>
              <w:keepLines w:val="0"/>
              <w:widowControl/>
              <w:suppressLineNumbers w:val="0"/>
              <w:snapToGrid w:val="0"/>
              <w:spacing w:before="0" w:beforeAutospacing="0" w:after="0" w:afterAutospacing="0"/>
              <w:ind w:left="0" w:leftChars="0" w:right="0" w:rightChars="0"/>
              <w:jc w:val="left"/>
              <w:textAlignment w:val="center"/>
              <w:rPr>
                <w:rFonts w:hint="default" w:ascii="Times New Roman" w:hAnsi="Times New Roman" w:eastAsia="宋体" w:cs="Times New Roman"/>
                <w:b w:val="0"/>
                <w:bCs/>
                <w:i w:val="0"/>
                <w:iCs w:val="0"/>
                <w:color w:val="08090C"/>
                <w:sz w:val="21"/>
                <w:szCs w:val="21"/>
                <w:u w:val="none"/>
                <w:lang w:val="en-US"/>
              </w:rPr>
            </w:pPr>
            <w:r>
              <w:rPr>
                <w:rFonts w:hint="default" w:ascii="Times New Roman" w:hAnsi="Times New Roman" w:eastAsia="宋体" w:cs="Times New Roman"/>
                <w:b w:val="0"/>
                <w:bCs/>
                <w:i w:val="0"/>
                <w:iCs w:val="0"/>
                <w:color w:val="08090C"/>
                <w:kern w:val="0"/>
                <w:sz w:val="22"/>
                <w:szCs w:val="22"/>
                <w:u w:val="none"/>
                <w:lang w:val="en-US" w:eastAsia="zh-CN" w:bidi="ar"/>
              </w:rPr>
              <w:t>LC9</w:t>
            </w:r>
            <w:r>
              <w:rPr>
                <w:rFonts w:hint="eastAsia" w:ascii="Times New Roman" w:hAnsi="Times New Roman" w:eastAsia="宋体" w:cs="Times New Roman"/>
                <w:b w:val="0"/>
                <w:bCs/>
                <w:i w:val="0"/>
                <w:iCs w:val="0"/>
                <w:color w:val="08090C"/>
                <w:kern w:val="0"/>
                <w:sz w:val="22"/>
                <w:szCs w:val="22"/>
                <w:u w:val="none"/>
                <w:vertAlign w:val="superscript"/>
                <w:lang w:val="en-US" w:eastAsia="zh-CN" w:bidi="ar"/>
              </w:rPr>
              <w:t xml:space="preserve">b </w:t>
            </w:r>
            <w:r>
              <w:rPr>
                <w:rFonts w:hint="default" w:ascii="Times New Roman" w:hAnsi="Times New Roman" w:eastAsia="宋体" w:cs="Times New Roman"/>
                <w:b w:val="0"/>
                <w:bCs/>
                <w:i w:val="0"/>
                <w:iCs w:val="0"/>
                <w:color w:val="08090C"/>
                <w:kern w:val="0"/>
                <w:sz w:val="22"/>
                <w:szCs w:val="22"/>
                <w:u w:val="none"/>
                <w:lang w:val="en-US" w:eastAsia="zh-CN" w:bidi="ar"/>
              </w:rPr>
              <w:t>-</w:t>
            </w:r>
            <w:r>
              <w:rPr>
                <w:rFonts w:hint="eastAsia" w:ascii="Times New Roman" w:hAnsi="Times New Roman" w:eastAsia="宋体" w:cs="Times New Roman"/>
                <w:b w:val="0"/>
                <w:bCs/>
                <w:i w:val="0"/>
                <w:iCs w:val="0"/>
                <w:color w:val="08090C"/>
                <w:kern w:val="0"/>
                <w:sz w:val="22"/>
                <w:szCs w:val="22"/>
                <w:u w:val="none"/>
                <w:lang w:val="en-US" w:eastAsia="zh-CN" w:bidi="ar"/>
              </w:rPr>
              <w:t xml:space="preserve"> WHtR*10</w:t>
            </w:r>
          </w:p>
        </w:tc>
        <w:tc>
          <w:tcPr>
            <w:tcW w:w="2759" w:type="dxa"/>
            <w:tcBorders>
              <w:top w:val="nil"/>
              <w:left w:val="nil"/>
              <w:bottom w:val="nil"/>
              <w:right w:val="nil"/>
            </w:tcBorders>
            <w:shd w:val="clear" w:color="auto" w:fill="FFFFFF"/>
            <w:vAlign w:val="center"/>
          </w:tcPr>
          <w:p w14:paraId="365C6E20">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8090C"/>
                <w:sz w:val="22"/>
                <w:szCs w:val="22"/>
                <w:u w:val="none"/>
              </w:rPr>
            </w:pPr>
            <w:r>
              <w:rPr>
                <w:rFonts w:hint="default" w:ascii="Times New Roman" w:hAnsi="Times New Roman" w:eastAsia="宋体" w:cs="Times New Roman"/>
                <w:b w:val="0"/>
                <w:i w:val="0"/>
                <w:iCs w:val="0"/>
                <w:color w:val="08090C"/>
                <w:kern w:val="0"/>
                <w:sz w:val="22"/>
                <w:szCs w:val="22"/>
                <w:u w:val="none"/>
                <w:lang w:val="en-US" w:eastAsia="zh-CN" w:bidi="ar"/>
              </w:rPr>
              <w:t xml:space="preserve">-0.40 (-0.42, -0.39) </w:t>
            </w:r>
          </w:p>
        </w:tc>
        <w:tc>
          <w:tcPr>
            <w:tcW w:w="1338" w:type="dxa"/>
            <w:tcBorders>
              <w:top w:val="nil"/>
              <w:left w:val="nil"/>
              <w:bottom w:val="nil"/>
              <w:right w:val="nil"/>
            </w:tcBorders>
            <w:shd w:val="clear" w:color="auto" w:fill="FFFFFF"/>
            <w:vAlign w:val="center"/>
          </w:tcPr>
          <w:p w14:paraId="6198B0BA">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333333"/>
                <w:sz w:val="21"/>
                <w:szCs w:val="21"/>
                <w:u w:val="none"/>
              </w:rPr>
            </w:pPr>
            <w:r>
              <w:rPr>
                <w:rFonts w:hint="default" w:ascii="Times New Roman" w:hAnsi="Times New Roman" w:eastAsia="宋体" w:cs="Times New Roman"/>
                <w:b w:val="0"/>
                <w:i w:val="0"/>
                <w:iCs w:val="0"/>
                <w:color w:val="000000"/>
                <w:kern w:val="0"/>
                <w:sz w:val="22"/>
                <w:szCs w:val="22"/>
                <w:u w:val="none"/>
                <w:lang w:val="en-US" w:eastAsia="zh-CN" w:bidi="ar"/>
              </w:rPr>
              <w:t>&lt;0.001</w:t>
            </w:r>
          </w:p>
        </w:tc>
      </w:tr>
      <w:tr w14:paraId="529C1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36" w:type="dxa"/>
            <w:tcBorders>
              <w:top w:val="nil"/>
              <w:left w:val="nil"/>
              <w:bottom w:val="nil"/>
              <w:right w:val="nil"/>
            </w:tcBorders>
            <w:shd w:val="clear" w:color="auto" w:fill="FFFFFF"/>
            <w:vAlign w:val="center"/>
          </w:tcPr>
          <w:p w14:paraId="725ED5E8">
            <w:pPr>
              <w:keepNext w:val="0"/>
              <w:keepLines w:val="0"/>
              <w:widowControl/>
              <w:suppressLineNumbers w:val="0"/>
              <w:snapToGrid w:val="0"/>
              <w:spacing w:before="0" w:beforeAutospacing="0" w:after="0" w:afterAutospacing="0"/>
              <w:ind w:left="0" w:leftChars="0" w:right="0" w:rightChars="0"/>
              <w:jc w:val="left"/>
              <w:textAlignment w:val="center"/>
              <w:rPr>
                <w:rFonts w:hint="default" w:ascii="Times New Roman" w:hAnsi="Times New Roman" w:eastAsia="宋体" w:cs="Times New Roman"/>
                <w:b w:val="0"/>
                <w:bCs/>
                <w:i w:val="0"/>
                <w:iCs w:val="0"/>
                <w:color w:val="08090C"/>
                <w:kern w:val="2"/>
                <w:sz w:val="21"/>
                <w:szCs w:val="21"/>
                <w:u w:val="none"/>
                <w:lang w:val="en-US" w:eastAsia="zh-CN" w:bidi="ar-SA"/>
              </w:rPr>
            </w:pPr>
            <w:r>
              <w:rPr>
                <w:rFonts w:hint="default" w:ascii="Times New Roman" w:hAnsi="Times New Roman" w:eastAsia="宋体" w:cs="Times New Roman"/>
                <w:b/>
                <w:bCs w:val="0"/>
                <w:i w:val="0"/>
                <w:iCs w:val="0"/>
                <w:color w:val="08090C"/>
                <w:kern w:val="0"/>
                <w:sz w:val="22"/>
                <w:szCs w:val="22"/>
                <w:u w:val="none"/>
                <w:lang w:val="en-US" w:eastAsia="zh-CN" w:bidi="ar"/>
              </w:rPr>
              <w:t xml:space="preserve">Outcome: </w:t>
            </w:r>
            <w:r>
              <w:rPr>
                <w:rFonts w:hint="eastAsia" w:ascii="Times New Roman" w:hAnsi="Times New Roman" w:eastAsia="宋体" w:cs="Times New Roman"/>
                <w:b/>
                <w:bCs w:val="0"/>
                <w:i w:val="0"/>
                <w:iCs w:val="0"/>
                <w:color w:val="08090C"/>
                <w:kern w:val="0"/>
                <w:sz w:val="22"/>
                <w:szCs w:val="22"/>
                <w:u w:val="none"/>
                <w:lang w:val="en-US" w:eastAsia="zh-CN" w:bidi="ar"/>
              </w:rPr>
              <w:t>O</w:t>
            </w:r>
            <w:r>
              <w:rPr>
                <w:rFonts w:hint="default" w:ascii="Times New Roman" w:hAnsi="Times New Roman" w:eastAsia="宋体" w:cs="Times New Roman"/>
                <w:b/>
                <w:bCs w:val="0"/>
                <w:i w:val="0"/>
                <w:iCs w:val="0"/>
                <w:color w:val="08090C"/>
                <w:kern w:val="0"/>
                <w:sz w:val="22"/>
                <w:szCs w:val="22"/>
                <w:u w:val="none"/>
                <w:lang w:val="en-US" w:eastAsia="zh-CN" w:bidi="ar"/>
              </w:rPr>
              <w:t>steoarthritis</w:t>
            </w:r>
          </w:p>
        </w:tc>
        <w:tc>
          <w:tcPr>
            <w:tcW w:w="2759" w:type="dxa"/>
            <w:tcBorders>
              <w:top w:val="nil"/>
              <w:left w:val="nil"/>
              <w:bottom w:val="nil"/>
              <w:right w:val="nil"/>
            </w:tcBorders>
            <w:shd w:val="clear" w:color="auto" w:fill="FFFFFF"/>
            <w:vAlign w:val="center"/>
          </w:tcPr>
          <w:p w14:paraId="01CECDF7">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bCs w:val="0"/>
                <w:i w:val="0"/>
                <w:iCs w:val="0"/>
                <w:color w:val="08090C"/>
                <w:kern w:val="2"/>
                <w:sz w:val="22"/>
                <w:szCs w:val="22"/>
                <w:u w:val="none"/>
                <w:lang w:val="en-US" w:eastAsia="zh-CN" w:bidi="ar-SA"/>
              </w:rPr>
            </w:pPr>
            <w:r>
              <w:rPr>
                <w:rFonts w:hint="default" w:ascii="Times New Roman" w:hAnsi="Times New Roman" w:eastAsia="宋体" w:cs="Times New Roman"/>
                <w:b/>
                <w:bCs w:val="0"/>
                <w:i w:val="0"/>
                <w:iCs w:val="0"/>
                <w:color w:val="08090C"/>
                <w:kern w:val="0"/>
                <w:sz w:val="22"/>
                <w:szCs w:val="22"/>
                <w:u w:val="none"/>
                <w:lang w:val="en-US" w:eastAsia="zh-CN" w:bidi="ar"/>
              </w:rPr>
              <w:t>OR (95%CI)</w:t>
            </w:r>
            <w:r>
              <w:rPr>
                <w:rFonts w:hint="default" w:ascii="Times New Roman" w:hAnsi="Times New Roman" w:eastAsia="宋体" w:cs="Times New Roman"/>
                <w:b/>
                <w:bCs w:val="0"/>
                <w:i w:val="0"/>
                <w:iCs w:val="0"/>
                <w:color w:val="08090C"/>
                <w:kern w:val="0"/>
                <w:sz w:val="22"/>
                <w:szCs w:val="22"/>
                <w:u w:val="none"/>
                <w:vertAlign w:val="superscript"/>
                <w:lang w:val="en-US" w:eastAsia="zh-CN" w:bidi="ar"/>
              </w:rPr>
              <w:t>a</w:t>
            </w:r>
          </w:p>
        </w:tc>
        <w:tc>
          <w:tcPr>
            <w:tcW w:w="1338" w:type="dxa"/>
            <w:tcBorders>
              <w:top w:val="nil"/>
              <w:left w:val="nil"/>
              <w:bottom w:val="nil"/>
              <w:right w:val="nil"/>
            </w:tcBorders>
            <w:shd w:val="clear" w:color="auto" w:fill="FFFFFF"/>
            <w:vAlign w:val="center"/>
          </w:tcPr>
          <w:p w14:paraId="0DDE3C20">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bCs w:val="0"/>
                <w:i w:val="0"/>
                <w:iCs w:val="0"/>
                <w:color w:val="333333"/>
                <w:kern w:val="2"/>
                <w:sz w:val="21"/>
                <w:szCs w:val="21"/>
                <w:u w:val="none"/>
                <w:lang w:val="en-US" w:eastAsia="zh-CN" w:bidi="ar-SA"/>
              </w:rPr>
            </w:pPr>
            <w:r>
              <w:rPr>
                <w:rFonts w:hint="default" w:ascii="Times New Roman" w:hAnsi="Times New Roman" w:eastAsia="宋体" w:cs="Times New Roman"/>
                <w:b/>
                <w:bCs w:val="0"/>
                <w:i w:val="0"/>
                <w:iCs w:val="0"/>
                <w:color w:val="000000"/>
                <w:kern w:val="0"/>
                <w:sz w:val="22"/>
                <w:szCs w:val="22"/>
                <w:u w:val="none"/>
                <w:lang w:val="en-US" w:eastAsia="zh-CN" w:bidi="ar"/>
              </w:rPr>
              <w:t>P-value</w:t>
            </w:r>
          </w:p>
        </w:tc>
      </w:tr>
      <w:tr w14:paraId="5D47C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36" w:type="dxa"/>
            <w:tcBorders>
              <w:top w:val="nil"/>
              <w:left w:val="nil"/>
              <w:bottom w:val="nil"/>
              <w:right w:val="nil"/>
            </w:tcBorders>
            <w:shd w:val="clear" w:color="auto" w:fill="FFFFFF"/>
            <w:vAlign w:val="center"/>
          </w:tcPr>
          <w:p w14:paraId="779E2FFF">
            <w:pPr>
              <w:keepNext w:val="0"/>
              <w:keepLines w:val="0"/>
              <w:widowControl/>
              <w:suppressLineNumbers w:val="0"/>
              <w:snapToGrid w:val="0"/>
              <w:spacing w:before="0" w:beforeAutospacing="0" w:after="0" w:afterAutospacing="0"/>
              <w:ind w:left="0" w:leftChars="0" w:right="0" w:rightChars="0"/>
              <w:jc w:val="left"/>
              <w:textAlignment w:val="center"/>
              <w:rPr>
                <w:rFonts w:hint="default" w:ascii="Times New Roman" w:hAnsi="Times New Roman" w:eastAsia="宋体" w:cs="Times New Roman"/>
                <w:b w:val="0"/>
                <w:bCs/>
                <w:i w:val="0"/>
                <w:iCs w:val="0"/>
                <w:color w:val="08090C"/>
                <w:kern w:val="2"/>
                <w:sz w:val="21"/>
                <w:szCs w:val="21"/>
                <w:u w:val="none"/>
                <w:lang w:val="en-US" w:eastAsia="zh-CN" w:bidi="ar-SA"/>
              </w:rPr>
            </w:pPr>
            <w:r>
              <w:rPr>
                <w:rFonts w:hint="eastAsia" w:ascii="Times New Roman" w:hAnsi="Times New Roman" w:eastAsia="宋体" w:cs="Times New Roman"/>
                <w:b w:val="0"/>
                <w:bCs/>
                <w:i w:val="0"/>
                <w:iCs w:val="0"/>
                <w:color w:val="08090C"/>
                <w:kern w:val="0"/>
                <w:sz w:val="22"/>
                <w:szCs w:val="22"/>
                <w:u w:val="none"/>
                <w:lang w:val="en-US" w:eastAsia="zh-CN" w:bidi="ar"/>
              </w:rPr>
              <w:t>BRI</w:t>
            </w:r>
          </w:p>
        </w:tc>
        <w:tc>
          <w:tcPr>
            <w:tcW w:w="2759" w:type="dxa"/>
            <w:tcBorders>
              <w:top w:val="nil"/>
              <w:left w:val="nil"/>
              <w:bottom w:val="nil"/>
              <w:right w:val="nil"/>
            </w:tcBorders>
            <w:shd w:val="clear" w:color="auto" w:fill="FFFFFF"/>
            <w:vAlign w:val="center"/>
          </w:tcPr>
          <w:p w14:paraId="02C3BABA">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8090C"/>
                <w:kern w:val="2"/>
                <w:sz w:val="22"/>
                <w:szCs w:val="22"/>
                <w:u w:val="none"/>
                <w:lang w:val="en-US" w:eastAsia="zh-CN" w:bidi="ar-SA"/>
              </w:rPr>
            </w:pPr>
            <w:r>
              <w:rPr>
                <w:rFonts w:hint="default" w:ascii="Times New Roman" w:hAnsi="Times New Roman" w:eastAsia="宋体" w:cs="Times New Roman"/>
                <w:b w:val="0"/>
                <w:i w:val="0"/>
                <w:iCs w:val="0"/>
                <w:color w:val="08090C"/>
                <w:kern w:val="0"/>
                <w:sz w:val="22"/>
                <w:szCs w:val="22"/>
                <w:u w:val="none"/>
                <w:lang w:val="en-US" w:eastAsia="zh-CN" w:bidi="ar"/>
              </w:rPr>
              <w:t>1.16 (1.13, 1.19)</w:t>
            </w:r>
          </w:p>
        </w:tc>
        <w:tc>
          <w:tcPr>
            <w:tcW w:w="1338" w:type="dxa"/>
            <w:tcBorders>
              <w:top w:val="nil"/>
              <w:left w:val="nil"/>
              <w:bottom w:val="nil"/>
              <w:right w:val="nil"/>
            </w:tcBorders>
            <w:shd w:val="clear" w:color="auto" w:fill="FFFFFF"/>
            <w:vAlign w:val="center"/>
          </w:tcPr>
          <w:p w14:paraId="24500D24">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val="0"/>
                <w:bCs/>
                <w:i w:val="0"/>
                <w:iCs w:val="0"/>
                <w:color w:val="333333"/>
                <w:kern w:val="2"/>
                <w:sz w:val="21"/>
                <w:szCs w:val="21"/>
                <w:u w:val="none"/>
                <w:lang w:val="en-US" w:eastAsia="zh-CN" w:bidi="ar-SA"/>
              </w:rPr>
            </w:pPr>
            <w:r>
              <w:rPr>
                <w:rFonts w:hint="default" w:ascii="Times New Roman" w:hAnsi="Times New Roman" w:eastAsia="宋体" w:cs="Times New Roman"/>
                <w:b w:val="0"/>
                <w:i w:val="0"/>
                <w:iCs w:val="0"/>
                <w:color w:val="000000"/>
                <w:kern w:val="0"/>
                <w:sz w:val="22"/>
                <w:szCs w:val="22"/>
                <w:u w:val="none"/>
                <w:lang w:val="en-US" w:eastAsia="zh-CN" w:bidi="ar"/>
              </w:rPr>
              <w:t>&lt;0.001</w:t>
            </w:r>
          </w:p>
        </w:tc>
      </w:tr>
      <w:tr w14:paraId="714FA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36" w:type="dxa"/>
            <w:tcBorders>
              <w:top w:val="nil"/>
              <w:left w:val="nil"/>
              <w:bottom w:val="nil"/>
              <w:right w:val="nil"/>
            </w:tcBorders>
            <w:shd w:val="clear" w:color="auto" w:fill="FFFFFF"/>
            <w:vAlign w:val="center"/>
          </w:tcPr>
          <w:p w14:paraId="0DF87A30">
            <w:pPr>
              <w:keepNext w:val="0"/>
              <w:keepLines w:val="0"/>
              <w:widowControl/>
              <w:suppressLineNumbers w:val="0"/>
              <w:snapToGrid w:val="0"/>
              <w:spacing w:before="0" w:beforeAutospacing="0" w:after="0" w:afterAutospacing="0"/>
              <w:ind w:left="0" w:leftChars="0" w:right="0" w:rightChars="0"/>
              <w:jc w:val="left"/>
              <w:textAlignment w:val="center"/>
              <w:rPr>
                <w:rFonts w:hint="default" w:ascii="Times New Roman" w:hAnsi="Times New Roman" w:eastAsia="宋体" w:cs="Times New Roman"/>
                <w:b w:val="0"/>
                <w:bCs/>
                <w:i w:val="0"/>
                <w:iCs w:val="0"/>
                <w:color w:val="08090C"/>
                <w:kern w:val="0"/>
                <w:sz w:val="22"/>
                <w:szCs w:val="22"/>
                <w:u w:val="none"/>
                <w:lang w:val="en-US" w:eastAsia="zh-CN" w:bidi="ar"/>
              </w:rPr>
            </w:pPr>
            <w:r>
              <w:rPr>
                <w:rFonts w:hint="eastAsia" w:ascii="Times New Roman" w:hAnsi="Times New Roman" w:eastAsia="宋体" w:cs="Times New Roman"/>
                <w:b w:val="0"/>
                <w:bCs/>
                <w:i w:val="0"/>
                <w:iCs w:val="0"/>
                <w:color w:val="08090C"/>
                <w:kern w:val="0"/>
                <w:sz w:val="22"/>
                <w:szCs w:val="22"/>
                <w:u w:val="none"/>
                <w:lang w:val="en-US" w:eastAsia="zh-CN" w:bidi="ar"/>
              </w:rPr>
              <w:t>WHtR</w:t>
            </w:r>
            <w:r>
              <w:rPr>
                <w:rFonts w:hint="default" w:ascii="Times New Roman" w:hAnsi="Times New Roman" w:eastAsia="宋体" w:cs="Times New Roman"/>
                <w:b w:val="0"/>
                <w:bCs/>
                <w:i w:val="0"/>
                <w:iCs w:val="0"/>
                <w:color w:val="08090C"/>
                <w:kern w:val="0"/>
                <w:sz w:val="22"/>
                <w:szCs w:val="22"/>
                <w:u w:val="none"/>
                <w:lang w:val="en-US" w:eastAsia="zh-CN" w:bidi="ar"/>
              </w:rPr>
              <w:t xml:space="preserve"> (per 0.1 units increase)</w:t>
            </w:r>
          </w:p>
        </w:tc>
        <w:tc>
          <w:tcPr>
            <w:tcW w:w="2759" w:type="dxa"/>
            <w:tcBorders>
              <w:top w:val="nil"/>
              <w:left w:val="nil"/>
              <w:bottom w:val="nil"/>
              <w:right w:val="nil"/>
            </w:tcBorders>
            <w:shd w:val="clear" w:color="auto" w:fill="FFFFFF"/>
            <w:vAlign w:val="center"/>
          </w:tcPr>
          <w:p w14:paraId="09D3F275">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default" w:ascii="Times New Roman" w:hAnsi="Times New Roman" w:eastAsia="宋体" w:cs="Times New Roman"/>
                <w:b w:val="0"/>
                <w:i w:val="0"/>
                <w:iCs w:val="0"/>
                <w:color w:val="08090C"/>
                <w:kern w:val="0"/>
                <w:sz w:val="22"/>
                <w:szCs w:val="22"/>
                <w:u w:val="none"/>
                <w:lang w:val="en-US" w:eastAsia="zh-CN" w:bidi="ar"/>
              </w:rPr>
              <w:t xml:space="preserve">1.45 (1.36, 1.55) </w:t>
            </w:r>
          </w:p>
        </w:tc>
        <w:tc>
          <w:tcPr>
            <w:tcW w:w="1338" w:type="dxa"/>
            <w:tcBorders>
              <w:top w:val="nil"/>
              <w:left w:val="nil"/>
              <w:bottom w:val="nil"/>
              <w:right w:val="nil"/>
            </w:tcBorders>
            <w:shd w:val="clear" w:color="auto" w:fill="FFFFFF"/>
            <w:vAlign w:val="center"/>
          </w:tcPr>
          <w:p w14:paraId="630D5061">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default" w:ascii="Times New Roman" w:hAnsi="Times New Roman" w:eastAsia="宋体" w:cs="Times New Roman"/>
                <w:b w:val="0"/>
                <w:i w:val="0"/>
                <w:iCs w:val="0"/>
                <w:color w:val="08090C"/>
                <w:kern w:val="0"/>
                <w:sz w:val="22"/>
                <w:szCs w:val="22"/>
                <w:u w:val="none"/>
                <w:lang w:val="en-US" w:eastAsia="zh-CN" w:bidi="ar"/>
              </w:rPr>
              <w:t>&lt;0.001</w:t>
            </w:r>
          </w:p>
        </w:tc>
      </w:tr>
      <w:tr w14:paraId="1E8DD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36" w:type="dxa"/>
            <w:gridSpan w:val="3"/>
            <w:tcBorders>
              <w:top w:val="nil"/>
              <w:left w:val="nil"/>
              <w:bottom w:val="nil"/>
              <w:right w:val="nil"/>
            </w:tcBorders>
            <w:shd w:val="clear" w:color="auto" w:fill="FFFFFF"/>
            <w:vAlign w:val="center"/>
          </w:tcPr>
          <w:p w14:paraId="7159F363">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b w:val="0"/>
                <w:i w:val="0"/>
                <w:iCs w:val="0"/>
                <w:color w:val="333333"/>
                <w:kern w:val="0"/>
                <w:sz w:val="20"/>
                <w:szCs w:val="20"/>
                <w:u w:val="none"/>
                <w:lang w:val="en-US" w:eastAsia="zh-CN" w:bidi="ar"/>
              </w:rPr>
            </w:pPr>
            <w:r>
              <w:rPr>
                <w:rFonts w:hint="eastAsia" w:ascii="Times New Roman" w:hAnsi="Times New Roman" w:eastAsia="宋体" w:cs="Times New Roman"/>
                <w:b w:val="0"/>
                <w:i w:val="0"/>
                <w:iCs w:val="0"/>
                <w:color w:val="000000"/>
                <w:kern w:val="0"/>
                <w:sz w:val="20"/>
                <w:szCs w:val="20"/>
                <w:u w:val="none"/>
                <w:vertAlign w:val="superscript"/>
                <w:lang w:val="en-US" w:eastAsia="zh-CN" w:bidi="ar"/>
              </w:rPr>
              <w:t>a</w:t>
            </w:r>
            <w:r>
              <w:rPr>
                <w:rFonts w:hint="default" w:ascii="Times New Roman" w:hAnsi="Times New Roman" w:eastAsia="宋体" w:cs="Times New Roman"/>
                <w:b w:val="0"/>
                <w:i w:val="0"/>
                <w:iCs w:val="0"/>
                <w:color w:val="333333"/>
                <w:kern w:val="0"/>
                <w:sz w:val="20"/>
                <w:szCs w:val="20"/>
                <w:u w:val="none"/>
                <w:lang w:val="en-US" w:eastAsia="zh-CN" w:bidi="ar"/>
              </w:rPr>
              <w:t>Adjusted for age, gender, race, education level, marital, PIR and alcohol consumption.</w:t>
            </w:r>
          </w:p>
          <w:p w14:paraId="31AECE08">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b w:val="0"/>
                <w:i w:val="0"/>
                <w:iCs w:val="0"/>
                <w:color w:val="333333"/>
                <w:kern w:val="0"/>
                <w:sz w:val="20"/>
                <w:szCs w:val="20"/>
                <w:u w:val="none"/>
                <w:lang w:val="en-US" w:eastAsia="zh-CN" w:bidi="ar"/>
              </w:rPr>
            </w:pPr>
            <w:r>
              <w:rPr>
                <w:rFonts w:hint="eastAsia" w:ascii="Times New Roman" w:hAnsi="Times New Roman" w:eastAsia="宋体" w:cs="Times New Roman"/>
                <w:b w:val="0"/>
                <w:i w:val="0"/>
                <w:iCs w:val="0"/>
                <w:color w:val="333333"/>
                <w:kern w:val="0"/>
                <w:sz w:val="20"/>
                <w:szCs w:val="20"/>
                <w:u w:val="none"/>
                <w:vertAlign w:val="superscript"/>
                <w:lang w:val="en-US" w:eastAsia="zh-CN" w:bidi="ar"/>
              </w:rPr>
              <w:t>b</w:t>
            </w:r>
            <w:r>
              <w:rPr>
                <w:rFonts w:hint="default" w:ascii="Times New Roman" w:hAnsi="Times New Roman" w:eastAsia="宋体" w:cs="Times New Roman"/>
                <w:b w:val="0"/>
                <w:i w:val="0"/>
                <w:iCs w:val="0"/>
                <w:color w:val="333333"/>
                <w:kern w:val="0"/>
                <w:sz w:val="20"/>
                <w:szCs w:val="20"/>
                <w:u w:val="none"/>
                <w:lang w:val="en-US" w:eastAsia="zh-CN" w:bidi="ar"/>
              </w:rPr>
              <w:t>Per 10</w:t>
            </w:r>
            <w:r>
              <w:rPr>
                <w:rFonts w:hint="eastAsia" w:ascii="Times New Roman" w:hAnsi="Times New Roman" w:eastAsia="宋体" w:cs="Times New Roman"/>
                <w:b w:val="0"/>
                <w:i w:val="0"/>
                <w:iCs w:val="0"/>
                <w:color w:val="333333"/>
                <w:kern w:val="0"/>
                <w:sz w:val="20"/>
                <w:szCs w:val="20"/>
                <w:u w:val="none"/>
                <w:lang w:val="en-US" w:eastAsia="zh-CN" w:bidi="ar"/>
              </w:rPr>
              <w:t>-</w:t>
            </w:r>
            <w:r>
              <w:rPr>
                <w:rFonts w:hint="default" w:ascii="Times New Roman" w:hAnsi="Times New Roman" w:eastAsia="宋体" w:cs="Times New Roman"/>
                <w:b w:val="0"/>
                <w:i w:val="0"/>
                <w:iCs w:val="0"/>
                <w:color w:val="333333"/>
                <w:kern w:val="0"/>
                <w:sz w:val="20"/>
                <w:szCs w:val="20"/>
                <w:u w:val="none"/>
                <w:lang w:val="en-US" w:eastAsia="zh-CN" w:bidi="ar"/>
              </w:rPr>
              <w:t>score increase</w:t>
            </w:r>
            <w:r>
              <w:rPr>
                <w:rFonts w:hint="eastAsia" w:ascii="Times New Roman" w:hAnsi="Times New Roman" w:eastAsia="宋体" w:cs="Times New Roman"/>
                <w:b w:val="0"/>
                <w:i w:val="0"/>
                <w:iCs w:val="0"/>
                <w:color w:val="333333"/>
                <w:kern w:val="0"/>
                <w:sz w:val="20"/>
                <w:szCs w:val="20"/>
                <w:u w:val="none"/>
                <w:lang w:val="en-US" w:eastAsia="zh-CN" w:bidi="ar"/>
              </w:rPr>
              <w:t>.</w:t>
            </w:r>
          </w:p>
        </w:tc>
      </w:tr>
      <w:tr w14:paraId="60570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36" w:type="dxa"/>
            <w:gridSpan w:val="3"/>
            <w:tcBorders>
              <w:top w:val="nil"/>
              <w:left w:val="nil"/>
              <w:bottom w:val="single" w:color="000000" w:themeColor="dark1" w:sz="12" w:space="0"/>
              <w:right w:val="nil"/>
            </w:tcBorders>
            <w:shd w:val="clear" w:color="auto" w:fill="FFFFFF"/>
            <w:vAlign w:val="center"/>
          </w:tcPr>
          <w:p w14:paraId="7A224218">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b w:val="0"/>
                <w:i w:val="0"/>
                <w:iCs w:val="0"/>
                <w:color w:val="08090C"/>
                <w:sz w:val="21"/>
                <w:szCs w:val="21"/>
                <w:u w:val="none"/>
              </w:rPr>
            </w:pPr>
            <w:r>
              <w:rPr>
                <w:rFonts w:hint="default" w:ascii="Times New Roman" w:hAnsi="Times New Roman" w:eastAsia="宋体" w:cs="Times New Roman"/>
                <w:b w:val="0"/>
                <w:i w:val="0"/>
                <w:iCs w:val="0"/>
                <w:color w:val="08090C"/>
                <w:kern w:val="0"/>
                <w:sz w:val="20"/>
                <w:szCs w:val="20"/>
                <w:u w:val="none"/>
                <w:lang w:val="en-US" w:eastAsia="zh-CN" w:bidi="ar"/>
              </w:rPr>
              <w:t>Abbreviations:</w:t>
            </w:r>
            <w:r>
              <w:rPr>
                <w:rFonts w:hint="eastAsia" w:ascii="Times New Roman" w:hAnsi="Times New Roman" w:eastAsia="宋体" w:cs="Times New Roman"/>
                <w:b w:val="0"/>
                <w:i w:val="0"/>
                <w:iCs w:val="0"/>
                <w:color w:val="08090C"/>
                <w:kern w:val="0"/>
                <w:sz w:val="20"/>
                <w:szCs w:val="20"/>
                <w:u w:val="none"/>
                <w:lang w:val="en-US" w:eastAsia="zh-CN" w:bidi="ar"/>
              </w:rPr>
              <w:t xml:space="preserve"> </w:t>
            </w:r>
            <w:r>
              <w:rPr>
                <w:rFonts w:hint="default" w:ascii="Times New Roman" w:hAnsi="Times New Roman" w:eastAsia="宋体" w:cs="Times New Roman"/>
                <w:b w:val="0"/>
                <w:i w:val="0"/>
                <w:iCs w:val="0"/>
                <w:color w:val="08090C"/>
                <w:kern w:val="0"/>
                <w:sz w:val="20"/>
                <w:szCs w:val="20"/>
                <w:u w:val="none"/>
                <w:lang w:val="en-US" w:eastAsia="zh-CN" w:bidi="ar"/>
              </w:rPr>
              <w:t xml:space="preserve">OR, odds ratio; </w:t>
            </w:r>
            <w:r>
              <w:rPr>
                <w:rFonts w:hint="default" w:ascii="Times New Roman" w:hAnsi="Times New Roman" w:eastAsia="宋体" w:cs="Times New Roman"/>
                <w:b w:val="0"/>
                <w:i w:val="0"/>
                <w:iCs w:val="0"/>
                <w:color w:val="08090C"/>
                <w:sz w:val="21"/>
                <w:szCs w:val="21"/>
                <w:u w:val="none"/>
              </w:rPr>
              <w:t xml:space="preserve">CI, confidence interval; LC9, Life's Crucial 9; BRI, </w:t>
            </w:r>
            <w:r>
              <w:rPr>
                <w:rFonts w:hint="eastAsia" w:ascii="Times New Roman" w:hAnsi="Times New Roman" w:eastAsia="宋体" w:cs="Times New Roman"/>
                <w:b w:val="0"/>
                <w:i w:val="0"/>
                <w:iCs w:val="0"/>
                <w:color w:val="08090C"/>
                <w:sz w:val="21"/>
                <w:szCs w:val="21"/>
                <w:u w:val="none"/>
                <w:lang w:val="en-US" w:eastAsia="zh-CN"/>
              </w:rPr>
              <w:t>b</w:t>
            </w:r>
            <w:r>
              <w:rPr>
                <w:rFonts w:hint="default" w:ascii="Times New Roman" w:hAnsi="Times New Roman" w:eastAsia="宋体" w:cs="Times New Roman"/>
                <w:b w:val="0"/>
                <w:i w:val="0"/>
                <w:iCs w:val="0"/>
                <w:color w:val="08090C"/>
                <w:sz w:val="21"/>
                <w:szCs w:val="21"/>
                <w:u w:val="none"/>
              </w:rPr>
              <w:t xml:space="preserve">ody </w:t>
            </w:r>
            <w:r>
              <w:rPr>
                <w:rFonts w:hint="eastAsia" w:ascii="Times New Roman" w:hAnsi="Times New Roman" w:eastAsia="宋体" w:cs="Times New Roman"/>
                <w:b w:val="0"/>
                <w:i w:val="0"/>
                <w:iCs w:val="0"/>
                <w:color w:val="08090C"/>
                <w:sz w:val="21"/>
                <w:szCs w:val="21"/>
                <w:u w:val="none"/>
                <w:lang w:val="en-US" w:eastAsia="zh-CN"/>
              </w:rPr>
              <w:t>r</w:t>
            </w:r>
            <w:r>
              <w:rPr>
                <w:rFonts w:hint="default" w:ascii="Times New Roman" w:hAnsi="Times New Roman" w:eastAsia="宋体" w:cs="Times New Roman"/>
                <w:b w:val="0"/>
                <w:i w:val="0"/>
                <w:iCs w:val="0"/>
                <w:color w:val="08090C"/>
                <w:sz w:val="21"/>
                <w:szCs w:val="21"/>
                <w:u w:val="none"/>
              </w:rPr>
              <w:t>oundness</w:t>
            </w:r>
            <w:r>
              <w:rPr>
                <w:rFonts w:hint="eastAsia" w:ascii="Times New Roman" w:hAnsi="Times New Roman" w:eastAsia="宋体" w:cs="Times New Roman"/>
                <w:b w:val="0"/>
                <w:i w:val="0"/>
                <w:iCs w:val="0"/>
                <w:color w:val="08090C"/>
                <w:sz w:val="21"/>
                <w:szCs w:val="21"/>
                <w:u w:val="none"/>
                <w:lang w:val="en-US" w:eastAsia="zh-CN"/>
              </w:rPr>
              <w:t xml:space="preserve"> i</w:t>
            </w:r>
            <w:r>
              <w:rPr>
                <w:rFonts w:hint="default" w:ascii="Times New Roman" w:hAnsi="Times New Roman" w:eastAsia="宋体" w:cs="Times New Roman"/>
                <w:b w:val="0"/>
                <w:i w:val="0"/>
                <w:iCs w:val="0"/>
                <w:color w:val="08090C"/>
                <w:sz w:val="21"/>
                <w:szCs w:val="21"/>
                <w:u w:val="none"/>
              </w:rPr>
              <w:t xml:space="preserve">ndex; WHtR, </w:t>
            </w:r>
            <w:r>
              <w:rPr>
                <w:rFonts w:hint="eastAsia" w:ascii="Times New Roman" w:hAnsi="Times New Roman" w:eastAsia="宋体" w:cs="Times New Roman"/>
                <w:b w:val="0"/>
                <w:i w:val="0"/>
                <w:iCs w:val="0"/>
                <w:color w:val="08090C"/>
                <w:sz w:val="21"/>
                <w:szCs w:val="21"/>
                <w:u w:val="none"/>
                <w:lang w:val="en-US" w:eastAsia="zh-CN"/>
              </w:rPr>
              <w:t>w</w:t>
            </w:r>
            <w:r>
              <w:rPr>
                <w:rFonts w:hint="default" w:ascii="Times New Roman" w:hAnsi="Times New Roman" w:eastAsia="宋体" w:cs="Times New Roman"/>
                <w:b w:val="0"/>
                <w:i w:val="0"/>
                <w:iCs w:val="0"/>
                <w:color w:val="08090C"/>
                <w:sz w:val="21"/>
                <w:szCs w:val="21"/>
                <w:u w:val="none"/>
              </w:rPr>
              <w:t>aist-to-</w:t>
            </w:r>
            <w:r>
              <w:rPr>
                <w:rFonts w:hint="eastAsia" w:ascii="Times New Roman" w:hAnsi="Times New Roman" w:eastAsia="宋体" w:cs="Times New Roman"/>
                <w:b w:val="0"/>
                <w:i w:val="0"/>
                <w:iCs w:val="0"/>
                <w:color w:val="08090C"/>
                <w:sz w:val="21"/>
                <w:szCs w:val="21"/>
                <w:u w:val="none"/>
                <w:lang w:val="en-US" w:eastAsia="zh-CN"/>
              </w:rPr>
              <w:t>h</w:t>
            </w:r>
            <w:r>
              <w:rPr>
                <w:rFonts w:hint="default" w:ascii="Times New Roman" w:hAnsi="Times New Roman" w:eastAsia="宋体" w:cs="Times New Roman"/>
                <w:b w:val="0"/>
                <w:i w:val="0"/>
                <w:iCs w:val="0"/>
                <w:color w:val="08090C"/>
                <w:sz w:val="21"/>
                <w:szCs w:val="21"/>
                <w:u w:val="none"/>
              </w:rPr>
              <w:t xml:space="preserve">eight </w:t>
            </w:r>
            <w:r>
              <w:rPr>
                <w:rFonts w:hint="eastAsia" w:ascii="Times New Roman" w:hAnsi="Times New Roman" w:eastAsia="宋体" w:cs="Times New Roman"/>
                <w:b w:val="0"/>
                <w:i w:val="0"/>
                <w:iCs w:val="0"/>
                <w:color w:val="08090C"/>
                <w:sz w:val="21"/>
                <w:szCs w:val="21"/>
                <w:u w:val="none"/>
                <w:lang w:val="en-US" w:eastAsia="zh-CN"/>
              </w:rPr>
              <w:t>r</w:t>
            </w:r>
            <w:r>
              <w:rPr>
                <w:rFonts w:hint="default" w:ascii="Times New Roman" w:hAnsi="Times New Roman" w:eastAsia="宋体" w:cs="Times New Roman"/>
                <w:b w:val="0"/>
                <w:i w:val="0"/>
                <w:iCs w:val="0"/>
                <w:color w:val="08090C"/>
                <w:sz w:val="21"/>
                <w:szCs w:val="21"/>
                <w:u w:val="none"/>
              </w:rPr>
              <w:t>atio</w:t>
            </w:r>
            <w:r>
              <w:rPr>
                <w:rFonts w:hint="eastAsia" w:ascii="Times New Roman" w:hAnsi="Times New Roman" w:eastAsia="宋体" w:cs="Times New Roman"/>
                <w:b w:val="0"/>
                <w:i w:val="0"/>
                <w:iCs w:val="0"/>
                <w:color w:val="08090C"/>
                <w:sz w:val="21"/>
                <w:szCs w:val="21"/>
                <w:u w:val="none"/>
                <w:lang w:val="en-US" w:eastAsia="zh-CN"/>
              </w:rPr>
              <w:t>; PIR, Ratio of family income to poverty.</w:t>
            </w:r>
            <w:r>
              <w:rPr>
                <w:rFonts w:hint="default" w:ascii="Times New Roman" w:hAnsi="Times New Roman" w:eastAsia="宋体" w:cs="Times New Roman"/>
                <w:b w:val="0"/>
                <w:i w:val="0"/>
                <w:iCs w:val="0"/>
                <w:color w:val="08090C"/>
                <w:sz w:val="21"/>
                <w:szCs w:val="21"/>
                <w:u w:val="none"/>
              </w:rPr>
              <w:t xml:space="preserve"> </w:t>
            </w:r>
          </w:p>
        </w:tc>
      </w:tr>
    </w:tbl>
    <w:p w14:paraId="596E209C">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70BAF8E6">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283F21C0">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27EFC675">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0991CC45">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58FAD729">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368B5A08">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2E364A70">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6B9CF874">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703DCD08">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3BC1DB00">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6A7D2A78">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7298D78B">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138BDF67">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001C5FE2">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688A9FE9">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6D47273C">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5B154EDF">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0FE9BCAB">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79C71251">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7273491D">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6D2B8CCB">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sectPr>
          <w:pgSz w:w="11906" w:h="16838"/>
          <w:pgMar w:top="1440" w:right="1800" w:bottom="1440" w:left="1800" w:header="851" w:footer="992" w:gutter="0"/>
          <w:cols w:space="425" w:num="1"/>
          <w:docGrid w:type="lines" w:linePitch="312" w:charSpace="0"/>
        </w:sectPr>
      </w:pPr>
    </w:p>
    <w:p w14:paraId="29902E05">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p w14:paraId="76219624">
      <w:pPr>
        <w:rPr>
          <w:rFonts w:hint="default" w:ascii="Times New Roman" w:hAnsi="Times New Roman" w:cs="Times New Roman"/>
          <w:lang w:val="en-US" w:eastAsia="zh-CN"/>
        </w:rPr>
      </w:pPr>
      <w:r>
        <w:rPr>
          <w:rFonts w:hint="eastAsia" w:ascii="Times New Roman" w:hAnsi="Times New Roman" w:eastAsia="Helvetica" w:cs="Times New Roman"/>
          <w:b/>
          <w:bCs/>
          <w:i w:val="0"/>
          <w:iCs w:val="0"/>
          <w:caps w:val="0"/>
          <w:color w:val="333333"/>
          <w:spacing w:val="0"/>
          <w:kern w:val="0"/>
          <w:sz w:val="24"/>
          <w:szCs w:val="24"/>
          <w:lang w:val="en-US" w:eastAsia="zh-CN" w:bidi="ar"/>
        </w:rPr>
        <w:t>Table S4.</w:t>
      </w:r>
      <w:r>
        <w:rPr>
          <w:rFonts w:hint="eastAsia" w:ascii="Times New Roman" w:hAnsi="Times New Roman" w:eastAsia="Helvetica" w:cs="Times New Roman"/>
          <w:b w:val="0"/>
          <w:bCs w:val="0"/>
          <w:i w:val="0"/>
          <w:iCs w:val="0"/>
          <w:caps w:val="0"/>
          <w:color w:val="333333"/>
          <w:spacing w:val="0"/>
          <w:kern w:val="0"/>
          <w:sz w:val="24"/>
          <w:szCs w:val="24"/>
          <w:lang w:val="en-US" w:eastAsia="zh-CN" w:bidi="ar"/>
        </w:rPr>
        <w:t xml:space="preserve"> Sensitivity analysis restricting to participants aged 40 years and older using weighted logistic regression of LC9 on osteoarthritis</w:t>
      </w:r>
      <w:r>
        <w:rPr>
          <w:rFonts w:hint="default" w:ascii="Times New Roman" w:hAnsi="Times New Roman" w:cs="Times New Roman"/>
          <w:lang w:val="en-US" w:eastAsia="zh-CN"/>
        </w:rPr>
        <w:t>.</w:t>
      </w:r>
    </w:p>
    <w:tbl>
      <w:tblPr>
        <w:tblStyle w:val="3"/>
        <w:tblW w:w="14120"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60"/>
        <w:gridCol w:w="2251"/>
        <w:gridCol w:w="1302"/>
        <w:gridCol w:w="2251"/>
        <w:gridCol w:w="1302"/>
        <w:gridCol w:w="2251"/>
        <w:gridCol w:w="1303"/>
      </w:tblGrid>
      <w:tr w14:paraId="16039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460" w:type="dxa"/>
            <w:vMerge w:val="restart"/>
            <w:tcBorders>
              <w:top w:val="single" w:color="000000" w:sz="12" w:space="0"/>
              <w:left w:val="nil"/>
              <w:bottom w:val="single" w:color="000000" w:sz="12" w:space="0"/>
              <w:right w:val="nil"/>
            </w:tcBorders>
            <w:shd w:val="clear" w:color="auto" w:fill="FFFFFF"/>
            <w:noWrap/>
            <w:vAlign w:val="center"/>
          </w:tcPr>
          <w:p w14:paraId="47F583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Characteristic</w:t>
            </w:r>
          </w:p>
        </w:tc>
        <w:tc>
          <w:tcPr>
            <w:tcW w:w="2251" w:type="dxa"/>
            <w:tcBorders>
              <w:top w:val="single" w:color="000000" w:sz="12" w:space="0"/>
              <w:left w:val="nil"/>
              <w:bottom w:val="nil"/>
              <w:right w:val="nil"/>
            </w:tcBorders>
            <w:shd w:val="clear" w:color="auto" w:fill="FFFFFF"/>
            <w:noWrap/>
            <w:vAlign w:val="center"/>
          </w:tcPr>
          <w:p w14:paraId="7E6B97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1</w:t>
            </w:r>
          </w:p>
        </w:tc>
        <w:tc>
          <w:tcPr>
            <w:tcW w:w="1302" w:type="dxa"/>
            <w:vMerge w:val="restart"/>
            <w:tcBorders>
              <w:top w:val="single" w:color="000000" w:sz="12" w:space="0"/>
              <w:left w:val="nil"/>
              <w:bottom w:val="single" w:color="000000" w:sz="12" w:space="0"/>
              <w:right w:val="nil"/>
            </w:tcBorders>
            <w:shd w:val="clear" w:color="auto" w:fill="FFFFFF"/>
            <w:noWrap/>
            <w:vAlign w:val="center"/>
          </w:tcPr>
          <w:p w14:paraId="722D08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iCs/>
                <w:color w:val="000000"/>
                <w:sz w:val="24"/>
                <w:szCs w:val="24"/>
                <w:u w:val="none"/>
              </w:rPr>
            </w:pPr>
            <w:r>
              <w:rPr>
                <w:rFonts w:hint="default" w:ascii="Times New Roman" w:hAnsi="Times New Roman" w:eastAsia="宋体" w:cs="Times New Roman"/>
                <w:b/>
                <w:bCs/>
                <w:i/>
                <w:iCs/>
                <w:color w:val="000000"/>
                <w:kern w:val="0"/>
                <w:sz w:val="24"/>
                <w:szCs w:val="24"/>
                <w:u w:val="none"/>
                <w:lang w:val="en-US" w:eastAsia="zh-CN" w:bidi="ar"/>
              </w:rPr>
              <w:t>P</w:t>
            </w:r>
            <w:r>
              <w:rPr>
                <w:rStyle w:val="8"/>
                <w:rFonts w:eastAsia="宋体"/>
                <w:lang w:val="en-US" w:eastAsia="zh-CN" w:bidi="ar"/>
              </w:rPr>
              <w:t>-value</w:t>
            </w:r>
          </w:p>
        </w:tc>
        <w:tc>
          <w:tcPr>
            <w:tcW w:w="2251" w:type="dxa"/>
            <w:tcBorders>
              <w:top w:val="single" w:color="000000" w:sz="12" w:space="0"/>
              <w:left w:val="nil"/>
              <w:bottom w:val="nil"/>
              <w:right w:val="nil"/>
            </w:tcBorders>
            <w:shd w:val="clear" w:color="auto" w:fill="FFFFFF"/>
            <w:noWrap/>
            <w:vAlign w:val="center"/>
          </w:tcPr>
          <w:p w14:paraId="0E269B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2</w:t>
            </w:r>
          </w:p>
        </w:tc>
        <w:tc>
          <w:tcPr>
            <w:tcW w:w="1302" w:type="dxa"/>
            <w:vMerge w:val="restart"/>
            <w:tcBorders>
              <w:top w:val="single" w:color="000000" w:sz="12" w:space="0"/>
              <w:left w:val="nil"/>
              <w:bottom w:val="single" w:color="000000" w:sz="12" w:space="0"/>
              <w:right w:val="nil"/>
            </w:tcBorders>
            <w:shd w:val="clear" w:color="auto" w:fill="FFFFFF"/>
            <w:noWrap/>
            <w:vAlign w:val="center"/>
          </w:tcPr>
          <w:p w14:paraId="7B2E76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iCs/>
                <w:color w:val="000000"/>
                <w:sz w:val="24"/>
                <w:szCs w:val="24"/>
                <w:u w:val="none"/>
              </w:rPr>
            </w:pPr>
            <w:r>
              <w:rPr>
                <w:rFonts w:hint="default" w:ascii="Times New Roman" w:hAnsi="Times New Roman" w:eastAsia="宋体" w:cs="Times New Roman"/>
                <w:b/>
                <w:bCs/>
                <w:i/>
                <w:iCs/>
                <w:color w:val="000000"/>
                <w:kern w:val="0"/>
                <w:sz w:val="24"/>
                <w:szCs w:val="24"/>
                <w:u w:val="none"/>
                <w:lang w:val="en-US" w:eastAsia="zh-CN" w:bidi="ar"/>
              </w:rPr>
              <w:t>P</w:t>
            </w:r>
            <w:r>
              <w:rPr>
                <w:rStyle w:val="8"/>
                <w:rFonts w:eastAsia="宋体"/>
                <w:lang w:val="en-US" w:eastAsia="zh-CN" w:bidi="ar"/>
              </w:rPr>
              <w:t>-value</w:t>
            </w:r>
          </w:p>
        </w:tc>
        <w:tc>
          <w:tcPr>
            <w:tcW w:w="2251" w:type="dxa"/>
            <w:tcBorders>
              <w:top w:val="single" w:color="000000" w:sz="12" w:space="0"/>
              <w:left w:val="nil"/>
              <w:bottom w:val="nil"/>
              <w:right w:val="nil"/>
            </w:tcBorders>
            <w:shd w:val="clear" w:color="auto" w:fill="FFFFFF"/>
            <w:noWrap/>
            <w:vAlign w:val="center"/>
          </w:tcPr>
          <w:p w14:paraId="7F5EB1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3</w:t>
            </w:r>
          </w:p>
        </w:tc>
        <w:tc>
          <w:tcPr>
            <w:tcW w:w="1303" w:type="dxa"/>
            <w:vMerge w:val="restart"/>
            <w:tcBorders>
              <w:top w:val="single" w:color="000000" w:sz="12" w:space="0"/>
              <w:left w:val="nil"/>
              <w:bottom w:val="single" w:color="000000" w:sz="12" w:space="0"/>
              <w:right w:val="nil"/>
            </w:tcBorders>
            <w:shd w:val="clear" w:color="auto" w:fill="FFFFFF"/>
            <w:noWrap/>
            <w:vAlign w:val="center"/>
          </w:tcPr>
          <w:p w14:paraId="6A4420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iCs/>
                <w:color w:val="000000"/>
                <w:sz w:val="24"/>
                <w:szCs w:val="24"/>
                <w:u w:val="none"/>
              </w:rPr>
            </w:pPr>
            <w:r>
              <w:rPr>
                <w:rFonts w:hint="default" w:ascii="Times New Roman" w:hAnsi="Times New Roman" w:eastAsia="宋体" w:cs="Times New Roman"/>
                <w:b/>
                <w:bCs/>
                <w:i/>
                <w:iCs/>
                <w:color w:val="000000"/>
                <w:kern w:val="0"/>
                <w:sz w:val="24"/>
                <w:szCs w:val="24"/>
                <w:u w:val="none"/>
                <w:lang w:val="en-US" w:eastAsia="zh-CN" w:bidi="ar"/>
              </w:rPr>
              <w:t>P</w:t>
            </w:r>
            <w:r>
              <w:rPr>
                <w:rStyle w:val="8"/>
                <w:rFonts w:eastAsia="宋体"/>
                <w:lang w:val="en-US" w:eastAsia="zh-CN" w:bidi="ar"/>
              </w:rPr>
              <w:t>-value</w:t>
            </w:r>
          </w:p>
        </w:tc>
      </w:tr>
      <w:tr w14:paraId="5D46A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460" w:type="dxa"/>
            <w:vMerge w:val="continue"/>
            <w:tcBorders>
              <w:top w:val="single" w:color="000000" w:sz="12" w:space="0"/>
              <w:left w:val="nil"/>
              <w:bottom w:val="single" w:color="000000" w:sz="12" w:space="0"/>
              <w:right w:val="nil"/>
            </w:tcBorders>
            <w:shd w:val="clear" w:color="auto" w:fill="FFFFFF"/>
            <w:noWrap/>
            <w:vAlign w:val="center"/>
          </w:tcPr>
          <w:p w14:paraId="0D3C0DEE">
            <w:pPr>
              <w:keepNext w:val="0"/>
              <w:keepLines w:val="0"/>
              <w:suppressLineNumbers w:val="0"/>
              <w:spacing w:before="0" w:beforeAutospacing="0" w:after="0" w:afterAutospacing="0"/>
              <w:ind w:left="0" w:right="0"/>
              <w:jc w:val="left"/>
              <w:rPr>
                <w:rFonts w:hint="default" w:ascii="Times New Roman" w:hAnsi="Times New Roman" w:eastAsia="宋体" w:cs="Times New Roman"/>
                <w:b/>
                <w:bCs/>
                <w:i w:val="0"/>
                <w:iCs w:val="0"/>
                <w:color w:val="000000"/>
                <w:sz w:val="24"/>
                <w:szCs w:val="24"/>
                <w:u w:val="none"/>
              </w:rPr>
            </w:pPr>
          </w:p>
        </w:tc>
        <w:tc>
          <w:tcPr>
            <w:tcW w:w="0" w:type="auto"/>
            <w:tcBorders>
              <w:top w:val="nil"/>
              <w:left w:val="nil"/>
              <w:bottom w:val="single" w:color="000000" w:sz="12" w:space="0"/>
              <w:right w:val="nil"/>
            </w:tcBorders>
            <w:shd w:val="clear" w:color="auto" w:fill="FFFFFF"/>
            <w:noWrap/>
            <w:vAlign w:val="center"/>
          </w:tcPr>
          <w:p w14:paraId="03D730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8090C"/>
                <w:sz w:val="24"/>
                <w:szCs w:val="24"/>
                <w:u w:val="none"/>
              </w:rPr>
            </w:pPr>
            <w:r>
              <w:rPr>
                <w:rFonts w:hint="default" w:ascii="Times New Roman" w:hAnsi="Times New Roman" w:eastAsia="宋体" w:cs="Times New Roman"/>
                <w:b/>
                <w:bCs/>
                <w:i w:val="0"/>
                <w:iCs w:val="0"/>
                <w:color w:val="08090C"/>
                <w:kern w:val="0"/>
                <w:sz w:val="24"/>
                <w:szCs w:val="24"/>
                <w:u w:val="none"/>
                <w:lang w:val="en-US" w:eastAsia="zh-CN" w:bidi="ar"/>
              </w:rPr>
              <w:t>HR (95%CI)</w:t>
            </w:r>
          </w:p>
        </w:tc>
        <w:tc>
          <w:tcPr>
            <w:tcW w:w="1302" w:type="dxa"/>
            <w:vMerge w:val="continue"/>
            <w:tcBorders>
              <w:top w:val="single" w:color="000000" w:sz="12" w:space="0"/>
              <w:left w:val="nil"/>
              <w:bottom w:val="single" w:color="000000" w:sz="12" w:space="0"/>
              <w:right w:val="nil"/>
            </w:tcBorders>
            <w:shd w:val="clear" w:color="auto" w:fill="FFFFFF"/>
            <w:noWrap/>
            <w:vAlign w:val="center"/>
          </w:tcPr>
          <w:p w14:paraId="1986211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iCs/>
                <w:color w:val="000000"/>
                <w:sz w:val="24"/>
                <w:szCs w:val="24"/>
                <w:u w:val="none"/>
              </w:rPr>
            </w:pPr>
          </w:p>
        </w:tc>
        <w:tc>
          <w:tcPr>
            <w:tcW w:w="0" w:type="auto"/>
            <w:tcBorders>
              <w:top w:val="nil"/>
              <w:left w:val="nil"/>
              <w:bottom w:val="single" w:color="000000" w:sz="12" w:space="0"/>
              <w:right w:val="nil"/>
            </w:tcBorders>
            <w:shd w:val="clear" w:color="auto" w:fill="FFFFFF"/>
            <w:noWrap/>
            <w:vAlign w:val="center"/>
          </w:tcPr>
          <w:p w14:paraId="5F25BB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8090C"/>
                <w:sz w:val="24"/>
                <w:szCs w:val="24"/>
                <w:u w:val="none"/>
              </w:rPr>
            </w:pPr>
            <w:r>
              <w:rPr>
                <w:rFonts w:hint="default" w:ascii="Times New Roman" w:hAnsi="Times New Roman" w:eastAsia="宋体" w:cs="Times New Roman"/>
                <w:b/>
                <w:bCs/>
                <w:i w:val="0"/>
                <w:iCs w:val="0"/>
                <w:color w:val="08090C"/>
                <w:kern w:val="0"/>
                <w:sz w:val="24"/>
                <w:szCs w:val="24"/>
                <w:u w:val="none"/>
                <w:lang w:val="en-US" w:eastAsia="zh-CN" w:bidi="ar"/>
              </w:rPr>
              <w:t>HR (95%CI)</w:t>
            </w:r>
          </w:p>
        </w:tc>
        <w:tc>
          <w:tcPr>
            <w:tcW w:w="1302" w:type="dxa"/>
            <w:vMerge w:val="continue"/>
            <w:tcBorders>
              <w:top w:val="single" w:color="000000" w:sz="12" w:space="0"/>
              <w:left w:val="nil"/>
              <w:bottom w:val="single" w:color="000000" w:sz="12" w:space="0"/>
              <w:right w:val="nil"/>
            </w:tcBorders>
            <w:shd w:val="clear" w:color="auto" w:fill="FFFFFF"/>
            <w:noWrap/>
            <w:vAlign w:val="center"/>
          </w:tcPr>
          <w:p w14:paraId="27DE74D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iCs/>
                <w:color w:val="000000"/>
                <w:sz w:val="24"/>
                <w:szCs w:val="24"/>
                <w:u w:val="none"/>
              </w:rPr>
            </w:pPr>
          </w:p>
        </w:tc>
        <w:tc>
          <w:tcPr>
            <w:tcW w:w="0" w:type="auto"/>
            <w:tcBorders>
              <w:top w:val="nil"/>
              <w:left w:val="nil"/>
              <w:bottom w:val="single" w:color="000000" w:sz="12" w:space="0"/>
              <w:right w:val="nil"/>
            </w:tcBorders>
            <w:shd w:val="clear" w:color="auto" w:fill="FFFFFF"/>
            <w:noWrap/>
            <w:vAlign w:val="center"/>
          </w:tcPr>
          <w:p w14:paraId="1B198A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8090C"/>
                <w:sz w:val="24"/>
                <w:szCs w:val="24"/>
                <w:u w:val="none"/>
              </w:rPr>
            </w:pPr>
            <w:r>
              <w:rPr>
                <w:rFonts w:hint="default" w:ascii="Times New Roman" w:hAnsi="Times New Roman" w:eastAsia="宋体" w:cs="Times New Roman"/>
                <w:b/>
                <w:bCs/>
                <w:i w:val="0"/>
                <w:iCs w:val="0"/>
                <w:color w:val="08090C"/>
                <w:kern w:val="0"/>
                <w:sz w:val="24"/>
                <w:szCs w:val="24"/>
                <w:u w:val="none"/>
                <w:lang w:val="en-US" w:eastAsia="zh-CN" w:bidi="ar"/>
              </w:rPr>
              <w:t>HR (95%CI)</w:t>
            </w:r>
          </w:p>
        </w:tc>
        <w:tc>
          <w:tcPr>
            <w:tcW w:w="1303" w:type="dxa"/>
            <w:vMerge w:val="continue"/>
            <w:tcBorders>
              <w:top w:val="single" w:color="000000" w:sz="12" w:space="0"/>
              <w:left w:val="nil"/>
              <w:bottom w:val="single" w:color="000000" w:sz="12" w:space="0"/>
              <w:right w:val="nil"/>
            </w:tcBorders>
            <w:shd w:val="clear" w:color="auto" w:fill="FFFFFF"/>
            <w:noWrap/>
            <w:vAlign w:val="center"/>
          </w:tcPr>
          <w:p w14:paraId="28695EB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iCs/>
                <w:color w:val="000000"/>
                <w:sz w:val="24"/>
                <w:szCs w:val="24"/>
                <w:u w:val="none"/>
              </w:rPr>
            </w:pPr>
          </w:p>
        </w:tc>
      </w:tr>
      <w:tr w14:paraId="66FE1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noWrap/>
            <w:vAlign w:val="center"/>
          </w:tcPr>
          <w:p w14:paraId="052935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8090C"/>
                <w:sz w:val="24"/>
                <w:szCs w:val="24"/>
                <w:u w:val="none"/>
              </w:rPr>
            </w:pPr>
            <w:r>
              <w:rPr>
                <w:rFonts w:hint="default" w:ascii="Times New Roman" w:hAnsi="Times New Roman" w:cs="Times New Roman"/>
                <w:b/>
                <w:bCs/>
                <w:vertAlign w:val="baseline"/>
              </w:rPr>
              <w:t>LC9</w:t>
            </w:r>
            <w:r>
              <w:rPr>
                <w:rFonts w:hint="default" w:ascii="Times New Roman" w:hAnsi="Times New Roman" w:eastAsia="宋体" w:cs="Times New Roman"/>
                <w:b/>
                <w:bCs/>
                <w:i w:val="0"/>
                <w:iCs w:val="0"/>
                <w:color w:val="08090C"/>
                <w:kern w:val="0"/>
                <w:sz w:val="24"/>
                <w:szCs w:val="24"/>
                <w:u w:val="none"/>
                <w:lang w:val="en-US" w:eastAsia="zh-CN" w:bidi="ar"/>
              </w:rPr>
              <w:t xml:space="preserve"> (per 1</w:t>
            </w:r>
            <w:r>
              <w:rPr>
                <w:rFonts w:hint="eastAsia" w:ascii="Times New Roman" w:hAnsi="Times New Roman" w:eastAsia="宋体" w:cs="Times New Roman"/>
                <w:b/>
                <w:bCs/>
                <w:i w:val="0"/>
                <w:iCs w:val="0"/>
                <w:color w:val="08090C"/>
                <w:kern w:val="0"/>
                <w:sz w:val="24"/>
                <w:szCs w:val="24"/>
                <w:u w:val="none"/>
                <w:lang w:val="en-US" w:eastAsia="zh-CN" w:bidi="ar"/>
              </w:rPr>
              <w:t>0</w:t>
            </w:r>
            <w:r>
              <w:rPr>
                <w:rFonts w:hint="default" w:ascii="Times New Roman" w:hAnsi="Times New Roman" w:eastAsia="宋体" w:cs="Times New Roman"/>
                <w:b/>
                <w:bCs/>
                <w:i w:val="0"/>
                <w:iCs w:val="0"/>
                <w:color w:val="08090C"/>
                <w:kern w:val="0"/>
                <w:sz w:val="24"/>
                <w:szCs w:val="24"/>
                <w:u w:val="none"/>
                <w:lang w:val="en-US" w:eastAsia="zh-CN" w:bidi="ar"/>
              </w:rPr>
              <w:t xml:space="preserve"> unit increase)</w:t>
            </w:r>
          </w:p>
        </w:tc>
        <w:tc>
          <w:tcPr>
            <w:tcW w:w="0" w:type="auto"/>
            <w:tcBorders>
              <w:top w:val="nil"/>
              <w:left w:val="nil"/>
              <w:bottom w:val="nil"/>
              <w:right w:val="nil"/>
            </w:tcBorders>
            <w:shd w:val="clear" w:color="auto" w:fill="FFFFFF"/>
            <w:noWrap/>
            <w:vAlign w:val="center"/>
          </w:tcPr>
          <w:p w14:paraId="307504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 xml:space="preserve">0.85 (0.81, 0.89) </w:t>
            </w:r>
          </w:p>
        </w:tc>
        <w:tc>
          <w:tcPr>
            <w:tcW w:w="0" w:type="auto"/>
            <w:tcBorders>
              <w:top w:val="nil"/>
              <w:left w:val="nil"/>
              <w:bottom w:val="nil"/>
              <w:right w:val="nil"/>
            </w:tcBorders>
            <w:shd w:val="clear" w:color="auto" w:fill="FFFFFF"/>
            <w:noWrap/>
            <w:vAlign w:val="center"/>
          </w:tcPr>
          <w:p w14:paraId="386F63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noWrap/>
            <w:vAlign w:val="center"/>
          </w:tcPr>
          <w:p w14:paraId="70A230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 xml:space="preserve">0.85 (0.81, 0.89) </w:t>
            </w:r>
          </w:p>
        </w:tc>
        <w:tc>
          <w:tcPr>
            <w:tcW w:w="0" w:type="auto"/>
            <w:tcBorders>
              <w:top w:val="nil"/>
              <w:left w:val="nil"/>
              <w:bottom w:val="nil"/>
              <w:right w:val="nil"/>
            </w:tcBorders>
            <w:shd w:val="clear" w:color="auto" w:fill="FFFFFF"/>
            <w:noWrap/>
            <w:vAlign w:val="center"/>
          </w:tcPr>
          <w:p w14:paraId="29DA3D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noWrap/>
            <w:vAlign w:val="center"/>
          </w:tcPr>
          <w:p w14:paraId="126F6B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 xml:space="preserve">0.81 (0.76, 0.86) </w:t>
            </w:r>
          </w:p>
        </w:tc>
        <w:tc>
          <w:tcPr>
            <w:tcW w:w="0" w:type="auto"/>
            <w:tcBorders>
              <w:top w:val="nil"/>
              <w:left w:val="nil"/>
              <w:bottom w:val="nil"/>
              <w:right w:val="nil"/>
            </w:tcBorders>
            <w:shd w:val="clear" w:color="auto" w:fill="FFFFFF"/>
            <w:noWrap/>
            <w:vAlign w:val="center"/>
          </w:tcPr>
          <w:p w14:paraId="10EA2E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r>
      <w:tr w14:paraId="72C9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0" w:type="auto"/>
            <w:tcBorders>
              <w:top w:val="nil"/>
              <w:left w:val="nil"/>
              <w:bottom w:val="nil"/>
              <w:right w:val="nil"/>
            </w:tcBorders>
            <w:shd w:val="clear" w:color="auto" w:fill="FFFFFF"/>
            <w:noWrap/>
            <w:vAlign w:val="center"/>
          </w:tcPr>
          <w:p w14:paraId="00FDAF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8090C"/>
                <w:sz w:val="24"/>
                <w:szCs w:val="24"/>
                <w:u w:val="none"/>
              </w:rPr>
            </w:pPr>
            <w:r>
              <w:rPr>
                <w:rFonts w:hint="default" w:ascii="Times New Roman" w:hAnsi="Times New Roman" w:eastAsia="宋体" w:cs="Times New Roman"/>
                <w:b/>
                <w:bCs/>
                <w:i w:val="0"/>
                <w:iCs w:val="0"/>
                <w:color w:val="08090C"/>
                <w:kern w:val="0"/>
                <w:sz w:val="24"/>
                <w:szCs w:val="24"/>
                <w:u w:val="none"/>
                <w:lang w:val="en-US" w:eastAsia="zh-CN" w:bidi="ar"/>
              </w:rPr>
              <w:t xml:space="preserve">Quartile </w:t>
            </w:r>
            <w:r>
              <w:rPr>
                <w:rFonts w:hint="default" w:ascii="Times New Roman" w:hAnsi="Times New Roman" w:cs="Times New Roman"/>
                <w:b/>
                <w:bCs/>
                <w:vertAlign w:val="baseline"/>
              </w:rPr>
              <w:t>LC9</w:t>
            </w:r>
          </w:p>
        </w:tc>
        <w:tc>
          <w:tcPr>
            <w:tcW w:w="0" w:type="auto"/>
            <w:tcBorders>
              <w:top w:val="nil"/>
              <w:left w:val="nil"/>
              <w:bottom w:val="nil"/>
              <w:right w:val="nil"/>
            </w:tcBorders>
            <w:shd w:val="clear" w:color="auto" w:fill="FFFFFF"/>
            <w:noWrap/>
            <w:vAlign w:val="center"/>
          </w:tcPr>
          <w:p w14:paraId="2E72A0A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8090C"/>
                <w:sz w:val="24"/>
                <w:szCs w:val="24"/>
                <w:u w:val="none"/>
              </w:rPr>
            </w:pPr>
          </w:p>
        </w:tc>
        <w:tc>
          <w:tcPr>
            <w:tcW w:w="0" w:type="auto"/>
            <w:tcBorders>
              <w:top w:val="nil"/>
              <w:left w:val="nil"/>
              <w:bottom w:val="nil"/>
              <w:right w:val="nil"/>
            </w:tcBorders>
            <w:shd w:val="clear" w:color="auto" w:fill="FFFFFF"/>
            <w:noWrap/>
            <w:vAlign w:val="center"/>
          </w:tcPr>
          <w:p w14:paraId="11DD9BF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8090C"/>
                <w:sz w:val="24"/>
                <w:szCs w:val="24"/>
                <w:u w:val="none"/>
              </w:rPr>
            </w:pPr>
          </w:p>
        </w:tc>
        <w:tc>
          <w:tcPr>
            <w:tcW w:w="0" w:type="auto"/>
            <w:tcBorders>
              <w:top w:val="nil"/>
              <w:left w:val="nil"/>
              <w:bottom w:val="nil"/>
              <w:right w:val="nil"/>
            </w:tcBorders>
            <w:shd w:val="clear" w:color="auto" w:fill="FFFFFF"/>
            <w:noWrap/>
            <w:vAlign w:val="center"/>
          </w:tcPr>
          <w:p w14:paraId="387E612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8090C"/>
                <w:sz w:val="24"/>
                <w:szCs w:val="24"/>
                <w:u w:val="none"/>
              </w:rPr>
            </w:pPr>
          </w:p>
        </w:tc>
        <w:tc>
          <w:tcPr>
            <w:tcW w:w="0" w:type="auto"/>
            <w:tcBorders>
              <w:top w:val="nil"/>
              <w:left w:val="nil"/>
              <w:bottom w:val="nil"/>
              <w:right w:val="nil"/>
            </w:tcBorders>
            <w:shd w:val="clear" w:color="auto" w:fill="FFFFFF"/>
            <w:noWrap/>
            <w:vAlign w:val="center"/>
          </w:tcPr>
          <w:p w14:paraId="5032DF1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8090C"/>
                <w:sz w:val="24"/>
                <w:szCs w:val="24"/>
                <w:u w:val="none"/>
              </w:rPr>
            </w:pPr>
          </w:p>
        </w:tc>
        <w:tc>
          <w:tcPr>
            <w:tcW w:w="0" w:type="auto"/>
            <w:tcBorders>
              <w:top w:val="nil"/>
              <w:left w:val="nil"/>
              <w:bottom w:val="nil"/>
              <w:right w:val="nil"/>
            </w:tcBorders>
            <w:shd w:val="clear" w:color="auto" w:fill="FFFFFF"/>
            <w:noWrap/>
            <w:vAlign w:val="center"/>
          </w:tcPr>
          <w:p w14:paraId="0BFBC33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8090C"/>
                <w:sz w:val="24"/>
                <w:szCs w:val="24"/>
                <w:u w:val="none"/>
              </w:rPr>
            </w:pPr>
          </w:p>
        </w:tc>
        <w:tc>
          <w:tcPr>
            <w:tcW w:w="0" w:type="auto"/>
            <w:tcBorders>
              <w:top w:val="nil"/>
              <w:left w:val="nil"/>
              <w:bottom w:val="nil"/>
              <w:right w:val="nil"/>
            </w:tcBorders>
            <w:shd w:val="clear" w:color="auto" w:fill="FFFFFF"/>
            <w:noWrap/>
            <w:vAlign w:val="center"/>
          </w:tcPr>
          <w:p w14:paraId="2C0F3B7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8090C"/>
                <w:sz w:val="24"/>
                <w:szCs w:val="24"/>
                <w:u w:val="none"/>
              </w:rPr>
            </w:pPr>
          </w:p>
        </w:tc>
      </w:tr>
      <w:tr w14:paraId="61128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nil"/>
              <w:bottom w:val="nil"/>
              <w:right w:val="nil"/>
            </w:tcBorders>
            <w:shd w:val="clear" w:color="auto" w:fill="FFFFFF"/>
            <w:noWrap/>
            <w:vAlign w:val="center"/>
          </w:tcPr>
          <w:p w14:paraId="0EAD960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8090C"/>
                <w:sz w:val="24"/>
                <w:szCs w:val="24"/>
                <w:u w:val="none"/>
              </w:rPr>
            </w:pPr>
            <w:r>
              <w:rPr>
                <w:rFonts w:hint="default" w:ascii="Times New Roman" w:hAnsi="Times New Roman" w:eastAsia="宋体" w:cs="Times New Roman"/>
                <w:i w:val="0"/>
                <w:iCs w:val="0"/>
                <w:color w:val="08090C"/>
                <w:kern w:val="0"/>
                <w:sz w:val="24"/>
                <w:szCs w:val="24"/>
                <w:u w:val="none"/>
                <w:lang w:val="en-US" w:eastAsia="zh-CN" w:bidi="ar"/>
              </w:rPr>
              <w:t xml:space="preserve">  Q1</w:t>
            </w:r>
          </w:p>
        </w:tc>
        <w:tc>
          <w:tcPr>
            <w:tcW w:w="0" w:type="auto"/>
            <w:tcBorders>
              <w:top w:val="nil"/>
              <w:left w:val="nil"/>
              <w:bottom w:val="nil"/>
              <w:right w:val="nil"/>
            </w:tcBorders>
            <w:shd w:val="clear" w:color="auto" w:fill="FFFFFF"/>
            <w:noWrap/>
            <w:vAlign w:val="center"/>
          </w:tcPr>
          <w:p w14:paraId="6FF2AF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0" w:type="auto"/>
            <w:tcBorders>
              <w:top w:val="nil"/>
              <w:left w:val="nil"/>
              <w:bottom w:val="nil"/>
              <w:right w:val="nil"/>
            </w:tcBorders>
            <w:shd w:val="clear" w:color="auto" w:fill="FFFFFF"/>
            <w:noWrap/>
            <w:vAlign w:val="center"/>
          </w:tcPr>
          <w:p w14:paraId="783F175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8090C"/>
                <w:sz w:val="24"/>
                <w:szCs w:val="24"/>
                <w:u w:val="none"/>
              </w:rPr>
            </w:pPr>
          </w:p>
        </w:tc>
        <w:tc>
          <w:tcPr>
            <w:tcW w:w="0" w:type="auto"/>
            <w:tcBorders>
              <w:top w:val="nil"/>
              <w:left w:val="nil"/>
              <w:bottom w:val="nil"/>
              <w:right w:val="nil"/>
            </w:tcBorders>
            <w:shd w:val="clear" w:color="auto" w:fill="FFFFFF"/>
            <w:noWrap/>
            <w:vAlign w:val="center"/>
          </w:tcPr>
          <w:p w14:paraId="7A57A2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0" w:type="auto"/>
            <w:tcBorders>
              <w:top w:val="nil"/>
              <w:left w:val="nil"/>
              <w:bottom w:val="nil"/>
              <w:right w:val="nil"/>
            </w:tcBorders>
            <w:shd w:val="clear" w:color="auto" w:fill="FFFFFF"/>
            <w:noWrap/>
            <w:vAlign w:val="center"/>
          </w:tcPr>
          <w:p w14:paraId="4F10242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8090C"/>
                <w:sz w:val="24"/>
                <w:szCs w:val="24"/>
                <w:u w:val="none"/>
              </w:rPr>
            </w:pPr>
          </w:p>
        </w:tc>
        <w:tc>
          <w:tcPr>
            <w:tcW w:w="0" w:type="auto"/>
            <w:tcBorders>
              <w:top w:val="nil"/>
              <w:left w:val="nil"/>
              <w:bottom w:val="nil"/>
              <w:right w:val="nil"/>
            </w:tcBorders>
            <w:shd w:val="clear" w:color="auto" w:fill="FFFFFF"/>
            <w:noWrap/>
            <w:vAlign w:val="center"/>
          </w:tcPr>
          <w:p w14:paraId="4B36E8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0" w:type="auto"/>
            <w:tcBorders>
              <w:top w:val="nil"/>
              <w:left w:val="nil"/>
              <w:bottom w:val="nil"/>
              <w:right w:val="nil"/>
            </w:tcBorders>
            <w:shd w:val="clear" w:color="auto" w:fill="FFFFFF"/>
            <w:noWrap/>
            <w:vAlign w:val="center"/>
          </w:tcPr>
          <w:p w14:paraId="7EBA2C2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8090C"/>
                <w:sz w:val="24"/>
                <w:szCs w:val="24"/>
                <w:u w:val="none"/>
              </w:rPr>
            </w:pPr>
          </w:p>
        </w:tc>
      </w:tr>
      <w:tr w14:paraId="032F6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nil"/>
              <w:bottom w:val="nil"/>
              <w:right w:val="nil"/>
            </w:tcBorders>
            <w:shd w:val="clear" w:color="auto" w:fill="FFFFFF"/>
            <w:noWrap/>
            <w:vAlign w:val="center"/>
          </w:tcPr>
          <w:p w14:paraId="18550F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8090C"/>
                <w:sz w:val="24"/>
                <w:szCs w:val="24"/>
                <w:u w:val="none"/>
              </w:rPr>
            </w:pPr>
            <w:r>
              <w:rPr>
                <w:rFonts w:hint="default" w:ascii="Times New Roman" w:hAnsi="Times New Roman" w:eastAsia="宋体" w:cs="Times New Roman"/>
                <w:i w:val="0"/>
                <w:iCs w:val="0"/>
                <w:color w:val="08090C"/>
                <w:kern w:val="0"/>
                <w:sz w:val="24"/>
                <w:szCs w:val="24"/>
                <w:u w:val="none"/>
                <w:lang w:val="en-US" w:eastAsia="zh-CN" w:bidi="ar"/>
              </w:rPr>
              <w:t xml:space="preserve">  Q2</w:t>
            </w:r>
          </w:p>
        </w:tc>
        <w:tc>
          <w:tcPr>
            <w:tcW w:w="0" w:type="auto"/>
            <w:tcBorders>
              <w:top w:val="nil"/>
              <w:left w:val="nil"/>
              <w:bottom w:val="nil"/>
              <w:right w:val="nil"/>
            </w:tcBorders>
            <w:shd w:val="clear" w:color="auto" w:fill="FFFFFF"/>
            <w:noWrap/>
            <w:vAlign w:val="center"/>
          </w:tcPr>
          <w:p w14:paraId="7E50C7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 xml:space="preserve">0.74 (0.63, 0.86) </w:t>
            </w:r>
          </w:p>
        </w:tc>
        <w:tc>
          <w:tcPr>
            <w:tcW w:w="0" w:type="auto"/>
            <w:tcBorders>
              <w:top w:val="nil"/>
              <w:left w:val="nil"/>
              <w:bottom w:val="nil"/>
              <w:right w:val="nil"/>
            </w:tcBorders>
            <w:shd w:val="clear" w:color="auto" w:fill="FFFFFF"/>
            <w:noWrap/>
            <w:vAlign w:val="center"/>
          </w:tcPr>
          <w:p w14:paraId="264B77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noWrap/>
            <w:vAlign w:val="center"/>
          </w:tcPr>
          <w:p w14:paraId="59075D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 xml:space="preserve">0.74 (0.62, 0.87) </w:t>
            </w:r>
          </w:p>
        </w:tc>
        <w:tc>
          <w:tcPr>
            <w:tcW w:w="0" w:type="auto"/>
            <w:tcBorders>
              <w:top w:val="nil"/>
              <w:left w:val="nil"/>
              <w:bottom w:val="nil"/>
              <w:right w:val="nil"/>
            </w:tcBorders>
            <w:shd w:val="clear" w:color="auto" w:fill="FFFFFF"/>
            <w:noWrap/>
            <w:vAlign w:val="center"/>
          </w:tcPr>
          <w:p w14:paraId="405CA2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noWrap/>
            <w:vAlign w:val="center"/>
          </w:tcPr>
          <w:p w14:paraId="706B72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0.70 (0.59, 0.83)</w:t>
            </w:r>
          </w:p>
        </w:tc>
        <w:tc>
          <w:tcPr>
            <w:tcW w:w="0" w:type="auto"/>
            <w:tcBorders>
              <w:top w:val="nil"/>
              <w:left w:val="nil"/>
              <w:bottom w:val="nil"/>
              <w:right w:val="nil"/>
            </w:tcBorders>
            <w:shd w:val="clear" w:color="auto" w:fill="FFFFFF"/>
            <w:noWrap/>
            <w:vAlign w:val="center"/>
          </w:tcPr>
          <w:p w14:paraId="25D3BC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r>
      <w:tr w14:paraId="5D2A1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nil"/>
              <w:bottom w:val="nil"/>
              <w:right w:val="nil"/>
            </w:tcBorders>
            <w:shd w:val="clear" w:color="auto" w:fill="FFFFFF"/>
            <w:noWrap/>
            <w:vAlign w:val="center"/>
          </w:tcPr>
          <w:p w14:paraId="1EDE1A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8090C"/>
                <w:sz w:val="24"/>
                <w:szCs w:val="24"/>
                <w:u w:val="none"/>
              </w:rPr>
            </w:pPr>
            <w:r>
              <w:rPr>
                <w:rFonts w:hint="default" w:ascii="Times New Roman" w:hAnsi="Times New Roman" w:eastAsia="宋体" w:cs="Times New Roman"/>
                <w:i w:val="0"/>
                <w:iCs w:val="0"/>
                <w:color w:val="08090C"/>
                <w:kern w:val="0"/>
                <w:sz w:val="24"/>
                <w:szCs w:val="24"/>
                <w:u w:val="none"/>
                <w:lang w:val="en-US" w:eastAsia="zh-CN" w:bidi="ar"/>
              </w:rPr>
              <w:t xml:space="preserve">  Q3</w:t>
            </w:r>
          </w:p>
        </w:tc>
        <w:tc>
          <w:tcPr>
            <w:tcW w:w="0" w:type="auto"/>
            <w:tcBorders>
              <w:top w:val="nil"/>
              <w:left w:val="nil"/>
              <w:bottom w:val="nil"/>
              <w:right w:val="nil"/>
            </w:tcBorders>
            <w:shd w:val="clear" w:color="auto" w:fill="FFFFFF"/>
            <w:noWrap/>
            <w:vAlign w:val="center"/>
          </w:tcPr>
          <w:p w14:paraId="13533B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 xml:space="preserve">0.74 (0.62, 0.88) </w:t>
            </w:r>
          </w:p>
        </w:tc>
        <w:tc>
          <w:tcPr>
            <w:tcW w:w="0" w:type="auto"/>
            <w:tcBorders>
              <w:top w:val="nil"/>
              <w:left w:val="nil"/>
              <w:bottom w:val="nil"/>
              <w:right w:val="nil"/>
            </w:tcBorders>
            <w:shd w:val="clear" w:color="auto" w:fill="FFFFFF"/>
            <w:noWrap/>
            <w:vAlign w:val="center"/>
          </w:tcPr>
          <w:p w14:paraId="0F810C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0.001</w:t>
            </w:r>
          </w:p>
        </w:tc>
        <w:tc>
          <w:tcPr>
            <w:tcW w:w="0" w:type="auto"/>
            <w:tcBorders>
              <w:top w:val="nil"/>
              <w:left w:val="nil"/>
              <w:bottom w:val="nil"/>
              <w:right w:val="nil"/>
            </w:tcBorders>
            <w:shd w:val="clear" w:color="auto" w:fill="FFFFFF"/>
            <w:noWrap/>
            <w:vAlign w:val="center"/>
          </w:tcPr>
          <w:p w14:paraId="5E4682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 xml:space="preserve">0.76 (0.62, 0.91) </w:t>
            </w:r>
          </w:p>
        </w:tc>
        <w:tc>
          <w:tcPr>
            <w:tcW w:w="0" w:type="auto"/>
            <w:tcBorders>
              <w:top w:val="nil"/>
              <w:left w:val="nil"/>
              <w:bottom w:val="nil"/>
              <w:right w:val="nil"/>
            </w:tcBorders>
            <w:shd w:val="clear" w:color="auto" w:fill="FFFFFF"/>
            <w:noWrap/>
            <w:vAlign w:val="center"/>
          </w:tcPr>
          <w:p w14:paraId="00E805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b/>
                <w:bCs/>
                <w:i w:val="0"/>
                <w:iCs w:val="0"/>
                <w:color w:val="000000"/>
                <w:kern w:val="0"/>
                <w:sz w:val="22"/>
                <w:szCs w:val="22"/>
                <w:u w:val="none"/>
                <w:lang w:val="en-US" w:eastAsia="zh-CN" w:bidi="ar"/>
              </w:rPr>
              <w:t>0.00</w:t>
            </w:r>
            <w:r>
              <w:rPr>
                <w:rFonts w:hint="eastAsia" w:ascii="Times New Roman" w:hAnsi="Times New Roman" w:eastAsia="宋体" w:cs="Times New Roman"/>
                <w:b/>
                <w:bCs/>
                <w:i w:val="0"/>
                <w:iCs w:val="0"/>
                <w:color w:val="000000"/>
                <w:kern w:val="0"/>
                <w:sz w:val="22"/>
                <w:szCs w:val="22"/>
                <w:u w:val="none"/>
                <w:lang w:val="en-US" w:eastAsia="zh-CN" w:bidi="ar"/>
              </w:rPr>
              <w:t>5</w:t>
            </w:r>
          </w:p>
        </w:tc>
        <w:tc>
          <w:tcPr>
            <w:tcW w:w="0" w:type="auto"/>
            <w:tcBorders>
              <w:top w:val="nil"/>
              <w:left w:val="nil"/>
              <w:bottom w:val="nil"/>
              <w:right w:val="nil"/>
            </w:tcBorders>
            <w:shd w:val="clear" w:color="auto" w:fill="FFFFFF"/>
            <w:noWrap/>
            <w:vAlign w:val="center"/>
          </w:tcPr>
          <w:p w14:paraId="50F13C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0.69 (0.57, 0.85)</w:t>
            </w:r>
          </w:p>
        </w:tc>
        <w:tc>
          <w:tcPr>
            <w:tcW w:w="0" w:type="auto"/>
            <w:tcBorders>
              <w:top w:val="nil"/>
              <w:left w:val="nil"/>
              <w:bottom w:val="nil"/>
              <w:right w:val="nil"/>
            </w:tcBorders>
            <w:shd w:val="clear" w:color="auto" w:fill="FFFFFF"/>
            <w:noWrap/>
            <w:vAlign w:val="center"/>
          </w:tcPr>
          <w:p w14:paraId="1B2FD2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r>
      <w:tr w14:paraId="77280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nil"/>
              <w:bottom w:val="nil"/>
              <w:right w:val="nil"/>
            </w:tcBorders>
            <w:shd w:val="clear" w:color="auto" w:fill="FFFFFF"/>
            <w:noWrap/>
            <w:vAlign w:val="center"/>
          </w:tcPr>
          <w:p w14:paraId="621146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8090C"/>
                <w:sz w:val="24"/>
                <w:szCs w:val="24"/>
                <w:u w:val="none"/>
              </w:rPr>
            </w:pPr>
            <w:r>
              <w:rPr>
                <w:rFonts w:hint="default" w:ascii="Times New Roman" w:hAnsi="Times New Roman" w:eastAsia="宋体" w:cs="Times New Roman"/>
                <w:i w:val="0"/>
                <w:iCs w:val="0"/>
                <w:color w:val="08090C"/>
                <w:kern w:val="0"/>
                <w:sz w:val="24"/>
                <w:szCs w:val="24"/>
                <w:u w:val="none"/>
                <w:lang w:val="en-US" w:eastAsia="zh-CN" w:bidi="ar"/>
              </w:rPr>
              <w:t xml:space="preserve">  Q4</w:t>
            </w:r>
          </w:p>
        </w:tc>
        <w:tc>
          <w:tcPr>
            <w:tcW w:w="0" w:type="auto"/>
            <w:tcBorders>
              <w:top w:val="nil"/>
              <w:left w:val="nil"/>
              <w:bottom w:val="nil"/>
              <w:right w:val="nil"/>
            </w:tcBorders>
            <w:shd w:val="clear" w:color="auto" w:fill="FFFFFF"/>
            <w:noWrap/>
            <w:vAlign w:val="center"/>
          </w:tcPr>
          <w:p w14:paraId="103248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 xml:space="preserve">0.84 (0.79, 0.89) </w:t>
            </w:r>
          </w:p>
        </w:tc>
        <w:tc>
          <w:tcPr>
            <w:tcW w:w="0" w:type="auto"/>
            <w:tcBorders>
              <w:top w:val="nil"/>
              <w:left w:val="nil"/>
              <w:bottom w:val="nil"/>
              <w:right w:val="nil"/>
            </w:tcBorders>
            <w:shd w:val="clear" w:color="auto" w:fill="FFFFFF"/>
            <w:noWrap/>
            <w:vAlign w:val="center"/>
          </w:tcPr>
          <w:p w14:paraId="7A3164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noWrap/>
            <w:vAlign w:val="center"/>
          </w:tcPr>
          <w:p w14:paraId="7B357C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 xml:space="preserve">0.56 (0.47, 0.68) </w:t>
            </w:r>
          </w:p>
        </w:tc>
        <w:tc>
          <w:tcPr>
            <w:tcW w:w="0" w:type="auto"/>
            <w:tcBorders>
              <w:top w:val="nil"/>
              <w:left w:val="nil"/>
              <w:bottom w:val="nil"/>
              <w:right w:val="nil"/>
            </w:tcBorders>
            <w:shd w:val="clear" w:color="auto" w:fill="FFFFFF"/>
            <w:noWrap/>
            <w:vAlign w:val="center"/>
          </w:tcPr>
          <w:p w14:paraId="488532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noWrap/>
            <w:vAlign w:val="center"/>
          </w:tcPr>
          <w:p w14:paraId="42439F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 xml:space="preserve">0.49 (0.40, 0.60) </w:t>
            </w:r>
          </w:p>
        </w:tc>
        <w:tc>
          <w:tcPr>
            <w:tcW w:w="0" w:type="auto"/>
            <w:tcBorders>
              <w:top w:val="nil"/>
              <w:left w:val="nil"/>
              <w:bottom w:val="nil"/>
              <w:right w:val="nil"/>
            </w:tcBorders>
            <w:shd w:val="clear" w:color="auto" w:fill="FFFFFF"/>
            <w:noWrap/>
            <w:vAlign w:val="center"/>
          </w:tcPr>
          <w:p w14:paraId="4E7A86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r>
      <w:tr w14:paraId="1F4C2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noWrap/>
            <w:vAlign w:val="center"/>
          </w:tcPr>
          <w:p w14:paraId="3C0EB7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iCs/>
                <w:color w:val="08090C"/>
                <w:sz w:val="24"/>
                <w:szCs w:val="24"/>
                <w:u w:val="none"/>
              </w:rPr>
            </w:pPr>
            <w:r>
              <w:rPr>
                <w:rFonts w:hint="default" w:ascii="Times New Roman" w:hAnsi="Times New Roman" w:eastAsia="宋体" w:cs="Times New Roman"/>
                <w:b/>
                <w:bCs/>
                <w:i/>
                <w:iCs/>
                <w:color w:val="08090C"/>
                <w:kern w:val="0"/>
                <w:sz w:val="24"/>
                <w:szCs w:val="24"/>
                <w:u w:val="none"/>
                <w:lang w:val="en-US" w:eastAsia="zh-CN" w:bidi="ar"/>
              </w:rPr>
              <w:t>P</w:t>
            </w:r>
            <w:r>
              <w:rPr>
                <w:rFonts w:hint="default" w:ascii="Times New Roman" w:hAnsi="Times New Roman" w:eastAsia="宋体" w:cs="Times New Roman"/>
                <w:b/>
                <w:bCs/>
                <w:i w:val="0"/>
                <w:iCs w:val="0"/>
                <w:color w:val="08090C"/>
                <w:kern w:val="0"/>
                <w:sz w:val="24"/>
                <w:szCs w:val="24"/>
                <w:u w:val="none"/>
                <w:lang w:val="en-US" w:eastAsia="zh-CN" w:bidi="ar"/>
              </w:rPr>
              <w:t xml:space="preserve"> for trend</w:t>
            </w:r>
          </w:p>
        </w:tc>
        <w:tc>
          <w:tcPr>
            <w:tcW w:w="0" w:type="auto"/>
            <w:tcBorders>
              <w:top w:val="nil"/>
              <w:left w:val="nil"/>
              <w:bottom w:val="nil"/>
              <w:right w:val="nil"/>
            </w:tcBorders>
            <w:shd w:val="clear" w:color="auto" w:fill="FFFFFF"/>
            <w:noWrap/>
            <w:vAlign w:val="center"/>
          </w:tcPr>
          <w:p w14:paraId="2F25792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8090C"/>
                <w:sz w:val="24"/>
                <w:szCs w:val="24"/>
                <w:u w:val="none"/>
              </w:rPr>
            </w:pPr>
          </w:p>
        </w:tc>
        <w:tc>
          <w:tcPr>
            <w:tcW w:w="0" w:type="auto"/>
            <w:tcBorders>
              <w:top w:val="nil"/>
              <w:left w:val="nil"/>
              <w:bottom w:val="nil"/>
              <w:right w:val="nil"/>
            </w:tcBorders>
            <w:shd w:val="clear" w:color="auto" w:fill="FFFFFF"/>
            <w:noWrap/>
            <w:vAlign w:val="center"/>
          </w:tcPr>
          <w:p w14:paraId="691859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noWrap/>
            <w:vAlign w:val="center"/>
          </w:tcPr>
          <w:p w14:paraId="08A1675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8090C"/>
                <w:sz w:val="24"/>
                <w:szCs w:val="24"/>
                <w:u w:val="none"/>
              </w:rPr>
            </w:pPr>
          </w:p>
        </w:tc>
        <w:tc>
          <w:tcPr>
            <w:tcW w:w="0" w:type="auto"/>
            <w:tcBorders>
              <w:top w:val="nil"/>
              <w:left w:val="nil"/>
              <w:bottom w:val="nil"/>
              <w:right w:val="nil"/>
            </w:tcBorders>
            <w:shd w:val="clear" w:color="auto" w:fill="FFFFFF"/>
            <w:noWrap/>
            <w:vAlign w:val="center"/>
          </w:tcPr>
          <w:p w14:paraId="7092A4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noWrap/>
            <w:vAlign w:val="center"/>
          </w:tcPr>
          <w:p w14:paraId="4DABC9E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8090C"/>
                <w:sz w:val="24"/>
                <w:szCs w:val="24"/>
                <w:u w:val="none"/>
              </w:rPr>
            </w:pPr>
          </w:p>
        </w:tc>
        <w:tc>
          <w:tcPr>
            <w:tcW w:w="0" w:type="auto"/>
            <w:tcBorders>
              <w:top w:val="nil"/>
              <w:left w:val="nil"/>
              <w:bottom w:val="nil"/>
              <w:right w:val="nil"/>
            </w:tcBorders>
            <w:shd w:val="clear" w:color="auto" w:fill="FFFFFF"/>
            <w:noWrap/>
            <w:vAlign w:val="center"/>
          </w:tcPr>
          <w:p w14:paraId="4CE5AF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&lt;0.001</w:t>
            </w:r>
          </w:p>
        </w:tc>
      </w:tr>
      <w:tr w14:paraId="7E1E5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0" w:type="auto"/>
            <w:gridSpan w:val="7"/>
            <w:tcBorders>
              <w:top w:val="nil"/>
              <w:left w:val="nil"/>
              <w:bottom w:val="nil"/>
              <w:right w:val="nil"/>
            </w:tcBorders>
            <w:shd w:val="clear" w:color="auto" w:fill="auto"/>
            <w:noWrap/>
            <w:vAlign w:val="center"/>
          </w:tcPr>
          <w:p w14:paraId="771617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Model 1: no covariates were adjusted.</w:t>
            </w:r>
          </w:p>
        </w:tc>
      </w:tr>
      <w:tr w14:paraId="5FC93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0" w:type="auto"/>
            <w:gridSpan w:val="7"/>
            <w:tcBorders>
              <w:top w:val="nil"/>
              <w:left w:val="nil"/>
              <w:bottom w:val="nil"/>
              <w:right w:val="nil"/>
            </w:tcBorders>
            <w:shd w:val="clear" w:color="auto" w:fill="auto"/>
            <w:noWrap/>
            <w:vAlign w:val="center"/>
          </w:tcPr>
          <w:p w14:paraId="751B14B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Model 2: age, gender, and race were adjusted.</w:t>
            </w:r>
          </w:p>
        </w:tc>
      </w:tr>
      <w:tr w14:paraId="53239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7"/>
            <w:tcBorders>
              <w:top w:val="nil"/>
              <w:left w:val="nil"/>
              <w:bottom w:val="nil"/>
              <w:right w:val="nil"/>
            </w:tcBorders>
            <w:shd w:val="clear" w:color="auto" w:fill="auto"/>
            <w:noWrap/>
            <w:vAlign w:val="center"/>
          </w:tcPr>
          <w:p w14:paraId="68412E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Model 3: age, gender, race, education level, marital, PIR and alcohol consumption were adjusted.</w:t>
            </w:r>
          </w:p>
        </w:tc>
      </w:tr>
      <w:tr w14:paraId="0FC87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7"/>
            <w:tcBorders>
              <w:top w:val="nil"/>
              <w:left w:val="nil"/>
              <w:bottom w:val="nil"/>
              <w:right w:val="nil"/>
            </w:tcBorders>
            <w:shd w:val="clear" w:color="auto" w:fill="auto"/>
            <w:noWrap/>
            <w:vAlign w:val="center"/>
          </w:tcPr>
          <w:p w14:paraId="2A7B5A8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Abbreviations: </w:t>
            </w:r>
            <w:r>
              <w:rPr>
                <w:rStyle w:val="9"/>
                <w:rFonts w:eastAsia="宋体"/>
                <w:lang w:val="en-US" w:eastAsia="zh-CN" w:bidi="ar"/>
              </w:rPr>
              <w:t xml:space="preserve">LC9, Life’s Crucial 9; </w:t>
            </w:r>
            <w:r>
              <w:rPr>
                <w:rFonts w:hint="default" w:ascii="Times New Roman" w:hAnsi="Times New Roman" w:eastAsia="宋体" w:cs="Times New Roman"/>
                <w:i w:val="0"/>
                <w:iCs w:val="0"/>
                <w:color w:val="000000"/>
                <w:kern w:val="0"/>
                <w:sz w:val="24"/>
                <w:szCs w:val="24"/>
                <w:u w:val="none"/>
                <w:lang w:val="en-US" w:eastAsia="zh-CN" w:bidi="ar"/>
              </w:rPr>
              <w:t>HR, Hazard Ratio; CI, Confidence Interval;</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Q, quartile; Ref, reference</w:t>
            </w:r>
            <w:r>
              <w:rPr>
                <w:rFonts w:hint="eastAsia" w:ascii="Times New Roman" w:hAnsi="Times New Roman" w:eastAsia="宋体" w:cs="Times New Roman"/>
                <w:i w:val="0"/>
                <w:iCs w:val="0"/>
                <w:color w:val="000000"/>
                <w:kern w:val="0"/>
                <w:sz w:val="24"/>
                <w:szCs w:val="24"/>
                <w:u w:val="none"/>
                <w:lang w:val="en-US" w:eastAsia="zh-CN" w:bidi="ar"/>
              </w:rPr>
              <w:t xml:space="preserve">; </w:t>
            </w:r>
            <w:r>
              <w:rPr>
                <w:rStyle w:val="9"/>
                <w:rFonts w:eastAsia="宋体"/>
                <w:lang w:val="en-US" w:eastAsia="zh-CN" w:bidi="ar"/>
              </w:rPr>
              <w:t>The bold values are less than 0.05.</w:t>
            </w:r>
          </w:p>
        </w:tc>
      </w:tr>
    </w:tbl>
    <w:p w14:paraId="5401BB49">
      <w:pPr>
        <w:rPr>
          <w:rFonts w:hint="default" w:ascii="Times New Roman" w:hAnsi="Times New Roman" w:cs="Times New Roman"/>
          <w:lang w:val="en-US" w:eastAsia="zh-CN"/>
        </w:rPr>
      </w:pPr>
    </w:p>
    <w:p w14:paraId="2346E147">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Regular" w:hAnsi="Times New Roman Regular" w:eastAsia="仿宋" w:cs="Times New Roman Regular"/>
          <w:sz w:val="24"/>
          <w:szCs w:val="2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New Roman Regular">
    <w:altName w:val="Times New Roman"/>
    <w:panose1 w:val="02020503050405090304"/>
    <w:charset w:val="00"/>
    <w:family w:val="auto"/>
    <w:pitch w:val="default"/>
    <w:sig w:usb0="00000000" w:usb1="00000000" w:usb2="00000001" w:usb3="00000000" w:csb0="400001BF" w:csb1="DFF7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EFF464"/>
    <w:rsid w:val="01654AAB"/>
    <w:rsid w:val="049B1E26"/>
    <w:rsid w:val="04E15802"/>
    <w:rsid w:val="04F43445"/>
    <w:rsid w:val="06DD649D"/>
    <w:rsid w:val="0CFF8BCC"/>
    <w:rsid w:val="161812A0"/>
    <w:rsid w:val="17DAEA1D"/>
    <w:rsid w:val="1D271DC8"/>
    <w:rsid w:val="1E6815A9"/>
    <w:rsid w:val="1E9811D0"/>
    <w:rsid w:val="24213A15"/>
    <w:rsid w:val="26BC00AC"/>
    <w:rsid w:val="289F315B"/>
    <w:rsid w:val="2AA809EC"/>
    <w:rsid w:val="2AB63109"/>
    <w:rsid w:val="2B6366C1"/>
    <w:rsid w:val="2CD21D51"/>
    <w:rsid w:val="2FC71915"/>
    <w:rsid w:val="30AB4D93"/>
    <w:rsid w:val="32133B58"/>
    <w:rsid w:val="343E5F1E"/>
    <w:rsid w:val="35843E04"/>
    <w:rsid w:val="38FB7EDB"/>
    <w:rsid w:val="3A704D37"/>
    <w:rsid w:val="3C355E58"/>
    <w:rsid w:val="3D9206B4"/>
    <w:rsid w:val="3E374D94"/>
    <w:rsid w:val="3E403E78"/>
    <w:rsid w:val="3E6F39E6"/>
    <w:rsid w:val="3F56236D"/>
    <w:rsid w:val="3FE451B4"/>
    <w:rsid w:val="424E1A22"/>
    <w:rsid w:val="42F779C3"/>
    <w:rsid w:val="43120CA1"/>
    <w:rsid w:val="47C84024"/>
    <w:rsid w:val="4A6C513B"/>
    <w:rsid w:val="4C3E2B07"/>
    <w:rsid w:val="4F2204BE"/>
    <w:rsid w:val="527821A3"/>
    <w:rsid w:val="56400BAE"/>
    <w:rsid w:val="57517B92"/>
    <w:rsid w:val="5CDA23D8"/>
    <w:rsid w:val="5E7B5D9E"/>
    <w:rsid w:val="5F6F5A2D"/>
    <w:rsid w:val="62C1708F"/>
    <w:rsid w:val="69F41F5D"/>
    <w:rsid w:val="6C2076DB"/>
    <w:rsid w:val="6FF94377"/>
    <w:rsid w:val="700A0487"/>
    <w:rsid w:val="745F3497"/>
    <w:rsid w:val="747B7BA5"/>
    <w:rsid w:val="787E30E5"/>
    <w:rsid w:val="7AE85868"/>
    <w:rsid w:val="A3BFCB95"/>
    <w:rsid w:val="BFF5B42F"/>
    <w:rsid w:val="D6ED3F97"/>
    <w:rsid w:val="DDEF5A27"/>
    <w:rsid w:val="EBB01943"/>
    <w:rsid w:val="FBD7F43B"/>
    <w:rsid w:val="FDEFF464"/>
    <w:rsid w:val="FDFFFFD0"/>
    <w:rsid w:val="FEFFCACF"/>
    <w:rsid w:val="FF9B9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6">
    <w:name w:val="Hyperlink"/>
    <w:basedOn w:val="5"/>
    <w:qFormat/>
    <w:uiPriority w:val="0"/>
    <w:rPr>
      <w:color w:val="0000FF"/>
      <w:u w:val="single"/>
    </w:rPr>
  </w:style>
  <w:style w:type="table" w:customStyle="1" w:styleId="7">
    <w:name w:val="网格表 1 浅色1"/>
    <w:basedOn w:val="3"/>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lang w:eastAsia="en-US"/>
    </w:rPr>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cPr>
      <w:tcBorders>
        <w:top w:val="single" w:color="999999" w:sz="4" w:space="0"/>
        <w:left w:val="single" w:color="999999" w:sz="4" w:space="0"/>
        <w:bottom w:val="single" w:color="999999" w:sz="4" w:space="0"/>
        <w:right w:val="single" w:color="999999" w:sz="4" w:space="0"/>
      </w:tcBorders>
    </w:tc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character" w:customStyle="1" w:styleId="8">
    <w:name w:val="font11"/>
    <w:basedOn w:val="5"/>
    <w:qFormat/>
    <w:uiPriority w:val="0"/>
    <w:rPr>
      <w:rFonts w:hint="default" w:ascii="Times New Roman" w:hAnsi="Times New Roman" w:cs="Times New Roman"/>
      <w:b/>
      <w:bCs/>
      <w:color w:val="000000"/>
      <w:sz w:val="24"/>
      <w:szCs w:val="24"/>
      <w:u w:val="none"/>
    </w:rPr>
  </w:style>
  <w:style w:type="character" w:customStyle="1" w:styleId="9">
    <w:name w:val="font81"/>
    <w:basedOn w:val="5"/>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1199</Words>
  <Characters>6207</Characters>
  <Lines>0</Lines>
  <Paragraphs>0</Paragraphs>
  <TotalTime>40</TotalTime>
  <ScaleCrop>false</ScaleCrop>
  <LinksUpToDate>false</LinksUpToDate>
  <CharactersWithSpaces>7206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2025-03-11T05:48:00Z</dcterms:created>
  <dc:creator>luo～</dc:creator>
  <cp:lastModifiedBy>luo～</cp:lastModifiedBy>
  <dcterms:modified xsi:type="dcterms:W3CDTF">2025-11-21T14:58:50Z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46B18817F6CA4F639D4FBC24C6594F10_13</vt:lpwstr>
  </property>
  <property fmtid="{D5CDD505-2E9C-101B-9397-08002B2CF9AE}" pid="4" name="KSOTemplateDocerSaveRecord">
    <vt:lpwstr>eyJoZGlkIjoiYTU5MGJmZjc2YWJhZDE5YTMzYjI4NzEwMjg3ZTk0N2EiLCJ1c2VySWQiOiIyMDExMjc5MDkifQ==</vt:lpwstr>
  </property>
</Properties>
</file>