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69B994" w14:textId="77777777" w:rsidR="003F21C8" w:rsidRPr="00F75E92" w:rsidRDefault="003F21C8" w:rsidP="002734A6">
      <w:pPr>
        <w:widowControl w:val="0"/>
        <w:pBdr>
          <w:top w:val="nil"/>
          <w:left w:val="nil"/>
          <w:bottom w:val="nil"/>
          <w:right w:val="nil"/>
          <w:between w:val="nil"/>
        </w:pBdr>
        <w:snapToGrid w:val="0"/>
        <w:spacing w:after="0" w:line="360" w:lineRule="auto"/>
        <w:rPr>
          <w:rFonts w:eastAsia="Calibri" w:cs="Times New Roman"/>
          <w:b/>
          <w:color w:val="000000" w:themeColor="text1"/>
        </w:rPr>
      </w:pPr>
      <w:bookmarkStart w:id="0" w:name="_GoBack"/>
      <w:r w:rsidRPr="00F75E92">
        <w:rPr>
          <w:rFonts w:eastAsia="Calibri" w:cs="Times New Roman"/>
          <w:b/>
          <w:color w:val="000000" w:themeColor="text1"/>
        </w:rPr>
        <w:t>Facilitating drug delivery in the central nervous system by opening the blood-cerebrospinal fluid barrier with a single</w:t>
      </w:r>
      <w:r w:rsidRPr="00F75E92">
        <w:rPr>
          <w:rFonts w:eastAsia="Calibri" w:cs="Times New Roman" w:hint="eastAsia"/>
          <w:b/>
          <w:color w:val="000000" w:themeColor="text1"/>
        </w:rPr>
        <w:t xml:space="preserve"> </w:t>
      </w:r>
      <w:r w:rsidRPr="00F75E92">
        <w:rPr>
          <w:rFonts w:eastAsia="Calibri" w:cs="Times New Roman"/>
          <w:b/>
          <w:color w:val="000000" w:themeColor="text1"/>
        </w:rPr>
        <w:t xml:space="preserve">low energy shockwave pulse </w:t>
      </w:r>
    </w:p>
    <w:p w14:paraId="14011499" w14:textId="77777777" w:rsidR="003F21C8" w:rsidRPr="00F75E92" w:rsidRDefault="003F21C8" w:rsidP="002734A6">
      <w:pPr>
        <w:widowControl w:val="0"/>
        <w:pBdr>
          <w:top w:val="nil"/>
          <w:left w:val="nil"/>
          <w:bottom w:val="nil"/>
          <w:right w:val="nil"/>
          <w:between w:val="nil"/>
        </w:pBdr>
        <w:snapToGrid w:val="0"/>
        <w:spacing w:after="0" w:line="360" w:lineRule="auto"/>
        <w:rPr>
          <w:rFonts w:cs="Times New Roman"/>
          <w:color w:val="000000" w:themeColor="text1"/>
        </w:rPr>
      </w:pPr>
      <w:r w:rsidRPr="00F75E92">
        <w:rPr>
          <w:rFonts w:eastAsia="Calibri" w:cs="Times New Roman"/>
          <w:color w:val="000000" w:themeColor="text1"/>
        </w:rPr>
        <w:t>Yi Kung</w:t>
      </w:r>
      <w:r w:rsidRPr="00F75E92">
        <w:rPr>
          <w:rFonts w:eastAsia="Calibri" w:cs="Times New Roman"/>
          <w:color w:val="000000" w:themeColor="text1"/>
          <w:vertAlign w:val="superscript"/>
        </w:rPr>
        <w:t>a</w:t>
      </w:r>
      <w:r w:rsidRPr="00F75E92">
        <w:rPr>
          <w:rFonts w:eastAsia="Calibri" w:cs="Times New Roman"/>
          <w:color w:val="000000" w:themeColor="text1"/>
        </w:rPr>
        <w:t>, Kuan-Yu Chen</w:t>
      </w:r>
      <w:r w:rsidRPr="00F75E92">
        <w:rPr>
          <w:rFonts w:eastAsia="Calibri" w:cs="Times New Roman"/>
          <w:color w:val="000000" w:themeColor="text1"/>
          <w:vertAlign w:val="superscript"/>
        </w:rPr>
        <w:t>b</w:t>
      </w:r>
      <w:r w:rsidRPr="00F75E92">
        <w:rPr>
          <w:rFonts w:eastAsia="Calibri" w:cs="Times New Roman"/>
          <w:color w:val="000000" w:themeColor="text1"/>
        </w:rPr>
        <w:t>, Wei-Hao Liao</w:t>
      </w:r>
      <w:r w:rsidRPr="00F75E92">
        <w:rPr>
          <w:rFonts w:eastAsia="Calibri" w:cs="Times New Roman"/>
          <w:color w:val="000000" w:themeColor="text1"/>
          <w:vertAlign w:val="superscript"/>
        </w:rPr>
        <w:t>a</w:t>
      </w:r>
      <w:r w:rsidRPr="00F75E92">
        <w:rPr>
          <w:rFonts w:eastAsia="Calibri" w:cs="Times New Roman"/>
          <w:color w:val="000000" w:themeColor="text1"/>
        </w:rPr>
        <w:t>, Yi-Hua Hsu</w:t>
      </w:r>
      <w:r w:rsidRPr="00F75E92">
        <w:rPr>
          <w:rFonts w:cs="Times New Roman"/>
          <w:color w:val="000000" w:themeColor="text1"/>
          <w:vertAlign w:val="superscript"/>
        </w:rPr>
        <w:t>c</w:t>
      </w:r>
      <w:r w:rsidRPr="00F75E92">
        <w:rPr>
          <w:rFonts w:cs="Times New Roman"/>
          <w:color w:val="000000" w:themeColor="text1"/>
        </w:rPr>
        <w:t xml:space="preserve">, </w:t>
      </w:r>
      <w:r w:rsidRPr="00F75E92">
        <w:rPr>
          <w:rFonts w:eastAsia="Calibri" w:cs="Times New Roman"/>
          <w:color w:val="000000" w:themeColor="text1"/>
        </w:rPr>
        <w:t>Chueh-Hung Wu</w:t>
      </w:r>
      <w:r w:rsidRPr="00F75E92">
        <w:rPr>
          <w:rFonts w:eastAsia="Calibri" w:cs="Times New Roman"/>
          <w:color w:val="000000" w:themeColor="text1"/>
          <w:vertAlign w:val="superscript"/>
        </w:rPr>
        <w:t>a</w:t>
      </w:r>
      <w:r w:rsidRPr="00F75E92">
        <w:rPr>
          <w:rFonts w:eastAsia="Calibri" w:cs="Times New Roman"/>
          <w:color w:val="000000" w:themeColor="text1"/>
        </w:rPr>
        <w:t>, Ming-Yen Hsiao</w:t>
      </w:r>
      <w:r w:rsidRPr="00F75E92">
        <w:rPr>
          <w:rFonts w:eastAsia="Calibri" w:cs="Times New Roman"/>
          <w:color w:val="000000" w:themeColor="text1"/>
          <w:vertAlign w:val="superscript"/>
        </w:rPr>
        <w:t>a</w:t>
      </w:r>
      <w:r w:rsidRPr="00F75E92">
        <w:rPr>
          <w:rFonts w:eastAsia="Calibri" w:cs="Times New Roman"/>
          <w:color w:val="000000" w:themeColor="text1"/>
        </w:rPr>
        <w:t>, Abel P.-H. Huang</w:t>
      </w:r>
      <w:r w:rsidRPr="00F75E92">
        <w:rPr>
          <w:rFonts w:eastAsia="Calibri" w:cs="Times New Roman"/>
          <w:color w:val="000000" w:themeColor="text1"/>
          <w:vertAlign w:val="superscript"/>
        </w:rPr>
        <w:t>c*</w:t>
      </w:r>
      <w:r w:rsidRPr="00F75E92">
        <w:rPr>
          <w:rFonts w:eastAsia="Calibri" w:cs="Times New Roman"/>
          <w:color w:val="000000" w:themeColor="text1"/>
        </w:rPr>
        <w:t>, Wen-Shiang Chen</w:t>
      </w:r>
      <w:r w:rsidRPr="00F75E92">
        <w:rPr>
          <w:rFonts w:eastAsia="Calibri" w:cs="Times New Roman"/>
          <w:color w:val="000000" w:themeColor="text1"/>
          <w:vertAlign w:val="superscript"/>
        </w:rPr>
        <w:t>a, d*</w:t>
      </w:r>
    </w:p>
    <w:p w14:paraId="087FDD0B" w14:textId="77777777" w:rsidR="003F21C8" w:rsidRPr="00F75E92" w:rsidRDefault="003F21C8" w:rsidP="002734A6">
      <w:pPr>
        <w:widowControl w:val="0"/>
        <w:pBdr>
          <w:top w:val="nil"/>
          <w:left w:val="nil"/>
          <w:bottom w:val="nil"/>
          <w:right w:val="nil"/>
          <w:between w:val="nil"/>
        </w:pBdr>
        <w:snapToGrid w:val="0"/>
        <w:spacing w:after="0" w:line="360" w:lineRule="auto"/>
        <w:rPr>
          <w:rFonts w:cs="Times New Roman"/>
          <w:color w:val="000000" w:themeColor="text1"/>
        </w:rPr>
      </w:pPr>
      <w:r w:rsidRPr="00F75E92">
        <w:rPr>
          <w:rFonts w:eastAsia="Calibri" w:cs="Times New Roman"/>
          <w:color w:val="000000" w:themeColor="text1"/>
          <w:vertAlign w:val="superscript"/>
        </w:rPr>
        <w:t>a</w:t>
      </w:r>
      <w:r w:rsidRPr="00F75E92">
        <w:rPr>
          <w:rFonts w:eastAsia="Calibri" w:cs="Times New Roman"/>
          <w:color w:val="000000" w:themeColor="text1"/>
        </w:rPr>
        <w:t>Department of Physical Medicine and Rehabilitation, National Taiwan University Hospital &amp; National Taiwan University College of Medicine, Taipei City, Taiwan.</w:t>
      </w:r>
    </w:p>
    <w:p w14:paraId="2C4FAFF6" w14:textId="77777777" w:rsidR="003F21C8" w:rsidRPr="00F75E92" w:rsidRDefault="003F21C8" w:rsidP="002734A6">
      <w:pPr>
        <w:widowControl w:val="0"/>
        <w:pBdr>
          <w:top w:val="nil"/>
          <w:left w:val="nil"/>
          <w:bottom w:val="nil"/>
          <w:right w:val="nil"/>
          <w:between w:val="nil"/>
        </w:pBdr>
        <w:snapToGrid w:val="0"/>
        <w:spacing w:after="0" w:line="360" w:lineRule="auto"/>
        <w:rPr>
          <w:rFonts w:eastAsia="Calibri" w:cs="Times New Roman"/>
          <w:color w:val="000000" w:themeColor="text1"/>
        </w:rPr>
      </w:pPr>
      <w:r w:rsidRPr="00F75E92">
        <w:rPr>
          <w:rFonts w:eastAsia="Calibri" w:cs="Times New Roman"/>
          <w:color w:val="000000" w:themeColor="text1"/>
          <w:vertAlign w:val="superscript"/>
        </w:rPr>
        <w:t>b</w:t>
      </w:r>
      <w:r w:rsidRPr="00F75E92">
        <w:rPr>
          <w:rFonts w:eastAsia="Calibri" w:cs="Times New Roman"/>
          <w:color w:val="000000" w:themeColor="text1"/>
        </w:rPr>
        <w:t>Division of Pulmonology, Department of Internal Medicine, National Taiwan University Hospital and College of Medicine, Taipei City, Taiwan.</w:t>
      </w:r>
    </w:p>
    <w:p w14:paraId="081E365B" w14:textId="77777777" w:rsidR="003F21C8" w:rsidRPr="00F75E92" w:rsidRDefault="003F21C8" w:rsidP="002734A6">
      <w:pPr>
        <w:widowControl w:val="0"/>
        <w:pBdr>
          <w:top w:val="nil"/>
          <w:left w:val="nil"/>
          <w:bottom w:val="nil"/>
          <w:right w:val="nil"/>
          <w:between w:val="nil"/>
        </w:pBdr>
        <w:snapToGrid w:val="0"/>
        <w:spacing w:after="0" w:line="360" w:lineRule="auto"/>
        <w:rPr>
          <w:rFonts w:eastAsia="Calibri" w:cs="Times New Roman"/>
          <w:color w:val="000000" w:themeColor="text1"/>
        </w:rPr>
      </w:pPr>
      <w:r w:rsidRPr="00F75E92">
        <w:rPr>
          <w:rFonts w:eastAsia="Calibri" w:cs="Times New Roman"/>
          <w:color w:val="000000" w:themeColor="text1"/>
          <w:vertAlign w:val="superscript"/>
        </w:rPr>
        <w:t>c</w:t>
      </w:r>
      <w:r w:rsidRPr="00F75E92">
        <w:rPr>
          <w:rFonts w:eastAsia="Calibri" w:cs="Times New Roman"/>
          <w:color w:val="000000" w:themeColor="text1"/>
        </w:rPr>
        <w:t>Department of Surgery, National Taiwan University Hospital, Taipei City, Taiwan.</w:t>
      </w:r>
    </w:p>
    <w:p w14:paraId="0A17E733" w14:textId="77777777" w:rsidR="003F21C8" w:rsidRPr="00F75E92" w:rsidRDefault="003F21C8" w:rsidP="002734A6">
      <w:pPr>
        <w:widowControl w:val="0"/>
        <w:pBdr>
          <w:top w:val="nil"/>
          <w:left w:val="nil"/>
          <w:bottom w:val="nil"/>
          <w:right w:val="nil"/>
          <w:between w:val="nil"/>
        </w:pBdr>
        <w:snapToGrid w:val="0"/>
        <w:spacing w:after="0" w:line="360" w:lineRule="auto"/>
        <w:rPr>
          <w:rFonts w:cs="Times New Roman"/>
          <w:color w:val="000000" w:themeColor="text1"/>
        </w:rPr>
      </w:pPr>
      <w:r w:rsidRPr="00F75E92">
        <w:rPr>
          <w:rFonts w:cs="Times New Roman"/>
          <w:color w:val="000000" w:themeColor="text1"/>
          <w:vertAlign w:val="superscript"/>
        </w:rPr>
        <w:t>d</w:t>
      </w:r>
      <w:r w:rsidRPr="00F75E92">
        <w:rPr>
          <w:rFonts w:cs="Times New Roman"/>
          <w:color w:val="000000" w:themeColor="text1"/>
        </w:rPr>
        <w:t>Institute of Biomedical Engineering and Nanomedicine, National Health Research Institutes, Miaoli, Taiwan.</w:t>
      </w:r>
    </w:p>
    <w:p w14:paraId="520D5476" w14:textId="77777777" w:rsidR="003F21C8" w:rsidRPr="00F75E92" w:rsidRDefault="003F21C8" w:rsidP="002734A6">
      <w:pPr>
        <w:widowControl w:val="0"/>
        <w:pBdr>
          <w:top w:val="nil"/>
          <w:left w:val="nil"/>
          <w:bottom w:val="nil"/>
          <w:right w:val="nil"/>
          <w:between w:val="nil"/>
        </w:pBdr>
        <w:snapToGrid w:val="0"/>
        <w:spacing w:after="0" w:line="360" w:lineRule="auto"/>
        <w:rPr>
          <w:rFonts w:eastAsia="Calibri" w:cs="Times New Roman"/>
          <w:color w:val="000000" w:themeColor="text1"/>
        </w:rPr>
      </w:pPr>
      <w:r w:rsidRPr="00F75E92">
        <w:rPr>
          <w:rFonts w:eastAsia="Calibri" w:cs="Times New Roman"/>
          <w:color w:val="000000" w:themeColor="text1"/>
        </w:rPr>
        <w:t>*</w:t>
      </w:r>
      <w:r w:rsidRPr="00F75E92">
        <w:rPr>
          <w:rFonts w:cs="Times New Roman"/>
          <w:color w:val="000000" w:themeColor="text1"/>
        </w:rPr>
        <w:t>Equally contributing c</w:t>
      </w:r>
      <w:r w:rsidRPr="00F75E92">
        <w:rPr>
          <w:rFonts w:eastAsia="Calibri" w:cs="Times New Roman"/>
          <w:color w:val="000000" w:themeColor="text1"/>
        </w:rPr>
        <w:t>orresponding authors</w:t>
      </w:r>
    </w:p>
    <w:p w14:paraId="646E10E6" w14:textId="77777777" w:rsidR="003F21C8" w:rsidRPr="00F75E92" w:rsidRDefault="003F21C8" w:rsidP="002734A6">
      <w:pPr>
        <w:widowControl w:val="0"/>
        <w:pBdr>
          <w:top w:val="nil"/>
          <w:left w:val="nil"/>
          <w:bottom w:val="nil"/>
          <w:right w:val="nil"/>
          <w:between w:val="nil"/>
        </w:pBdr>
        <w:snapToGrid w:val="0"/>
        <w:spacing w:after="0" w:line="360" w:lineRule="auto"/>
        <w:ind w:firstLineChars="200" w:firstLine="480"/>
        <w:rPr>
          <w:rFonts w:eastAsia="Calibri" w:cs="Times New Roman"/>
          <w:color w:val="000000" w:themeColor="text1"/>
          <w:u w:val="single"/>
        </w:rPr>
      </w:pPr>
      <w:r w:rsidRPr="00F75E92">
        <w:rPr>
          <w:rFonts w:eastAsia="Calibri" w:cs="Times New Roman"/>
          <w:color w:val="000000" w:themeColor="text1"/>
        </w:rPr>
        <w:t xml:space="preserve">Abel P.-H. Huang, E-mail: </w:t>
      </w:r>
      <w:hyperlink r:id="rId7" w:history="1">
        <w:r w:rsidRPr="00F75E92">
          <w:rPr>
            <w:rStyle w:val="Hyperlink"/>
            <w:rFonts w:eastAsia="Calibri"/>
            <w:color w:val="000000" w:themeColor="text1"/>
          </w:rPr>
          <w:t>how.how0622@gmail.com</w:t>
        </w:r>
      </w:hyperlink>
    </w:p>
    <w:p w14:paraId="6D8B462E" w14:textId="77777777" w:rsidR="003F21C8" w:rsidRPr="00F75E92" w:rsidRDefault="003F21C8" w:rsidP="002734A6">
      <w:pPr>
        <w:widowControl w:val="0"/>
        <w:pBdr>
          <w:top w:val="nil"/>
          <w:left w:val="nil"/>
          <w:bottom w:val="nil"/>
          <w:right w:val="nil"/>
          <w:between w:val="nil"/>
        </w:pBdr>
        <w:snapToGrid w:val="0"/>
        <w:spacing w:after="0" w:line="360" w:lineRule="auto"/>
        <w:ind w:firstLineChars="200" w:firstLine="480"/>
        <w:rPr>
          <w:rFonts w:cs="Times New Roman"/>
          <w:color w:val="000000" w:themeColor="text1"/>
        </w:rPr>
      </w:pPr>
      <w:r w:rsidRPr="00F75E92">
        <w:rPr>
          <w:rFonts w:eastAsia="Calibri" w:cs="Times New Roman"/>
          <w:color w:val="000000" w:themeColor="text1"/>
        </w:rPr>
        <w:t xml:space="preserve">Wen-Shiang Chen, E-mail: </w:t>
      </w:r>
      <w:hyperlink r:id="rId8" w:history="1">
        <w:r w:rsidRPr="00F75E92">
          <w:rPr>
            <w:rStyle w:val="Hyperlink"/>
            <w:rFonts w:eastAsia="Calibri"/>
            <w:color w:val="000000" w:themeColor="text1"/>
          </w:rPr>
          <w:t>wenshiang@gmail.com</w:t>
        </w:r>
      </w:hyperlink>
    </w:p>
    <w:p w14:paraId="79C89089" w14:textId="77777777" w:rsidR="003F21C8" w:rsidRPr="00F75E92" w:rsidRDefault="003F21C8" w:rsidP="002734A6">
      <w:pPr>
        <w:snapToGrid w:val="0"/>
        <w:spacing w:after="0" w:line="360" w:lineRule="auto"/>
        <w:rPr>
          <w:b/>
          <w:bCs/>
          <w:color w:val="000000" w:themeColor="text1"/>
        </w:rPr>
      </w:pPr>
    </w:p>
    <w:p w14:paraId="05E35902" w14:textId="3DB20772" w:rsidR="00523CC2" w:rsidRPr="00F75E92" w:rsidRDefault="00F75E92" w:rsidP="002734A6">
      <w:pPr>
        <w:snapToGrid w:val="0"/>
        <w:spacing w:after="0" w:line="360" w:lineRule="auto"/>
        <w:rPr>
          <w:b/>
          <w:bCs/>
          <w:color w:val="000000" w:themeColor="text1"/>
        </w:rPr>
      </w:pPr>
      <w:r w:rsidRPr="00F75E92">
        <w:rPr>
          <w:b/>
          <w:bCs/>
          <w:color w:val="000000" w:themeColor="text1"/>
        </w:rPr>
        <w:t>Additional</w:t>
      </w:r>
      <w:r w:rsidR="001677BA" w:rsidRPr="00F75E92">
        <w:rPr>
          <w:b/>
          <w:bCs/>
          <w:color w:val="000000" w:themeColor="text1"/>
        </w:rPr>
        <w:t xml:space="preserve"> materials</w:t>
      </w:r>
    </w:p>
    <w:p w14:paraId="36427441" w14:textId="721C102A" w:rsidR="00496D30" w:rsidRPr="00F75E92" w:rsidRDefault="003F21C8" w:rsidP="002734A6">
      <w:pPr>
        <w:snapToGrid w:val="0"/>
        <w:spacing w:after="0" w:line="360" w:lineRule="auto"/>
        <w:rPr>
          <w:b/>
          <w:bCs/>
          <w:color w:val="000000" w:themeColor="text1"/>
        </w:rPr>
      </w:pPr>
      <w:r w:rsidRPr="00F75E92">
        <w:rPr>
          <w:b/>
          <w:bCs/>
          <w:color w:val="000000" w:themeColor="text1"/>
        </w:rPr>
        <w:t>2.</w:t>
      </w:r>
      <w:r w:rsidRPr="00F75E92">
        <w:rPr>
          <w:b/>
          <w:bCs/>
          <w:color w:val="000000" w:themeColor="text1"/>
        </w:rPr>
        <w:tab/>
      </w:r>
      <w:r w:rsidR="00496D30" w:rsidRPr="00F75E92">
        <w:rPr>
          <w:b/>
          <w:bCs/>
          <w:color w:val="000000" w:themeColor="text1"/>
        </w:rPr>
        <w:t xml:space="preserve">Materials and methods </w:t>
      </w:r>
    </w:p>
    <w:p w14:paraId="3396B9F7" w14:textId="725BB938" w:rsidR="00496D30" w:rsidRPr="00F75E92" w:rsidRDefault="003F21C8" w:rsidP="002734A6">
      <w:pPr>
        <w:snapToGrid w:val="0"/>
        <w:spacing w:after="0" w:line="360" w:lineRule="auto"/>
        <w:rPr>
          <w:b/>
          <w:bCs/>
          <w:color w:val="000000" w:themeColor="text1"/>
        </w:rPr>
      </w:pPr>
      <w:r w:rsidRPr="00F75E92">
        <w:rPr>
          <w:b/>
          <w:bCs/>
          <w:color w:val="000000" w:themeColor="text1"/>
        </w:rPr>
        <w:t>2.1</w:t>
      </w:r>
      <w:r w:rsidRPr="00F75E92">
        <w:rPr>
          <w:b/>
          <w:bCs/>
          <w:color w:val="000000" w:themeColor="text1"/>
        </w:rPr>
        <w:tab/>
      </w:r>
      <w:r w:rsidR="00496D30" w:rsidRPr="00F75E92">
        <w:rPr>
          <w:b/>
          <w:bCs/>
          <w:color w:val="000000" w:themeColor="text1"/>
        </w:rPr>
        <w:t xml:space="preserve">Animals, materials and instruments </w:t>
      </w:r>
    </w:p>
    <w:p w14:paraId="34BF3BB7" w14:textId="3AED367B" w:rsidR="003F21C8" w:rsidRPr="00F75E92" w:rsidRDefault="00581DD6" w:rsidP="00581DD6">
      <w:pPr>
        <w:snapToGrid w:val="0"/>
        <w:spacing w:after="0" w:line="360" w:lineRule="auto"/>
        <w:ind w:firstLine="720"/>
        <w:rPr>
          <w:rFonts w:eastAsia="Calibri" w:cs="Times New Roman"/>
          <w:color w:val="000000" w:themeColor="text1"/>
        </w:rPr>
      </w:pPr>
      <w:r w:rsidRPr="00F75E92">
        <w:rPr>
          <w:rFonts w:eastAsia="Calibri" w:cs="Times New Roman"/>
          <w:color w:val="000000" w:themeColor="text1"/>
        </w:rPr>
        <w:t xml:space="preserve">Table 1s shows the Summary of all the groups. </w:t>
      </w:r>
      <w:r w:rsidR="003F21C8" w:rsidRPr="00F75E92">
        <w:rPr>
          <w:rFonts w:eastAsia="Calibri" w:cs="Times New Roman"/>
          <w:color w:val="000000" w:themeColor="text1"/>
        </w:rPr>
        <w:t>Isotonic sodium chloride solution (0.9 %) was provided by Taiwan Biotech Co., Ltd. (Taoyuan, Taiwan) and was sterile filtered through a 0.22 μm polyethersulfone (PES) membrane (Millipore syringe filter) from Polyplus-transfection (Illkirch, France).</w:t>
      </w:r>
      <w:r w:rsidRPr="00F75E92">
        <w:rPr>
          <w:rFonts w:eastAsia="Calibri" w:cs="Times New Roman"/>
          <w:color w:val="000000" w:themeColor="text1"/>
        </w:rPr>
        <w:t xml:space="preserve"> </w:t>
      </w:r>
      <w:r w:rsidR="003F21C8" w:rsidRPr="00F75E92">
        <w:rPr>
          <w:rFonts w:eastAsia="Calibri" w:cs="Times New Roman"/>
          <w:color w:val="000000" w:themeColor="text1"/>
        </w:rPr>
        <w:t>Fluorescein isothiocyanate-dextran (FITC-dextran; molecular weights: 70 kDa and 500 kDa), penicillin G (molecular weight: 334 Da), hematoxylin, and Evans blue were purchased from Sigma-Aldrich, Inc. (Missouri, USA). When administered into the circulation, Evans blue immediately binds to serum albumin and forms a 67 kDa molecular complex. Doxorubicin (DOX, molecular weight: 579.98 Da) was purchased from Pharmacia &amp; Upjohn (New York, USA). Bevacizumab (BEV, Avastin®; molecular weight: 579.98 Da) was purchased from F. Hoffmann-La Roche (Basel, Switzerland). BEV Pharmacokinetic and Rat Penicillin ELISA Kits were purchased from MyBioSource (San Diego, USA).</w:t>
      </w:r>
    </w:p>
    <w:p w14:paraId="2762BD0A" w14:textId="77777777" w:rsidR="003F21C8" w:rsidRPr="00F75E92" w:rsidRDefault="003F21C8" w:rsidP="002734A6">
      <w:pPr>
        <w:snapToGrid w:val="0"/>
        <w:spacing w:after="0" w:line="360" w:lineRule="auto"/>
        <w:ind w:firstLine="720"/>
        <w:rPr>
          <w:rFonts w:eastAsia="Calibri" w:cs="Times New Roman"/>
          <w:color w:val="000000" w:themeColor="text1"/>
        </w:rPr>
      </w:pPr>
      <w:r w:rsidRPr="00F75E92">
        <w:rPr>
          <w:rFonts w:eastAsia="Calibri" w:cs="Times New Roman"/>
          <w:color w:val="000000" w:themeColor="text1"/>
        </w:rPr>
        <w:t xml:space="preserve">Firefly D-luciferin potassium salt was purchased from Biosynth AG (Lake Constance, Switzerland). Anti-FITC (FITC-11) was purchased from Santa Cruz Biotechnology (CA, US). An UltraView DAB detection kit was acquired from Ventana Medical Systems (AZ, </w:t>
      </w:r>
      <w:r w:rsidRPr="00F75E92">
        <w:rPr>
          <w:rFonts w:eastAsia="Calibri" w:cs="Times New Roman"/>
          <w:color w:val="000000" w:themeColor="text1"/>
        </w:rPr>
        <w:lastRenderedPageBreak/>
        <w:t>USA). Ultrasound coupling gel (CG955, sonic resistance: 1.55 ± 0.05 Mrayl, pH 7.0 ± 0.05) was obtained from Ceyotek (Chiayi City, Taiwan).</w:t>
      </w:r>
    </w:p>
    <w:p w14:paraId="570D1B16" w14:textId="02DE54E6" w:rsidR="003F21C8" w:rsidRPr="00F75E92" w:rsidRDefault="003F21C8" w:rsidP="002734A6">
      <w:pPr>
        <w:snapToGrid w:val="0"/>
        <w:spacing w:after="0" w:line="360" w:lineRule="auto"/>
        <w:ind w:firstLine="720"/>
        <w:rPr>
          <w:rFonts w:eastAsia="Calibri" w:cs="Times New Roman"/>
          <w:color w:val="000000" w:themeColor="text1"/>
        </w:rPr>
      </w:pPr>
      <w:r w:rsidRPr="00F75E92">
        <w:rPr>
          <w:rFonts w:eastAsia="Calibri" w:cs="Times New Roman"/>
          <w:color w:val="000000" w:themeColor="text1"/>
        </w:rPr>
        <w:t>An FSW device (PiezoWave) was purchased from Richard Wolf (Knittlingen, Germany). The ultrasound contrast agents (UCAs), SonoVue microbubbles, were acquired from Diagnostics (Milan, Italy). The Laboratory Animal Center at the National Taiwan University College of Medicine was equipped with an IVIS and an XGI-8 gas anesthesia system (PerkinElmer, Waltham, US). A slide scanner (Ventana Dp200) and its software (Ventana Image Viewer v3.2) were obtained from F. Hoffmann-La Roche (Basel, Switzerland). A microplate reader (Infinite 2000 Pro) and its software (i-control) were procured from Tecan Austria (Grodig, Austria).</w:t>
      </w:r>
    </w:p>
    <w:p w14:paraId="266BB40D" w14:textId="1AD324D7" w:rsidR="004B316C" w:rsidRPr="00F75E92" w:rsidRDefault="004B316C" w:rsidP="004B316C">
      <w:pPr>
        <w:snapToGrid w:val="0"/>
        <w:spacing w:after="0" w:line="360" w:lineRule="auto"/>
        <w:rPr>
          <w:rFonts w:eastAsia="Calibri" w:cs="Times New Roman"/>
          <w:color w:val="000000" w:themeColor="text1"/>
        </w:rPr>
      </w:pPr>
      <w:r w:rsidRPr="00F75E92">
        <w:rPr>
          <w:rFonts w:eastAsia="Microsoft JhengHei" w:cs="Times New Roman"/>
          <w:noProof/>
          <w:color w:val="000000" w:themeColor="text1"/>
          <w:shd w:val="clear" w:color="auto" w:fill="FFFFFF"/>
          <w:lang w:val="en-IN" w:eastAsia="en-IN"/>
        </w:rPr>
        <w:drawing>
          <wp:inline distT="0" distB="0" distL="0" distR="0" wp14:anchorId="313910D1" wp14:editId="7546EB0E">
            <wp:extent cx="5274310" cy="3956050"/>
            <wp:effectExtent l="0" t="0" r="0" b="635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9">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6D2755DE" w14:textId="77777777" w:rsidR="002734A6" w:rsidRPr="00F75E92" w:rsidRDefault="002734A6" w:rsidP="004B316C">
      <w:pPr>
        <w:snapToGrid w:val="0"/>
        <w:spacing w:after="0" w:line="360" w:lineRule="auto"/>
        <w:rPr>
          <w:rFonts w:eastAsia="Calibri" w:cs="Times New Roman"/>
          <w:color w:val="000000" w:themeColor="text1"/>
        </w:rPr>
      </w:pPr>
    </w:p>
    <w:p w14:paraId="354AFC17" w14:textId="65130920" w:rsidR="004D7B26" w:rsidRPr="00F75E92" w:rsidRDefault="003F21C8" w:rsidP="002734A6">
      <w:pPr>
        <w:snapToGrid w:val="0"/>
        <w:spacing w:after="0" w:line="360" w:lineRule="auto"/>
        <w:rPr>
          <w:b/>
          <w:bCs/>
          <w:color w:val="000000" w:themeColor="text1"/>
        </w:rPr>
      </w:pPr>
      <w:r w:rsidRPr="00F75E92">
        <w:rPr>
          <w:b/>
          <w:bCs/>
          <w:color w:val="000000" w:themeColor="text1"/>
        </w:rPr>
        <w:t>2.6</w:t>
      </w:r>
      <w:r w:rsidRPr="00F75E92">
        <w:rPr>
          <w:b/>
          <w:bCs/>
          <w:color w:val="000000" w:themeColor="text1"/>
        </w:rPr>
        <w:tab/>
      </w:r>
      <w:r w:rsidR="004D7B26" w:rsidRPr="00F75E92">
        <w:rPr>
          <w:b/>
          <w:bCs/>
          <w:color w:val="000000" w:themeColor="text1"/>
        </w:rPr>
        <w:t>Efficiency of FSW-based drug delivery into the CSF</w:t>
      </w:r>
    </w:p>
    <w:p w14:paraId="09332A05" w14:textId="3068BFB9" w:rsidR="003F21C8" w:rsidRPr="00F75E92" w:rsidRDefault="004D7B26" w:rsidP="002734A6">
      <w:pPr>
        <w:widowControl w:val="0"/>
        <w:pBdr>
          <w:top w:val="nil"/>
          <w:left w:val="nil"/>
          <w:bottom w:val="nil"/>
          <w:right w:val="nil"/>
          <w:between w:val="nil"/>
        </w:pBdr>
        <w:spacing w:after="0" w:line="360" w:lineRule="auto"/>
        <w:ind w:firstLine="480"/>
        <w:rPr>
          <w:rFonts w:cs="Times New Roman"/>
          <w:color w:val="000000" w:themeColor="text1"/>
        </w:rPr>
      </w:pPr>
      <w:r w:rsidRPr="00F75E92">
        <w:rPr>
          <w:rFonts w:eastAsia="Calibri" w:cs="Times New Roman"/>
          <w:color w:val="000000" w:themeColor="text1"/>
        </w:rPr>
        <w:tab/>
      </w:r>
      <w:r w:rsidR="003F21C8" w:rsidRPr="00F75E92">
        <w:rPr>
          <w:rFonts w:eastAsia="Calibri" w:cs="Times New Roman"/>
          <w:color w:val="000000" w:themeColor="text1"/>
        </w:rPr>
        <w:t xml:space="preserve">Evans blue was evaluated by measuring the absorbance at 620 nm, while FITC-dextran was evaluated by measuring the fluorescence at λex 493 nm and λem 520 nm. Penicillin G is an important clinical drug for treating pathogens that cause CNS infections. Due to its low CNS crossing capacity, a high therapeutic dose is needed during the treatment period, but high concentrations of penicillin G may induce serious side effects such as leukopenia, thrombocytopenia, seizure, and heart failure [23]. The penicillin G concentration </w:t>
      </w:r>
      <w:r w:rsidR="003F21C8" w:rsidRPr="00F75E92">
        <w:rPr>
          <w:rFonts w:eastAsia="Calibri" w:cs="Times New Roman"/>
          <w:color w:val="000000" w:themeColor="text1"/>
        </w:rPr>
        <w:lastRenderedPageBreak/>
        <w:t>was measured with a Rat Penicillin ELISA kit (MBS3808772, MyBioSource, California, USA).</w:t>
      </w:r>
    </w:p>
    <w:p w14:paraId="0ADFB3CC" w14:textId="15471146" w:rsidR="003F21C8" w:rsidRPr="00F75E92" w:rsidRDefault="003F21C8" w:rsidP="002734A6">
      <w:pPr>
        <w:widowControl w:val="0"/>
        <w:pBdr>
          <w:top w:val="nil"/>
          <w:left w:val="nil"/>
          <w:bottom w:val="nil"/>
          <w:right w:val="nil"/>
          <w:between w:val="nil"/>
        </w:pBdr>
        <w:spacing w:after="0" w:line="360" w:lineRule="auto"/>
        <w:ind w:firstLine="480"/>
        <w:rPr>
          <w:rFonts w:eastAsia="Calibri" w:cs="Times New Roman"/>
          <w:color w:val="000000" w:themeColor="text1"/>
        </w:rPr>
      </w:pPr>
      <w:r w:rsidRPr="00F75E92">
        <w:rPr>
          <w:rFonts w:eastAsia="Calibri" w:cs="Times New Roman"/>
          <w:color w:val="000000" w:themeColor="text1"/>
        </w:rPr>
        <w:t>Two other chemotherapeutic agents, DOX and BEV, were also evaluated for BCSFB penetration after FSW stimulation. Despite its poor CNS biodiversity, DOX is a common drug for breast cancer, bladder cancer, and lymphoma therapies [24]. BEV is an antiangiogenic monoclonal antibody that is commonly used in glioblastoma treatment, as well as colon cancer, lung cancer, and renal-cell carcinoma therapies. BEV overdose may induce hemorrhage, gastrointestinal perforation, and heart failure [25]. The concentration of DOX was determined from its intrinsic fluorescence (λex 490 nm and λem 560 nm), while the concentration of BEV was determined by a BEV pharmacokinetic ELISA kit (MBS378012, MyBioSource, California, USA).</w:t>
      </w:r>
    </w:p>
    <w:p w14:paraId="626E5729" w14:textId="77777777" w:rsidR="002734A6" w:rsidRPr="00F75E92" w:rsidRDefault="002734A6" w:rsidP="002734A6">
      <w:pPr>
        <w:widowControl w:val="0"/>
        <w:pBdr>
          <w:top w:val="nil"/>
          <w:left w:val="nil"/>
          <w:bottom w:val="nil"/>
          <w:right w:val="nil"/>
          <w:between w:val="nil"/>
        </w:pBdr>
        <w:spacing w:after="0" w:line="360" w:lineRule="auto"/>
        <w:ind w:firstLine="480"/>
        <w:rPr>
          <w:rFonts w:cs="Times New Roman"/>
          <w:color w:val="000000" w:themeColor="text1"/>
        </w:rPr>
      </w:pPr>
    </w:p>
    <w:p w14:paraId="787291FB" w14:textId="494D4CC4" w:rsidR="005E562D" w:rsidRPr="00F75E92" w:rsidRDefault="002734A6" w:rsidP="002734A6">
      <w:pPr>
        <w:widowControl w:val="0"/>
        <w:pBdr>
          <w:top w:val="nil"/>
          <w:left w:val="nil"/>
          <w:bottom w:val="nil"/>
          <w:right w:val="nil"/>
          <w:between w:val="nil"/>
        </w:pBdr>
        <w:tabs>
          <w:tab w:val="left" w:pos="426"/>
        </w:tabs>
        <w:snapToGrid w:val="0"/>
        <w:spacing w:after="0" w:line="360" w:lineRule="auto"/>
        <w:rPr>
          <w:b/>
          <w:bCs/>
          <w:color w:val="000000" w:themeColor="text1"/>
        </w:rPr>
      </w:pPr>
      <w:r w:rsidRPr="00F75E92">
        <w:rPr>
          <w:b/>
          <w:bCs/>
          <w:color w:val="000000" w:themeColor="text1"/>
        </w:rPr>
        <w:t>2.8</w:t>
      </w:r>
      <w:r w:rsidRPr="00F75E92">
        <w:rPr>
          <w:b/>
          <w:bCs/>
          <w:color w:val="000000" w:themeColor="text1"/>
        </w:rPr>
        <w:tab/>
      </w:r>
      <w:r w:rsidR="005E562D" w:rsidRPr="00F75E92">
        <w:rPr>
          <w:b/>
          <w:bCs/>
          <w:color w:val="000000" w:themeColor="text1"/>
        </w:rPr>
        <w:t>Tumor cell viability</w:t>
      </w:r>
    </w:p>
    <w:p w14:paraId="34826DAF" w14:textId="77777777" w:rsidR="002734A6" w:rsidRPr="00F75E92" w:rsidRDefault="005E562D" w:rsidP="002734A6">
      <w:pPr>
        <w:widowControl w:val="0"/>
        <w:pBdr>
          <w:top w:val="nil"/>
          <w:left w:val="nil"/>
          <w:bottom w:val="nil"/>
          <w:right w:val="nil"/>
          <w:between w:val="nil"/>
        </w:pBdr>
        <w:spacing w:after="0" w:line="360" w:lineRule="auto"/>
        <w:ind w:firstLine="480"/>
        <w:rPr>
          <w:rFonts w:eastAsia="Calibri" w:cs="Times New Roman"/>
          <w:color w:val="000000" w:themeColor="text1"/>
          <w:szCs w:val="24"/>
          <w:lang w:val="en-US" w:eastAsia="zh-TW"/>
        </w:rPr>
      </w:pPr>
      <w:r w:rsidRPr="00F75E92">
        <w:rPr>
          <w:rFonts w:cs="Times New Roman"/>
          <w:color w:val="000000" w:themeColor="text1"/>
        </w:rPr>
        <w:tab/>
      </w:r>
      <w:r w:rsidR="002734A6" w:rsidRPr="00F75E92">
        <w:rPr>
          <w:rFonts w:eastAsia="Calibri" w:cs="Times New Roman"/>
          <w:color w:val="000000" w:themeColor="text1"/>
          <w:szCs w:val="24"/>
          <w:lang w:val="en-US" w:eastAsia="zh-TW"/>
        </w:rPr>
        <w:t>The C6 cell line is a standard cell line used to establish glioblastoma multiforme (GBM) models, whose infiltration into the CNS leads to neurological dysfunction and eventually death [27]. The MDA cell line (MDA-MB-231) is a highly aggressive, invasive and poorly differentiated triple-negative breast cancer [28]. Brain metastases are among the most feared complications in breast cancer and are traditionally managed to a limited degree by chemotherapy or targeted therapy. In addition, cancer cells that metastasize to the brain are different from those of the primary tumor [29].</w:t>
      </w:r>
    </w:p>
    <w:p w14:paraId="0678168F" w14:textId="21C2429E" w:rsidR="002734A6" w:rsidRPr="00F75E92" w:rsidRDefault="002734A6" w:rsidP="002734A6">
      <w:pPr>
        <w:widowControl w:val="0"/>
        <w:pBdr>
          <w:top w:val="nil"/>
          <w:left w:val="nil"/>
          <w:bottom w:val="nil"/>
          <w:right w:val="nil"/>
          <w:between w:val="nil"/>
        </w:pBdr>
        <w:spacing w:after="0" w:line="360" w:lineRule="auto"/>
        <w:ind w:firstLine="480"/>
        <w:rPr>
          <w:rFonts w:eastAsia="PMingLiU" w:cs="Times New Roman"/>
          <w:color w:val="000000" w:themeColor="text1"/>
          <w:szCs w:val="24"/>
          <w:lang w:val="en-US" w:eastAsia="zh-TW"/>
        </w:rPr>
      </w:pPr>
      <w:r w:rsidRPr="00F75E92">
        <w:rPr>
          <w:rFonts w:eastAsia="Calibri" w:cs="Times New Roman"/>
          <w:color w:val="000000" w:themeColor="text1"/>
          <w:szCs w:val="24"/>
          <w:lang w:val="en-US" w:eastAsia="zh-TW"/>
        </w:rPr>
        <w:t>To provide more information on drug treatments for brain metastases, a human breast cancer cell model for brain metastasis was chosen. The brain-seeking clone (MDA META) exclusively spreads to the brain at a histological level after six repeated passages in brain metastases and in culture. To prepare the MDA META cell line, parental MDA-MB-231 breast cancer cells were inoculated into the heart of host rats (4 weeks old) and spread to the brain approximately 3-4 weeks after inoculation. The MDA-MB-231 cells in the brain metastases were isolated, grown in culture as (MDA-MB-231 P1) and then reinoculated into the heart. The MDA-MB-231 P1 cells that metastasized to the brain were then isolated and grown in culture (MDA-MB-231 P2) again. This procedure was repeated six times. MDA-MB-231 P6 cells were then used as the brain-seeking clone (MDA META).</w:t>
      </w:r>
    </w:p>
    <w:p w14:paraId="2A953117" w14:textId="48060F2A" w:rsidR="009A0C9B" w:rsidRPr="00F75E92" w:rsidRDefault="002734A6" w:rsidP="002734A6">
      <w:pPr>
        <w:widowControl w:val="0"/>
        <w:pBdr>
          <w:top w:val="nil"/>
          <w:left w:val="nil"/>
          <w:bottom w:val="nil"/>
          <w:right w:val="nil"/>
          <w:between w:val="nil"/>
        </w:pBdr>
        <w:snapToGrid w:val="0"/>
        <w:spacing w:after="0" w:line="360" w:lineRule="auto"/>
        <w:ind w:firstLine="480"/>
        <w:rPr>
          <w:rFonts w:eastAsia="Calibri" w:cs="Times New Roman"/>
          <w:color w:val="000000" w:themeColor="text1"/>
        </w:rPr>
      </w:pPr>
      <w:r w:rsidRPr="00F75E92">
        <w:rPr>
          <w:rFonts w:eastAsia="Calibri" w:cs="Times New Roman"/>
          <w:color w:val="000000" w:themeColor="text1"/>
          <w:szCs w:val="24"/>
          <w:lang w:val="en-US" w:eastAsia="zh-TW"/>
        </w:rPr>
        <w:t xml:space="preserve">C6, MDA, and MDA META cells were seeded at 10,000 cells per well in a 96-well plate and then treated with DOX or BEV one day after plating. Cell viability following drug treatment was assessed 5 days later using the alamarBlue assay (Invitrogen) according to the manufacturer’s guidelines and previous work [30]. All culture experiments were performed in </w:t>
      </w:r>
      <w:r w:rsidRPr="00F75E92">
        <w:rPr>
          <w:rFonts w:eastAsia="Calibri" w:cs="Times New Roman"/>
          <w:color w:val="000000" w:themeColor="text1"/>
          <w:szCs w:val="24"/>
          <w:lang w:val="en-US" w:eastAsia="zh-TW"/>
        </w:rPr>
        <w:lastRenderedPageBreak/>
        <w:t>triplicate with a minimum of 5 wells per condition.</w:t>
      </w:r>
      <w:bookmarkEnd w:id="0"/>
    </w:p>
    <w:sectPr w:rsidR="009A0C9B" w:rsidRPr="00F75E92" w:rsidSect="00F75E92">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DAAE5D" w14:textId="77777777" w:rsidR="000A2139" w:rsidRDefault="000A2139" w:rsidP="0074665F">
      <w:pPr>
        <w:spacing w:after="0" w:line="240" w:lineRule="auto"/>
      </w:pPr>
      <w:r>
        <w:separator/>
      </w:r>
    </w:p>
  </w:endnote>
  <w:endnote w:type="continuationSeparator" w:id="0">
    <w:p w14:paraId="338320FA" w14:textId="77777777" w:rsidR="000A2139" w:rsidRDefault="000A2139" w:rsidP="0074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icrosoft JhengHei">
    <w:altName w:val="微軟正黑體"/>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5090901"/>
      <w:docPartObj>
        <w:docPartGallery w:val="Page Numbers (Bottom of Page)"/>
        <w:docPartUnique/>
      </w:docPartObj>
    </w:sdtPr>
    <w:sdtEndPr>
      <w:rPr>
        <w:noProof/>
      </w:rPr>
    </w:sdtEndPr>
    <w:sdtContent>
      <w:p w14:paraId="412E39F9" w14:textId="40F90EC9" w:rsidR="0074665F" w:rsidRDefault="0074665F">
        <w:pPr>
          <w:pStyle w:val="Footer"/>
          <w:jc w:val="center"/>
        </w:pPr>
        <w:r>
          <w:fldChar w:fldCharType="begin"/>
        </w:r>
        <w:r>
          <w:instrText xml:space="preserve"> PAGE   \* MERGEFORMAT </w:instrText>
        </w:r>
        <w:r>
          <w:fldChar w:fldCharType="separate"/>
        </w:r>
        <w:r w:rsidR="00F75E92">
          <w:rPr>
            <w:noProof/>
          </w:rPr>
          <w:t>1</w:t>
        </w:r>
        <w:r>
          <w:rPr>
            <w:noProof/>
          </w:rPr>
          <w:fldChar w:fldCharType="end"/>
        </w:r>
      </w:p>
    </w:sdtContent>
  </w:sdt>
  <w:p w14:paraId="62DD127D" w14:textId="77777777" w:rsidR="0074665F" w:rsidRDefault="00746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3C730" w14:textId="77777777" w:rsidR="000A2139" w:rsidRDefault="000A2139" w:rsidP="0074665F">
      <w:pPr>
        <w:spacing w:after="0" w:line="240" w:lineRule="auto"/>
      </w:pPr>
      <w:r>
        <w:separator/>
      </w:r>
    </w:p>
  </w:footnote>
  <w:footnote w:type="continuationSeparator" w:id="0">
    <w:p w14:paraId="7D77C201" w14:textId="77777777" w:rsidR="000A2139" w:rsidRDefault="000A2139" w:rsidP="00746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4F0A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7443E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868E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7A0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0E61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AC74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AC6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7CBA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C290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C3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6A1034"/>
    <w:multiLevelType w:val="hybridMultilevel"/>
    <w:tmpl w:val="AB7C1FD2"/>
    <w:lvl w:ilvl="0" w:tplc="99B8D814">
      <w:start w:val="1"/>
      <w:numFmt w:val="decimal"/>
      <w:lvlText w:val="%1."/>
      <w:lvlJc w:val="left"/>
      <w:pPr>
        <w:ind w:left="480" w:hanging="480"/>
      </w:pPr>
    </w:lvl>
    <w:lvl w:ilvl="1" w:tplc="164244A8" w:tentative="1">
      <w:start w:val="1"/>
      <w:numFmt w:val="ideographTraditional"/>
      <w:lvlText w:val="%2、"/>
      <w:lvlJc w:val="left"/>
      <w:pPr>
        <w:ind w:left="960" w:hanging="480"/>
      </w:pPr>
    </w:lvl>
    <w:lvl w:ilvl="2" w:tplc="659206FA" w:tentative="1">
      <w:start w:val="1"/>
      <w:numFmt w:val="lowerRoman"/>
      <w:lvlText w:val="%3."/>
      <w:lvlJc w:val="right"/>
      <w:pPr>
        <w:ind w:left="1440" w:hanging="480"/>
      </w:pPr>
    </w:lvl>
    <w:lvl w:ilvl="3" w:tplc="F456128E" w:tentative="1">
      <w:start w:val="1"/>
      <w:numFmt w:val="decimal"/>
      <w:lvlText w:val="%4."/>
      <w:lvlJc w:val="left"/>
      <w:pPr>
        <w:ind w:left="1920" w:hanging="480"/>
      </w:pPr>
    </w:lvl>
    <w:lvl w:ilvl="4" w:tplc="4D5C27B2" w:tentative="1">
      <w:start w:val="1"/>
      <w:numFmt w:val="ideographTraditional"/>
      <w:lvlText w:val="%5、"/>
      <w:lvlJc w:val="left"/>
      <w:pPr>
        <w:ind w:left="2400" w:hanging="480"/>
      </w:pPr>
    </w:lvl>
    <w:lvl w:ilvl="5" w:tplc="3DBE2C6C" w:tentative="1">
      <w:start w:val="1"/>
      <w:numFmt w:val="lowerRoman"/>
      <w:lvlText w:val="%6."/>
      <w:lvlJc w:val="right"/>
      <w:pPr>
        <w:ind w:left="2880" w:hanging="480"/>
      </w:pPr>
    </w:lvl>
    <w:lvl w:ilvl="6" w:tplc="919C89C4" w:tentative="1">
      <w:start w:val="1"/>
      <w:numFmt w:val="decimal"/>
      <w:lvlText w:val="%7."/>
      <w:lvlJc w:val="left"/>
      <w:pPr>
        <w:ind w:left="3360" w:hanging="480"/>
      </w:pPr>
    </w:lvl>
    <w:lvl w:ilvl="7" w:tplc="AFB418C6" w:tentative="1">
      <w:start w:val="1"/>
      <w:numFmt w:val="ideographTraditional"/>
      <w:lvlText w:val="%8、"/>
      <w:lvlJc w:val="left"/>
      <w:pPr>
        <w:ind w:left="3840" w:hanging="480"/>
      </w:pPr>
    </w:lvl>
    <w:lvl w:ilvl="8" w:tplc="C5887E32" w:tentative="1">
      <w:start w:val="1"/>
      <w:numFmt w:val="lowerRoman"/>
      <w:lvlText w:val="%9."/>
      <w:lvlJc w:val="right"/>
      <w:pPr>
        <w:ind w:left="4320" w:hanging="4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7B"/>
    <w:rsid w:val="00000A9A"/>
    <w:rsid w:val="00010067"/>
    <w:rsid w:val="000106A1"/>
    <w:rsid w:val="00014B47"/>
    <w:rsid w:val="00021C57"/>
    <w:rsid w:val="000259A7"/>
    <w:rsid w:val="00033E09"/>
    <w:rsid w:val="00035B21"/>
    <w:rsid w:val="00036D56"/>
    <w:rsid w:val="000474C8"/>
    <w:rsid w:val="00065604"/>
    <w:rsid w:val="000679A3"/>
    <w:rsid w:val="00073054"/>
    <w:rsid w:val="000808B4"/>
    <w:rsid w:val="00081962"/>
    <w:rsid w:val="000844C7"/>
    <w:rsid w:val="00085A01"/>
    <w:rsid w:val="000923EC"/>
    <w:rsid w:val="000A2139"/>
    <w:rsid w:val="000A2373"/>
    <w:rsid w:val="000B0754"/>
    <w:rsid w:val="000B6225"/>
    <w:rsid w:val="000B6EB9"/>
    <w:rsid w:val="000C0FA9"/>
    <w:rsid w:val="000C145F"/>
    <w:rsid w:val="000C291E"/>
    <w:rsid w:val="000C5403"/>
    <w:rsid w:val="000E0D31"/>
    <w:rsid w:val="000F136D"/>
    <w:rsid w:val="000F445E"/>
    <w:rsid w:val="001024FF"/>
    <w:rsid w:val="0010337C"/>
    <w:rsid w:val="00105EE1"/>
    <w:rsid w:val="00114C02"/>
    <w:rsid w:val="00125C50"/>
    <w:rsid w:val="0013193D"/>
    <w:rsid w:val="00132DCA"/>
    <w:rsid w:val="00134213"/>
    <w:rsid w:val="0015086B"/>
    <w:rsid w:val="00153F7E"/>
    <w:rsid w:val="001670F5"/>
    <w:rsid w:val="001677BA"/>
    <w:rsid w:val="001871BE"/>
    <w:rsid w:val="00191F49"/>
    <w:rsid w:val="00194DDD"/>
    <w:rsid w:val="001A39FA"/>
    <w:rsid w:val="001A4B0D"/>
    <w:rsid w:val="001B0197"/>
    <w:rsid w:val="001B3EBB"/>
    <w:rsid w:val="001C3903"/>
    <w:rsid w:val="001C78A3"/>
    <w:rsid w:val="001D56A6"/>
    <w:rsid w:val="001D5CE9"/>
    <w:rsid w:val="001E090F"/>
    <w:rsid w:val="001E1D29"/>
    <w:rsid w:val="001E5560"/>
    <w:rsid w:val="001F39CC"/>
    <w:rsid w:val="001F5F5B"/>
    <w:rsid w:val="001F65EE"/>
    <w:rsid w:val="001F67A4"/>
    <w:rsid w:val="00203F02"/>
    <w:rsid w:val="00215F2F"/>
    <w:rsid w:val="002204F1"/>
    <w:rsid w:val="0022512C"/>
    <w:rsid w:val="002273DF"/>
    <w:rsid w:val="0023065E"/>
    <w:rsid w:val="002368FF"/>
    <w:rsid w:val="002407AA"/>
    <w:rsid w:val="00246232"/>
    <w:rsid w:val="00247F88"/>
    <w:rsid w:val="00253765"/>
    <w:rsid w:val="00256060"/>
    <w:rsid w:val="00256CFE"/>
    <w:rsid w:val="002630A6"/>
    <w:rsid w:val="0026405F"/>
    <w:rsid w:val="002734A6"/>
    <w:rsid w:val="0028454C"/>
    <w:rsid w:val="00287142"/>
    <w:rsid w:val="00293171"/>
    <w:rsid w:val="002A676F"/>
    <w:rsid w:val="002B2BAD"/>
    <w:rsid w:val="002B43FC"/>
    <w:rsid w:val="002D1205"/>
    <w:rsid w:val="002D4FDB"/>
    <w:rsid w:val="002F5A02"/>
    <w:rsid w:val="0030203E"/>
    <w:rsid w:val="00303743"/>
    <w:rsid w:val="00312550"/>
    <w:rsid w:val="003246CA"/>
    <w:rsid w:val="00326773"/>
    <w:rsid w:val="00345044"/>
    <w:rsid w:val="00350E41"/>
    <w:rsid w:val="00352670"/>
    <w:rsid w:val="00352F5B"/>
    <w:rsid w:val="003549AB"/>
    <w:rsid w:val="003578D8"/>
    <w:rsid w:val="003675A4"/>
    <w:rsid w:val="003741E3"/>
    <w:rsid w:val="00380305"/>
    <w:rsid w:val="00392233"/>
    <w:rsid w:val="003923A7"/>
    <w:rsid w:val="003927B0"/>
    <w:rsid w:val="00395325"/>
    <w:rsid w:val="003A3B2E"/>
    <w:rsid w:val="003A518A"/>
    <w:rsid w:val="003B270B"/>
    <w:rsid w:val="003B5331"/>
    <w:rsid w:val="003C1E13"/>
    <w:rsid w:val="003C5493"/>
    <w:rsid w:val="003D28EC"/>
    <w:rsid w:val="003D5996"/>
    <w:rsid w:val="003D64E6"/>
    <w:rsid w:val="003D76A0"/>
    <w:rsid w:val="003F0388"/>
    <w:rsid w:val="003F1CD8"/>
    <w:rsid w:val="003F21C8"/>
    <w:rsid w:val="00412FD4"/>
    <w:rsid w:val="004131F3"/>
    <w:rsid w:val="00416EA2"/>
    <w:rsid w:val="00422765"/>
    <w:rsid w:val="00427937"/>
    <w:rsid w:val="00432898"/>
    <w:rsid w:val="00432B26"/>
    <w:rsid w:val="00432DEB"/>
    <w:rsid w:val="004515B2"/>
    <w:rsid w:val="00461822"/>
    <w:rsid w:val="004637A9"/>
    <w:rsid w:val="00463A17"/>
    <w:rsid w:val="00464040"/>
    <w:rsid w:val="00465E23"/>
    <w:rsid w:val="004757A1"/>
    <w:rsid w:val="0048040C"/>
    <w:rsid w:val="00483D53"/>
    <w:rsid w:val="00492FDD"/>
    <w:rsid w:val="00496D30"/>
    <w:rsid w:val="004A1998"/>
    <w:rsid w:val="004A521E"/>
    <w:rsid w:val="004A5C55"/>
    <w:rsid w:val="004A690D"/>
    <w:rsid w:val="004B0146"/>
    <w:rsid w:val="004B316C"/>
    <w:rsid w:val="004B55FB"/>
    <w:rsid w:val="004B5E90"/>
    <w:rsid w:val="004C4C5C"/>
    <w:rsid w:val="004D0893"/>
    <w:rsid w:val="004D7B26"/>
    <w:rsid w:val="004E09B6"/>
    <w:rsid w:val="004E458F"/>
    <w:rsid w:val="004F2D21"/>
    <w:rsid w:val="00502ED1"/>
    <w:rsid w:val="005143B5"/>
    <w:rsid w:val="005164DA"/>
    <w:rsid w:val="00523CC2"/>
    <w:rsid w:val="0052559C"/>
    <w:rsid w:val="005323A7"/>
    <w:rsid w:val="00532BAA"/>
    <w:rsid w:val="00535E4E"/>
    <w:rsid w:val="0053717E"/>
    <w:rsid w:val="00544654"/>
    <w:rsid w:val="00544E75"/>
    <w:rsid w:val="00546D43"/>
    <w:rsid w:val="00553049"/>
    <w:rsid w:val="0055573A"/>
    <w:rsid w:val="00556E4E"/>
    <w:rsid w:val="00557A8D"/>
    <w:rsid w:val="005661FC"/>
    <w:rsid w:val="00571EBD"/>
    <w:rsid w:val="00573143"/>
    <w:rsid w:val="005764D5"/>
    <w:rsid w:val="00581DD6"/>
    <w:rsid w:val="005853EC"/>
    <w:rsid w:val="00593C36"/>
    <w:rsid w:val="00595268"/>
    <w:rsid w:val="005978AD"/>
    <w:rsid w:val="00597A81"/>
    <w:rsid w:val="005A0E5A"/>
    <w:rsid w:val="005B204C"/>
    <w:rsid w:val="005B70D1"/>
    <w:rsid w:val="005C00B7"/>
    <w:rsid w:val="005C5A64"/>
    <w:rsid w:val="005C5B8D"/>
    <w:rsid w:val="005C7145"/>
    <w:rsid w:val="005C78A3"/>
    <w:rsid w:val="005D15A4"/>
    <w:rsid w:val="005D1C07"/>
    <w:rsid w:val="005E562D"/>
    <w:rsid w:val="005E5DD7"/>
    <w:rsid w:val="005F0A71"/>
    <w:rsid w:val="005F2098"/>
    <w:rsid w:val="005F2BBD"/>
    <w:rsid w:val="00612573"/>
    <w:rsid w:val="006212A1"/>
    <w:rsid w:val="00623B81"/>
    <w:rsid w:val="00627FE0"/>
    <w:rsid w:val="00630EA0"/>
    <w:rsid w:val="00631A7D"/>
    <w:rsid w:val="00640D6F"/>
    <w:rsid w:val="0065457E"/>
    <w:rsid w:val="006556FB"/>
    <w:rsid w:val="00664931"/>
    <w:rsid w:val="006720B4"/>
    <w:rsid w:val="006761F0"/>
    <w:rsid w:val="0067632B"/>
    <w:rsid w:val="0068018A"/>
    <w:rsid w:val="00684997"/>
    <w:rsid w:val="00686056"/>
    <w:rsid w:val="00686A1A"/>
    <w:rsid w:val="00694226"/>
    <w:rsid w:val="00697996"/>
    <w:rsid w:val="006A47FA"/>
    <w:rsid w:val="006A5779"/>
    <w:rsid w:val="006A671C"/>
    <w:rsid w:val="006D2F06"/>
    <w:rsid w:val="006D55E2"/>
    <w:rsid w:val="006D5716"/>
    <w:rsid w:val="006D7741"/>
    <w:rsid w:val="006E6CEF"/>
    <w:rsid w:val="006F3B3C"/>
    <w:rsid w:val="00702483"/>
    <w:rsid w:val="00706113"/>
    <w:rsid w:val="007065FB"/>
    <w:rsid w:val="00707FCD"/>
    <w:rsid w:val="007118AC"/>
    <w:rsid w:val="007155F7"/>
    <w:rsid w:val="00721452"/>
    <w:rsid w:val="00721A12"/>
    <w:rsid w:val="0073045A"/>
    <w:rsid w:val="007354E5"/>
    <w:rsid w:val="00740D3F"/>
    <w:rsid w:val="00741DDD"/>
    <w:rsid w:val="0074665F"/>
    <w:rsid w:val="00756B72"/>
    <w:rsid w:val="00757997"/>
    <w:rsid w:val="007614CF"/>
    <w:rsid w:val="00762A44"/>
    <w:rsid w:val="00762BC1"/>
    <w:rsid w:val="007637A3"/>
    <w:rsid w:val="00774F60"/>
    <w:rsid w:val="00782453"/>
    <w:rsid w:val="007951BD"/>
    <w:rsid w:val="00795D04"/>
    <w:rsid w:val="00797829"/>
    <w:rsid w:val="007C3097"/>
    <w:rsid w:val="007C4824"/>
    <w:rsid w:val="007E28D2"/>
    <w:rsid w:val="007E583B"/>
    <w:rsid w:val="007F4DFE"/>
    <w:rsid w:val="00800894"/>
    <w:rsid w:val="008019BF"/>
    <w:rsid w:val="008052C1"/>
    <w:rsid w:val="008228FC"/>
    <w:rsid w:val="00824C46"/>
    <w:rsid w:val="00830B42"/>
    <w:rsid w:val="008413D6"/>
    <w:rsid w:val="00843060"/>
    <w:rsid w:val="00844227"/>
    <w:rsid w:val="00857A15"/>
    <w:rsid w:val="008620B4"/>
    <w:rsid w:val="00871539"/>
    <w:rsid w:val="00874D51"/>
    <w:rsid w:val="00877B93"/>
    <w:rsid w:val="00881AA5"/>
    <w:rsid w:val="00882D75"/>
    <w:rsid w:val="00887196"/>
    <w:rsid w:val="008A01C7"/>
    <w:rsid w:val="008B0840"/>
    <w:rsid w:val="008B3852"/>
    <w:rsid w:val="008C2EE1"/>
    <w:rsid w:val="008C4120"/>
    <w:rsid w:val="008C5C1C"/>
    <w:rsid w:val="008C663D"/>
    <w:rsid w:val="008C6F49"/>
    <w:rsid w:val="008D7EBB"/>
    <w:rsid w:val="008F1522"/>
    <w:rsid w:val="008F1CC3"/>
    <w:rsid w:val="008F391F"/>
    <w:rsid w:val="008F42FA"/>
    <w:rsid w:val="00902BE5"/>
    <w:rsid w:val="00906EDB"/>
    <w:rsid w:val="00915050"/>
    <w:rsid w:val="00916373"/>
    <w:rsid w:val="00930054"/>
    <w:rsid w:val="00930937"/>
    <w:rsid w:val="009321B7"/>
    <w:rsid w:val="00932F38"/>
    <w:rsid w:val="00932F84"/>
    <w:rsid w:val="00933B3F"/>
    <w:rsid w:val="00941057"/>
    <w:rsid w:val="00966361"/>
    <w:rsid w:val="00973ECC"/>
    <w:rsid w:val="00976001"/>
    <w:rsid w:val="00982B93"/>
    <w:rsid w:val="00986267"/>
    <w:rsid w:val="009A0C9B"/>
    <w:rsid w:val="009A2B04"/>
    <w:rsid w:val="009A462E"/>
    <w:rsid w:val="009A47D8"/>
    <w:rsid w:val="009A5B20"/>
    <w:rsid w:val="009C124A"/>
    <w:rsid w:val="009C29E2"/>
    <w:rsid w:val="009C6275"/>
    <w:rsid w:val="009D3802"/>
    <w:rsid w:val="009E56E6"/>
    <w:rsid w:val="009E7B2E"/>
    <w:rsid w:val="009E7C1F"/>
    <w:rsid w:val="009F3B7B"/>
    <w:rsid w:val="00A027CE"/>
    <w:rsid w:val="00A0384A"/>
    <w:rsid w:val="00A10F61"/>
    <w:rsid w:val="00A11317"/>
    <w:rsid w:val="00A30910"/>
    <w:rsid w:val="00A315ED"/>
    <w:rsid w:val="00A32488"/>
    <w:rsid w:val="00A345D1"/>
    <w:rsid w:val="00A351A7"/>
    <w:rsid w:val="00A36970"/>
    <w:rsid w:val="00A377E2"/>
    <w:rsid w:val="00A462FC"/>
    <w:rsid w:val="00A512C4"/>
    <w:rsid w:val="00A65CEB"/>
    <w:rsid w:val="00A74FA2"/>
    <w:rsid w:val="00A805B9"/>
    <w:rsid w:val="00A80FDB"/>
    <w:rsid w:val="00A83254"/>
    <w:rsid w:val="00A91142"/>
    <w:rsid w:val="00A95E28"/>
    <w:rsid w:val="00A962A2"/>
    <w:rsid w:val="00AA589E"/>
    <w:rsid w:val="00AA6DB7"/>
    <w:rsid w:val="00AD4624"/>
    <w:rsid w:val="00AD50FC"/>
    <w:rsid w:val="00AE0947"/>
    <w:rsid w:val="00AF21CC"/>
    <w:rsid w:val="00AF3D33"/>
    <w:rsid w:val="00B03EEA"/>
    <w:rsid w:val="00B051AB"/>
    <w:rsid w:val="00B06F9A"/>
    <w:rsid w:val="00B12833"/>
    <w:rsid w:val="00B26282"/>
    <w:rsid w:val="00B3603E"/>
    <w:rsid w:val="00B4791B"/>
    <w:rsid w:val="00B52536"/>
    <w:rsid w:val="00B52549"/>
    <w:rsid w:val="00B534E9"/>
    <w:rsid w:val="00B54AD0"/>
    <w:rsid w:val="00B55A4D"/>
    <w:rsid w:val="00B62214"/>
    <w:rsid w:val="00B64617"/>
    <w:rsid w:val="00B66F23"/>
    <w:rsid w:val="00BA76E5"/>
    <w:rsid w:val="00BB7935"/>
    <w:rsid w:val="00BC08BB"/>
    <w:rsid w:val="00BC21E5"/>
    <w:rsid w:val="00BC700E"/>
    <w:rsid w:val="00BC78AA"/>
    <w:rsid w:val="00BD57D2"/>
    <w:rsid w:val="00BD67C7"/>
    <w:rsid w:val="00BE4FA5"/>
    <w:rsid w:val="00BE5E3E"/>
    <w:rsid w:val="00BF0763"/>
    <w:rsid w:val="00BF1066"/>
    <w:rsid w:val="00C15BEF"/>
    <w:rsid w:val="00C15F0B"/>
    <w:rsid w:val="00C23718"/>
    <w:rsid w:val="00C23D1F"/>
    <w:rsid w:val="00C35D08"/>
    <w:rsid w:val="00C35D66"/>
    <w:rsid w:val="00C378A3"/>
    <w:rsid w:val="00C4436B"/>
    <w:rsid w:val="00C501C6"/>
    <w:rsid w:val="00C51340"/>
    <w:rsid w:val="00C62D14"/>
    <w:rsid w:val="00C64D23"/>
    <w:rsid w:val="00C70CEA"/>
    <w:rsid w:val="00C74CD6"/>
    <w:rsid w:val="00C8096C"/>
    <w:rsid w:val="00C83516"/>
    <w:rsid w:val="00C84134"/>
    <w:rsid w:val="00C93BEF"/>
    <w:rsid w:val="00CA0323"/>
    <w:rsid w:val="00CA393F"/>
    <w:rsid w:val="00CC01AD"/>
    <w:rsid w:val="00CC55CC"/>
    <w:rsid w:val="00CD0006"/>
    <w:rsid w:val="00CD07EE"/>
    <w:rsid w:val="00CD5373"/>
    <w:rsid w:val="00CD57BE"/>
    <w:rsid w:val="00CE51E6"/>
    <w:rsid w:val="00D05A55"/>
    <w:rsid w:val="00D0685A"/>
    <w:rsid w:val="00D1066E"/>
    <w:rsid w:val="00D134A3"/>
    <w:rsid w:val="00D21B0D"/>
    <w:rsid w:val="00D42DC4"/>
    <w:rsid w:val="00D5160E"/>
    <w:rsid w:val="00D52F8D"/>
    <w:rsid w:val="00D6056E"/>
    <w:rsid w:val="00D616F9"/>
    <w:rsid w:val="00D72132"/>
    <w:rsid w:val="00D808BF"/>
    <w:rsid w:val="00D8374B"/>
    <w:rsid w:val="00D84706"/>
    <w:rsid w:val="00D9055D"/>
    <w:rsid w:val="00D97DCE"/>
    <w:rsid w:val="00DA437E"/>
    <w:rsid w:val="00DA7F06"/>
    <w:rsid w:val="00DB05F7"/>
    <w:rsid w:val="00DC24A6"/>
    <w:rsid w:val="00DC65C1"/>
    <w:rsid w:val="00DD23B3"/>
    <w:rsid w:val="00DE7811"/>
    <w:rsid w:val="00DF1DB6"/>
    <w:rsid w:val="00DF2A36"/>
    <w:rsid w:val="00DF3589"/>
    <w:rsid w:val="00E0081D"/>
    <w:rsid w:val="00E00E83"/>
    <w:rsid w:val="00E0243B"/>
    <w:rsid w:val="00E10E92"/>
    <w:rsid w:val="00E14383"/>
    <w:rsid w:val="00E2237F"/>
    <w:rsid w:val="00E31A20"/>
    <w:rsid w:val="00E31E9D"/>
    <w:rsid w:val="00E35413"/>
    <w:rsid w:val="00E3777E"/>
    <w:rsid w:val="00E40857"/>
    <w:rsid w:val="00E427EB"/>
    <w:rsid w:val="00E45376"/>
    <w:rsid w:val="00E4693A"/>
    <w:rsid w:val="00E546DF"/>
    <w:rsid w:val="00E56505"/>
    <w:rsid w:val="00E60F28"/>
    <w:rsid w:val="00E659FB"/>
    <w:rsid w:val="00E8765F"/>
    <w:rsid w:val="00E92A7D"/>
    <w:rsid w:val="00E96F98"/>
    <w:rsid w:val="00E97590"/>
    <w:rsid w:val="00EB6013"/>
    <w:rsid w:val="00EC46C4"/>
    <w:rsid w:val="00ED21C3"/>
    <w:rsid w:val="00EE1927"/>
    <w:rsid w:val="00EE3877"/>
    <w:rsid w:val="00EF7B41"/>
    <w:rsid w:val="00EF7D1D"/>
    <w:rsid w:val="00F066BB"/>
    <w:rsid w:val="00F12959"/>
    <w:rsid w:val="00F203C4"/>
    <w:rsid w:val="00F20BEE"/>
    <w:rsid w:val="00F25055"/>
    <w:rsid w:val="00F353FB"/>
    <w:rsid w:val="00F4167C"/>
    <w:rsid w:val="00F422D3"/>
    <w:rsid w:val="00F56A86"/>
    <w:rsid w:val="00F57480"/>
    <w:rsid w:val="00F57B22"/>
    <w:rsid w:val="00F611DC"/>
    <w:rsid w:val="00F67DEA"/>
    <w:rsid w:val="00F75E92"/>
    <w:rsid w:val="00F83FEA"/>
    <w:rsid w:val="00F84E1C"/>
    <w:rsid w:val="00F90312"/>
    <w:rsid w:val="00F90C10"/>
    <w:rsid w:val="00F94E65"/>
    <w:rsid w:val="00FA7155"/>
    <w:rsid w:val="00FB51DA"/>
    <w:rsid w:val="00FC5BD1"/>
    <w:rsid w:val="00FD0AE9"/>
    <w:rsid w:val="00FF1440"/>
    <w:rsid w:val="00FF2CB3"/>
    <w:rsid w:val="00FF58B6"/>
    <w:rsid w:val="00FF5E9E"/>
    <w:rsid w:val="00FF610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7D20B6"/>
  <w15:docId w15:val="{6919CE26-11CE-41FD-A913-D7F6E4EF9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CC2"/>
    <w:pPr>
      <w:spacing w:after="160" w:line="480" w:lineRule="auto"/>
      <w:jc w:val="both"/>
    </w:pPr>
    <w:rPr>
      <w:rFonts w:eastAsiaTheme="minorHAnsi" w:cstheme="minorBidi"/>
      <w:sz w:val="24"/>
      <w:szCs w:val="22"/>
      <w:lang w:val="en-CA" w:eastAsia="en-US"/>
    </w:rPr>
  </w:style>
  <w:style w:type="paragraph" w:styleId="Heading1">
    <w:name w:val="heading 1"/>
    <w:basedOn w:val="Normal"/>
    <w:next w:val="Normal"/>
    <w:link w:val="Heading1Char"/>
    <w:uiPriority w:val="9"/>
    <w:qFormat/>
    <w:locked/>
    <w:rsid w:val="00523CC2"/>
    <w:pPr>
      <w:keepNext/>
      <w:keepLines/>
      <w:pBdr>
        <w:top w:val="nil"/>
        <w:left w:val="nil"/>
        <w:bottom w:val="nil"/>
        <w:right w:val="nil"/>
        <w:between w:val="nil"/>
        <w:bar w:val="nil"/>
      </w:pBdr>
      <w:spacing w:before="480" w:after="120"/>
      <w:outlineLvl w:val="0"/>
    </w:pPr>
    <w:rPr>
      <w:rFonts w:eastAsia="Arial Unicode MS"/>
      <w:b/>
      <w:bCs/>
      <w:color w:val="7030A0"/>
      <w:sz w:val="36"/>
      <w:szCs w:val="48"/>
      <w:bdr w:val="nil"/>
      <w:lang w:val="en-US"/>
    </w:rPr>
  </w:style>
  <w:style w:type="paragraph" w:styleId="Heading2">
    <w:name w:val="heading 2"/>
    <w:basedOn w:val="Normal"/>
    <w:next w:val="Normal"/>
    <w:link w:val="Heading2Char"/>
    <w:uiPriority w:val="9"/>
    <w:qFormat/>
    <w:locked/>
    <w:rsid w:val="00523CC2"/>
    <w:pPr>
      <w:keepNext/>
      <w:keepLines/>
      <w:pBdr>
        <w:top w:val="nil"/>
        <w:left w:val="nil"/>
        <w:bottom w:val="nil"/>
        <w:right w:val="nil"/>
        <w:between w:val="nil"/>
        <w:bar w:val="nil"/>
      </w:pBdr>
      <w:spacing w:before="360" w:after="80"/>
      <w:outlineLvl w:val="1"/>
    </w:pPr>
    <w:rPr>
      <w:rFonts w:eastAsia="Arial Unicode MS"/>
      <w:b/>
      <w:bCs/>
      <w:color w:val="0070C0"/>
      <w:sz w:val="32"/>
      <w:szCs w:val="36"/>
      <w:bdr w:val="nil"/>
      <w:lang w:val="en-US"/>
    </w:rPr>
  </w:style>
  <w:style w:type="paragraph" w:styleId="Heading3">
    <w:name w:val="heading 3"/>
    <w:basedOn w:val="Normal"/>
    <w:next w:val="Normal"/>
    <w:link w:val="Heading3Char"/>
    <w:uiPriority w:val="9"/>
    <w:qFormat/>
    <w:locked/>
    <w:rsid w:val="00523CC2"/>
    <w:pPr>
      <w:keepNext/>
      <w:keepLines/>
      <w:spacing w:before="280" w:after="80"/>
      <w:outlineLvl w:val="2"/>
    </w:pPr>
    <w:rPr>
      <w:b/>
      <w:bCs/>
      <w:color w:val="00B0F0"/>
      <w:sz w:val="28"/>
      <w:szCs w:val="28"/>
    </w:rPr>
  </w:style>
  <w:style w:type="paragraph" w:styleId="Heading4">
    <w:name w:val="heading 4"/>
    <w:basedOn w:val="Normal"/>
    <w:next w:val="Normal"/>
    <w:link w:val="Heading4Char"/>
    <w:uiPriority w:val="9"/>
    <w:unhideWhenUsed/>
    <w:qFormat/>
    <w:locked/>
    <w:rsid w:val="00523CC2"/>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61822"/>
    <w:pPr>
      <w:spacing w:before="100" w:beforeAutospacing="1" w:after="100" w:afterAutospacing="1"/>
    </w:pPr>
  </w:style>
  <w:style w:type="character" w:styleId="Strong">
    <w:name w:val="Strong"/>
    <w:uiPriority w:val="99"/>
    <w:qFormat/>
    <w:rsid w:val="00461822"/>
    <w:rPr>
      <w:rFonts w:cs="Times New Roman"/>
      <w:b/>
      <w:bCs/>
    </w:rPr>
  </w:style>
  <w:style w:type="character" w:styleId="Hyperlink">
    <w:name w:val="Hyperlink"/>
    <w:uiPriority w:val="99"/>
    <w:rsid w:val="00461822"/>
    <w:rPr>
      <w:rFonts w:cs="Times New Roman"/>
      <w:color w:val="0000FF"/>
      <w:u w:val="single"/>
    </w:rPr>
  </w:style>
  <w:style w:type="character" w:styleId="Emphasis">
    <w:name w:val="Emphasis"/>
    <w:uiPriority w:val="20"/>
    <w:qFormat/>
    <w:rsid w:val="00461822"/>
    <w:rPr>
      <w:rFonts w:cs="Times New Roman"/>
      <w:i/>
      <w:iCs/>
    </w:rPr>
  </w:style>
  <w:style w:type="table" w:styleId="TableGrid">
    <w:name w:val="Table Grid"/>
    <w:basedOn w:val="TableNormal"/>
    <w:uiPriority w:val="99"/>
    <w:rsid w:val="00264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23CC2"/>
    <w:pPr>
      <w:shd w:val="pct15" w:color="auto" w:fill="auto"/>
      <w:spacing w:after="200" w:line="240" w:lineRule="auto"/>
    </w:pPr>
    <w:rPr>
      <w:rFonts w:eastAsia="Calibri"/>
      <w:sz w:val="18"/>
      <w:szCs w:val="18"/>
    </w:rPr>
  </w:style>
  <w:style w:type="character" w:customStyle="1" w:styleId="BalloonTextChar">
    <w:name w:val="Balloon Text Char"/>
    <w:basedOn w:val="DefaultParagraphFont"/>
    <w:link w:val="BalloonText"/>
    <w:uiPriority w:val="99"/>
    <w:locked/>
    <w:rsid w:val="00523CC2"/>
    <w:rPr>
      <w:rFonts w:eastAsia="Calibri" w:cstheme="minorBidi"/>
      <w:sz w:val="18"/>
      <w:szCs w:val="18"/>
      <w:shd w:val="pct15" w:color="auto" w:fill="auto"/>
      <w:lang w:val="en-CA" w:eastAsia="en-US"/>
    </w:rPr>
  </w:style>
  <w:style w:type="character" w:styleId="PlaceholderText">
    <w:name w:val="Placeholder Text"/>
    <w:basedOn w:val="DefaultParagraphFont"/>
    <w:uiPriority w:val="99"/>
    <w:semiHidden/>
    <w:rsid w:val="001670F5"/>
    <w:rPr>
      <w:color w:val="808080"/>
    </w:rPr>
  </w:style>
  <w:style w:type="character" w:styleId="FollowedHyperlink">
    <w:name w:val="FollowedHyperlink"/>
    <w:basedOn w:val="DefaultParagraphFont"/>
    <w:uiPriority w:val="99"/>
    <w:semiHidden/>
    <w:unhideWhenUsed/>
    <w:rsid w:val="00432DEB"/>
    <w:rPr>
      <w:color w:val="800080" w:themeColor="followedHyperlink"/>
      <w:u w:val="single"/>
    </w:rPr>
  </w:style>
  <w:style w:type="character" w:customStyle="1" w:styleId="Heading1Char">
    <w:name w:val="Heading 1 Char"/>
    <w:basedOn w:val="DefaultParagraphFont"/>
    <w:link w:val="Heading1"/>
    <w:uiPriority w:val="9"/>
    <w:rsid w:val="00523CC2"/>
    <w:rPr>
      <w:rFonts w:eastAsia="Arial Unicode MS" w:cstheme="minorBidi"/>
      <w:b/>
      <w:bCs/>
      <w:color w:val="7030A0"/>
      <w:sz w:val="36"/>
      <w:szCs w:val="48"/>
      <w:bdr w:val="nil"/>
      <w:lang w:val="en-US" w:eastAsia="en-US"/>
    </w:rPr>
  </w:style>
  <w:style w:type="character" w:customStyle="1" w:styleId="Heading2Char">
    <w:name w:val="Heading 2 Char"/>
    <w:basedOn w:val="DefaultParagraphFont"/>
    <w:link w:val="Heading2"/>
    <w:uiPriority w:val="9"/>
    <w:rsid w:val="00523CC2"/>
    <w:rPr>
      <w:rFonts w:eastAsia="Arial Unicode MS" w:cstheme="minorBidi"/>
      <w:b/>
      <w:bCs/>
      <w:color w:val="0070C0"/>
      <w:sz w:val="32"/>
      <w:szCs w:val="36"/>
      <w:bdr w:val="nil"/>
      <w:lang w:val="en-US" w:eastAsia="en-US"/>
    </w:rPr>
  </w:style>
  <w:style w:type="character" w:customStyle="1" w:styleId="Heading3Char">
    <w:name w:val="Heading 3 Char"/>
    <w:basedOn w:val="DefaultParagraphFont"/>
    <w:link w:val="Heading3"/>
    <w:uiPriority w:val="9"/>
    <w:rsid w:val="00523CC2"/>
    <w:rPr>
      <w:rFonts w:eastAsiaTheme="minorHAnsi" w:cstheme="minorBidi"/>
      <w:b/>
      <w:bCs/>
      <w:color w:val="00B0F0"/>
      <w:sz w:val="28"/>
      <w:szCs w:val="28"/>
      <w:lang w:val="en-CA" w:eastAsia="en-US"/>
    </w:rPr>
  </w:style>
  <w:style w:type="character" w:customStyle="1" w:styleId="Heading4Char">
    <w:name w:val="Heading 4 Char"/>
    <w:basedOn w:val="DefaultParagraphFont"/>
    <w:link w:val="Heading4"/>
    <w:uiPriority w:val="9"/>
    <w:rsid w:val="00523CC2"/>
    <w:rPr>
      <w:rFonts w:eastAsiaTheme="majorEastAsia" w:cstheme="majorBidi"/>
      <w:b/>
      <w:bCs/>
      <w:iCs/>
      <w:sz w:val="24"/>
      <w:szCs w:val="22"/>
      <w:lang w:val="en-CA" w:eastAsia="en-US"/>
    </w:rPr>
  </w:style>
  <w:style w:type="paragraph" w:styleId="Title">
    <w:name w:val="Title"/>
    <w:basedOn w:val="Normal"/>
    <w:next w:val="Normal"/>
    <w:link w:val="TitleChar"/>
    <w:uiPriority w:val="10"/>
    <w:qFormat/>
    <w:locked/>
    <w:rsid w:val="00523CC2"/>
    <w:pPr>
      <w:spacing w:after="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523CC2"/>
    <w:rPr>
      <w:rFonts w:eastAsiaTheme="majorEastAsia" w:cstheme="majorBidi"/>
      <w:b/>
      <w:spacing w:val="-10"/>
      <w:kern w:val="28"/>
      <w:sz w:val="36"/>
      <w:szCs w:val="56"/>
      <w:lang w:val="en-CA" w:eastAsia="en-US"/>
    </w:rPr>
  </w:style>
  <w:style w:type="character" w:customStyle="1" w:styleId="UnresolvedMention">
    <w:name w:val="Unresolved Mention"/>
    <w:basedOn w:val="DefaultParagraphFont"/>
    <w:uiPriority w:val="99"/>
    <w:semiHidden/>
    <w:unhideWhenUsed/>
    <w:rsid w:val="00CA0323"/>
    <w:rPr>
      <w:color w:val="605E5C"/>
      <w:shd w:val="clear" w:color="auto" w:fill="E1DFDD"/>
    </w:rPr>
  </w:style>
  <w:style w:type="paragraph" w:customStyle="1" w:styleId="Authors">
    <w:name w:val="Authors"/>
    <w:basedOn w:val="Normal"/>
    <w:rsid w:val="00686056"/>
    <w:pPr>
      <w:spacing w:before="120" w:after="360" w:line="240" w:lineRule="auto"/>
      <w:jc w:val="center"/>
    </w:pPr>
    <w:rPr>
      <w:rFonts w:eastAsia="Times New Roman" w:cs="Times New Roman"/>
      <w:szCs w:val="24"/>
      <w:lang w:val="en-US"/>
    </w:rPr>
  </w:style>
  <w:style w:type="paragraph" w:customStyle="1" w:styleId="Head">
    <w:name w:val="Head"/>
    <w:basedOn w:val="Normal"/>
    <w:rsid w:val="00686056"/>
    <w:pPr>
      <w:keepNext/>
      <w:spacing w:before="120" w:after="120" w:line="240" w:lineRule="auto"/>
      <w:jc w:val="center"/>
      <w:outlineLvl w:val="0"/>
    </w:pPr>
    <w:rPr>
      <w:rFonts w:eastAsia="Times New Roman" w:cs="Times New Roman"/>
      <w:b/>
      <w:bCs/>
      <w:kern w:val="28"/>
      <w:sz w:val="28"/>
      <w:szCs w:val="28"/>
      <w:lang w:val="en-US"/>
    </w:rPr>
  </w:style>
  <w:style w:type="paragraph" w:customStyle="1" w:styleId="AbstractSummary">
    <w:name w:val="Abstract/Summary"/>
    <w:basedOn w:val="Normal"/>
    <w:rsid w:val="00686056"/>
    <w:pPr>
      <w:spacing w:before="120" w:after="0" w:line="240" w:lineRule="auto"/>
      <w:jc w:val="left"/>
    </w:pPr>
    <w:rPr>
      <w:rFonts w:eastAsia="Times New Roman" w:cs="Times New Roman"/>
      <w:szCs w:val="24"/>
      <w:lang w:val="en-US"/>
    </w:rPr>
  </w:style>
  <w:style w:type="paragraph" w:customStyle="1" w:styleId="Paragraph">
    <w:name w:val="Paragraph"/>
    <w:basedOn w:val="Normal"/>
    <w:rsid w:val="00686056"/>
    <w:pPr>
      <w:spacing w:before="120" w:after="0" w:line="240" w:lineRule="auto"/>
      <w:ind w:firstLine="720"/>
      <w:jc w:val="left"/>
    </w:pPr>
    <w:rPr>
      <w:rFonts w:eastAsia="Times New Roman" w:cs="Times New Roman"/>
      <w:szCs w:val="24"/>
      <w:lang w:val="en-US"/>
    </w:rPr>
  </w:style>
  <w:style w:type="paragraph" w:customStyle="1" w:styleId="Teaser">
    <w:name w:val="Teaser"/>
    <w:basedOn w:val="Normal"/>
    <w:rsid w:val="00F422D3"/>
    <w:pPr>
      <w:spacing w:before="120" w:after="0" w:line="240" w:lineRule="auto"/>
      <w:jc w:val="left"/>
    </w:pPr>
    <w:rPr>
      <w:rFonts w:eastAsia="Times New Roman" w:cs="Times New Roman"/>
      <w:szCs w:val="24"/>
      <w:lang w:val="en-US"/>
    </w:rPr>
  </w:style>
  <w:style w:type="paragraph" w:styleId="Header">
    <w:name w:val="header"/>
    <w:basedOn w:val="Normal"/>
    <w:link w:val="HeaderChar"/>
    <w:uiPriority w:val="99"/>
    <w:unhideWhenUsed/>
    <w:rsid w:val="00746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65F"/>
    <w:rPr>
      <w:rFonts w:eastAsiaTheme="minorHAnsi" w:cstheme="minorBidi"/>
      <w:sz w:val="24"/>
      <w:szCs w:val="22"/>
      <w:lang w:val="en-CA" w:eastAsia="en-US"/>
    </w:rPr>
  </w:style>
  <w:style w:type="paragraph" w:styleId="Footer">
    <w:name w:val="footer"/>
    <w:basedOn w:val="Normal"/>
    <w:link w:val="FooterChar"/>
    <w:uiPriority w:val="99"/>
    <w:unhideWhenUsed/>
    <w:rsid w:val="00746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65F"/>
    <w:rPr>
      <w:rFonts w:eastAsiaTheme="minorHAnsi" w:cstheme="minorBidi"/>
      <w:sz w:val="24"/>
      <w:szCs w:val="22"/>
      <w:lang w:val="en-CA" w:eastAsia="en-US"/>
    </w:rPr>
  </w:style>
  <w:style w:type="paragraph" w:styleId="ListParagraph">
    <w:name w:val="List Paragraph"/>
    <w:basedOn w:val="Normal"/>
    <w:uiPriority w:val="34"/>
    <w:qFormat/>
    <w:rsid w:val="00762BC1"/>
    <w:pPr>
      <w:spacing w:after="0" w:line="240" w:lineRule="auto"/>
      <w:ind w:leftChars="200" w:left="480"/>
      <w:jc w:val="left"/>
    </w:pPr>
    <w:rPr>
      <w:rFonts w:eastAsiaTheme="minorEastAsia" w:cs="Calibri"/>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065236">
      <w:bodyDiv w:val="1"/>
      <w:marLeft w:val="0"/>
      <w:marRight w:val="0"/>
      <w:marTop w:val="0"/>
      <w:marBottom w:val="0"/>
      <w:divBdr>
        <w:top w:val="none" w:sz="0" w:space="0" w:color="auto"/>
        <w:left w:val="none" w:sz="0" w:space="0" w:color="auto"/>
        <w:bottom w:val="none" w:sz="0" w:space="0" w:color="auto"/>
        <w:right w:val="none" w:sz="0" w:space="0" w:color="auto"/>
      </w:divBdr>
    </w:div>
    <w:div w:id="662465335">
      <w:bodyDiv w:val="1"/>
      <w:marLeft w:val="0"/>
      <w:marRight w:val="0"/>
      <w:marTop w:val="0"/>
      <w:marBottom w:val="0"/>
      <w:divBdr>
        <w:top w:val="none" w:sz="0" w:space="0" w:color="auto"/>
        <w:left w:val="none" w:sz="0" w:space="0" w:color="auto"/>
        <w:bottom w:val="none" w:sz="0" w:space="0" w:color="auto"/>
        <w:right w:val="none" w:sz="0" w:space="0" w:color="auto"/>
      </w:divBdr>
    </w:div>
    <w:div w:id="980966186">
      <w:bodyDiv w:val="1"/>
      <w:marLeft w:val="0"/>
      <w:marRight w:val="0"/>
      <w:marTop w:val="0"/>
      <w:marBottom w:val="0"/>
      <w:divBdr>
        <w:top w:val="none" w:sz="0" w:space="0" w:color="auto"/>
        <w:left w:val="none" w:sz="0" w:space="0" w:color="auto"/>
        <w:bottom w:val="none" w:sz="0" w:space="0" w:color="auto"/>
        <w:right w:val="none" w:sz="0" w:space="0" w:color="auto"/>
      </w:divBdr>
    </w:div>
    <w:div w:id="1102382473">
      <w:bodyDiv w:val="1"/>
      <w:marLeft w:val="0"/>
      <w:marRight w:val="0"/>
      <w:marTop w:val="0"/>
      <w:marBottom w:val="0"/>
      <w:divBdr>
        <w:top w:val="none" w:sz="0" w:space="0" w:color="auto"/>
        <w:left w:val="none" w:sz="0" w:space="0" w:color="auto"/>
        <w:bottom w:val="none" w:sz="0" w:space="0" w:color="auto"/>
        <w:right w:val="none" w:sz="0" w:space="0" w:color="auto"/>
      </w:divBdr>
      <w:divsChild>
        <w:div w:id="1484006487">
          <w:marLeft w:val="0"/>
          <w:marRight w:val="0"/>
          <w:marTop w:val="0"/>
          <w:marBottom w:val="0"/>
          <w:divBdr>
            <w:top w:val="none" w:sz="0" w:space="0" w:color="auto"/>
            <w:left w:val="none" w:sz="0" w:space="0" w:color="auto"/>
            <w:bottom w:val="none" w:sz="0" w:space="0" w:color="auto"/>
            <w:right w:val="none" w:sz="0" w:space="0" w:color="auto"/>
          </w:divBdr>
          <w:divsChild>
            <w:div w:id="1615164636">
              <w:marLeft w:val="0"/>
              <w:marRight w:val="0"/>
              <w:marTop w:val="0"/>
              <w:marBottom w:val="0"/>
              <w:divBdr>
                <w:top w:val="none" w:sz="0" w:space="0" w:color="auto"/>
                <w:left w:val="none" w:sz="0" w:space="0" w:color="auto"/>
                <w:bottom w:val="none" w:sz="0" w:space="0" w:color="auto"/>
                <w:right w:val="none" w:sz="0" w:space="0" w:color="auto"/>
              </w:divBdr>
              <w:divsChild>
                <w:div w:id="1901986769">
                  <w:marLeft w:val="0"/>
                  <w:marRight w:val="0"/>
                  <w:marTop w:val="0"/>
                  <w:marBottom w:val="0"/>
                  <w:divBdr>
                    <w:top w:val="none" w:sz="0" w:space="0" w:color="auto"/>
                    <w:left w:val="none" w:sz="0" w:space="0" w:color="auto"/>
                    <w:bottom w:val="none" w:sz="0" w:space="0" w:color="auto"/>
                    <w:right w:val="none" w:sz="0" w:space="0" w:color="auto"/>
                  </w:divBdr>
                  <w:divsChild>
                    <w:div w:id="12157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104656">
      <w:marLeft w:val="0"/>
      <w:marRight w:val="0"/>
      <w:marTop w:val="0"/>
      <w:marBottom w:val="0"/>
      <w:divBdr>
        <w:top w:val="none" w:sz="0" w:space="0" w:color="auto"/>
        <w:left w:val="none" w:sz="0" w:space="0" w:color="auto"/>
        <w:bottom w:val="none" w:sz="0" w:space="0" w:color="auto"/>
        <w:right w:val="none" w:sz="0" w:space="0" w:color="auto"/>
      </w:divBdr>
      <w:divsChild>
        <w:div w:id="1352104659">
          <w:marLeft w:val="0"/>
          <w:marRight w:val="0"/>
          <w:marTop w:val="0"/>
          <w:marBottom w:val="0"/>
          <w:divBdr>
            <w:top w:val="none" w:sz="0" w:space="0" w:color="auto"/>
            <w:left w:val="none" w:sz="0" w:space="0" w:color="auto"/>
            <w:bottom w:val="none" w:sz="0" w:space="0" w:color="auto"/>
            <w:right w:val="none" w:sz="0" w:space="0" w:color="auto"/>
          </w:divBdr>
          <w:divsChild>
            <w:div w:id="1352104661">
              <w:marLeft w:val="0"/>
              <w:marRight w:val="0"/>
              <w:marTop w:val="0"/>
              <w:marBottom w:val="0"/>
              <w:divBdr>
                <w:top w:val="none" w:sz="0" w:space="0" w:color="auto"/>
                <w:left w:val="none" w:sz="0" w:space="0" w:color="auto"/>
                <w:bottom w:val="none" w:sz="0" w:space="0" w:color="auto"/>
                <w:right w:val="none" w:sz="0" w:space="0" w:color="auto"/>
              </w:divBdr>
            </w:div>
          </w:divsChild>
        </w:div>
        <w:div w:id="1352104660">
          <w:marLeft w:val="0"/>
          <w:marRight w:val="0"/>
          <w:marTop w:val="0"/>
          <w:marBottom w:val="0"/>
          <w:divBdr>
            <w:top w:val="none" w:sz="0" w:space="0" w:color="auto"/>
            <w:left w:val="none" w:sz="0" w:space="0" w:color="auto"/>
            <w:bottom w:val="none" w:sz="0" w:space="0" w:color="auto"/>
            <w:right w:val="none" w:sz="0" w:space="0" w:color="auto"/>
          </w:divBdr>
          <w:divsChild>
            <w:div w:id="1352104664">
              <w:marLeft w:val="0"/>
              <w:marRight w:val="0"/>
              <w:marTop w:val="0"/>
              <w:marBottom w:val="0"/>
              <w:divBdr>
                <w:top w:val="none" w:sz="0" w:space="0" w:color="auto"/>
                <w:left w:val="none" w:sz="0" w:space="0" w:color="auto"/>
                <w:bottom w:val="none" w:sz="0" w:space="0" w:color="auto"/>
                <w:right w:val="none" w:sz="0" w:space="0" w:color="auto"/>
              </w:divBdr>
            </w:div>
            <w:div w:id="1352104668">
              <w:marLeft w:val="0"/>
              <w:marRight w:val="0"/>
              <w:marTop w:val="0"/>
              <w:marBottom w:val="0"/>
              <w:divBdr>
                <w:top w:val="none" w:sz="0" w:space="0" w:color="auto"/>
                <w:left w:val="none" w:sz="0" w:space="0" w:color="auto"/>
                <w:bottom w:val="none" w:sz="0" w:space="0" w:color="auto"/>
                <w:right w:val="none" w:sz="0" w:space="0" w:color="auto"/>
              </w:divBdr>
            </w:div>
          </w:divsChild>
        </w:div>
        <w:div w:id="1352104666">
          <w:marLeft w:val="0"/>
          <w:marRight w:val="0"/>
          <w:marTop w:val="0"/>
          <w:marBottom w:val="0"/>
          <w:divBdr>
            <w:top w:val="none" w:sz="0" w:space="0" w:color="auto"/>
            <w:left w:val="none" w:sz="0" w:space="0" w:color="auto"/>
            <w:bottom w:val="none" w:sz="0" w:space="0" w:color="auto"/>
            <w:right w:val="none" w:sz="0" w:space="0" w:color="auto"/>
          </w:divBdr>
        </w:div>
      </w:divsChild>
    </w:div>
    <w:div w:id="1352104657">
      <w:marLeft w:val="0"/>
      <w:marRight w:val="0"/>
      <w:marTop w:val="0"/>
      <w:marBottom w:val="0"/>
      <w:divBdr>
        <w:top w:val="none" w:sz="0" w:space="0" w:color="auto"/>
        <w:left w:val="none" w:sz="0" w:space="0" w:color="auto"/>
        <w:bottom w:val="none" w:sz="0" w:space="0" w:color="auto"/>
        <w:right w:val="none" w:sz="0" w:space="0" w:color="auto"/>
      </w:divBdr>
    </w:div>
    <w:div w:id="1352104662">
      <w:marLeft w:val="0"/>
      <w:marRight w:val="0"/>
      <w:marTop w:val="0"/>
      <w:marBottom w:val="0"/>
      <w:divBdr>
        <w:top w:val="none" w:sz="0" w:space="0" w:color="auto"/>
        <w:left w:val="none" w:sz="0" w:space="0" w:color="auto"/>
        <w:bottom w:val="none" w:sz="0" w:space="0" w:color="auto"/>
        <w:right w:val="none" w:sz="0" w:space="0" w:color="auto"/>
      </w:divBdr>
    </w:div>
    <w:div w:id="1352104663">
      <w:marLeft w:val="0"/>
      <w:marRight w:val="0"/>
      <w:marTop w:val="0"/>
      <w:marBottom w:val="0"/>
      <w:divBdr>
        <w:top w:val="none" w:sz="0" w:space="0" w:color="auto"/>
        <w:left w:val="none" w:sz="0" w:space="0" w:color="auto"/>
        <w:bottom w:val="none" w:sz="0" w:space="0" w:color="auto"/>
        <w:right w:val="none" w:sz="0" w:space="0" w:color="auto"/>
      </w:divBdr>
      <w:divsChild>
        <w:div w:id="1352104658">
          <w:marLeft w:val="0"/>
          <w:marRight w:val="0"/>
          <w:marTop w:val="0"/>
          <w:marBottom w:val="0"/>
          <w:divBdr>
            <w:top w:val="none" w:sz="0" w:space="0" w:color="auto"/>
            <w:left w:val="none" w:sz="0" w:space="0" w:color="auto"/>
            <w:bottom w:val="none" w:sz="0" w:space="0" w:color="auto"/>
            <w:right w:val="none" w:sz="0" w:space="0" w:color="auto"/>
          </w:divBdr>
        </w:div>
      </w:divsChild>
    </w:div>
    <w:div w:id="1352104665">
      <w:marLeft w:val="0"/>
      <w:marRight w:val="0"/>
      <w:marTop w:val="0"/>
      <w:marBottom w:val="0"/>
      <w:divBdr>
        <w:top w:val="none" w:sz="0" w:space="0" w:color="auto"/>
        <w:left w:val="none" w:sz="0" w:space="0" w:color="auto"/>
        <w:bottom w:val="none" w:sz="0" w:space="0" w:color="auto"/>
        <w:right w:val="none" w:sz="0" w:space="0" w:color="auto"/>
      </w:divBdr>
    </w:div>
    <w:div w:id="1352104667">
      <w:marLeft w:val="0"/>
      <w:marRight w:val="0"/>
      <w:marTop w:val="0"/>
      <w:marBottom w:val="0"/>
      <w:divBdr>
        <w:top w:val="none" w:sz="0" w:space="0" w:color="auto"/>
        <w:left w:val="none" w:sz="0" w:space="0" w:color="auto"/>
        <w:bottom w:val="none" w:sz="0" w:space="0" w:color="auto"/>
        <w:right w:val="none" w:sz="0" w:space="0" w:color="auto"/>
      </w:divBdr>
      <w:divsChild>
        <w:div w:id="1352104655">
          <w:marLeft w:val="0"/>
          <w:marRight w:val="0"/>
          <w:marTop w:val="0"/>
          <w:marBottom w:val="0"/>
          <w:divBdr>
            <w:top w:val="none" w:sz="0" w:space="0" w:color="auto"/>
            <w:left w:val="none" w:sz="0" w:space="0" w:color="auto"/>
            <w:bottom w:val="none" w:sz="0" w:space="0" w:color="auto"/>
            <w:right w:val="none" w:sz="0" w:space="0" w:color="auto"/>
          </w:divBdr>
        </w:div>
      </w:divsChild>
    </w:div>
    <w:div w:id="1355233604">
      <w:bodyDiv w:val="1"/>
      <w:marLeft w:val="0"/>
      <w:marRight w:val="0"/>
      <w:marTop w:val="0"/>
      <w:marBottom w:val="0"/>
      <w:divBdr>
        <w:top w:val="none" w:sz="0" w:space="0" w:color="auto"/>
        <w:left w:val="none" w:sz="0" w:space="0" w:color="auto"/>
        <w:bottom w:val="none" w:sz="0" w:space="0" w:color="auto"/>
        <w:right w:val="none" w:sz="0" w:space="0" w:color="auto"/>
      </w:divBdr>
    </w:div>
    <w:div w:id="2096432894">
      <w:bodyDiv w:val="1"/>
      <w:marLeft w:val="0"/>
      <w:marRight w:val="0"/>
      <w:marTop w:val="0"/>
      <w:marBottom w:val="0"/>
      <w:divBdr>
        <w:top w:val="none" w:sz="0" w:space="0" w:color="auto"/>
        <w:left w:val="none" w:sz="0" w:space="0" w:color="auto"/>
        <w:bottom w:val="none" w:sz="0" w:space="0" w:color="auto"/>
        <w:right w:val="none" w:sz="0" w:space="0" w:color="auto"/>
      </w:divBdr>
      <w:divsChild>
        <w:div w:id="1368869156">
          <w:marLeft w:val="0"/>
          <w:marRight w:val="0"/>
          <w:marTop w:val="0"/>
          <w:marBottom w:val="0"/>
          <w:divBdr>
            <w:top w:val="none" w:sz="0" w:space="0" w:color="auto"/>
            <w:left w:val="none" w:sz="0" w:space="0" w:color="auto"/>
            <w:bottom w:val="none" w:sz="0" w:space="0" w:color="auto"/>
            <w:right w:val="none" w:sz="0" w:space="0" w:color="auto"/>
          </w:divBdr>
          <w:divsChild>
            <w:div w:id="348796083">
              <w:marLeft w:val="0"/>
              <w:marRight w:val="0"/>
              <w:marTop w:val="0"/>
              <w:marBottom w:val="0"/>
              <w:divBdr>
                <w:top w:val="none" w:sz="0" w:space="0" w:color="auto"/>
                <w:left w:val="none" w:sz="0" w:space="0" w:color="auto"/>
                <w:bottom w:val="none" w:sz="0" w:space="0" w:color="auto"/>
                <w:right w:val="none" w:sz="0" w:space="0" w:color="auto"/>
              </w:divBdr>
              <w:divsChild>
                <w:div w:id="1152792944">
                  <w:marLeft w:val="0"/>
                  <w:marRight w:val="0"/>
                  <w:marTop w:val="0"/>
                  <w:marBottom w:val="0"/>
                  <w:divBdr>
                    <w:top w:val="none" w:sz="0" w:space="0" w:color="auto"/>
                    <w:left w:val="none" w:sz="0" w:space="0" w:color="auto"/>
                    <w:bottom w:val="none" w:sz="0" w:space="0" w:color="auto"/>
                    <w:right w:val="none" w:sz="0" w:space="0" w:color="auto"/>
                  </w:divBdr>
                  <w:divsChild>
                    <w:div w:id="13310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nshiang@gmail.com" TargetMode="External"/><Relationship Id="rId3" Type="http://schemas.openxmlformats.org/officeDocument/2006/relationships/settings" Target="settings.xml"/><Relationship Id="rId7" Type="http://schemas.openxmlformats.org/officeDocument/2006/relationships/hyperlink" Target="mailto:how.how062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Heading is in sentence case, bold, centred and fourteen point</vt:lpstr>
    </vt:vector>
  </TitlesOfParts>
  <Company>Clinical School Computing Service</Company>
  <LinksUpToDate>false</LinksUpToDate>
  <CharactersWithSpaces>6298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is in sentence case, bold, centred and fourteen point</dc:title>
  <dc:creator>at288</dc:creator>
  <cp:lastModifiedBy>Radha S</cp:lastModifiedBy>
  <cp:revision>2</cp:revision>
  <dcterms:created xsi:type="dcterms:W3CDTF">2021-12-30T08:26:00Z</dcterms:created>
  <dcterms:modified xsi:type="dcterms:W3CDTF">2021-12-30T08:26:00Z</dcterms:modified>
</cp:coreProperties>
</file>