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30C1F1" w14:textId="77777777" w:rsidR="00397E0F" w:rsidRDefault="00397E0F"/>
    <w:p w14:paraId="5F4DDECD" w14:textId="474863FD" w:rsidR="003A52F8" w:rsidRDefault="009B0EFC">
      <w:r>
        <w:rPr>
          <w:noProof/>
          <w:lang w:val="en-IN" w:eastAsia="en-IN"/>
        </w:rPr>
        <w:drawing>
          <wp:inline distT="0" distB="0" distL="0" distR="0" wp14:anchorId="5AE0D67B" wp14:editId="63057DA6">
            <wp:extent cx="5943600" cy="26841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2684145"/>
                    </a:xfrm>
                    <a:prstGeom prst="rect">
                      <a:avLst/>
                    </a:prstGeom>
                    <a:noFill/>
                    <a:ln>
                      <a:noFill/>
                    </a:ln>
                  </pic:spPr>
                </pic:pic>
              </a:graphicData>
            </a:graphic>
          </wp:inline>
        </w:drawing>
      </w:r>
    </w:p>
    <w:p w14:paraId="258FDF5A" w14:textId="69FDD716" w:rsidR="009B0EFC" w:rsidRDefault="009B0EFC" w:rsidP="009B0EFC">
      <w:pPr>
        <w:pStyle w:val="Subtitle"/>
      </w:pPr>
      <w:r>
        <w:t xml:space="preserve">Fig. S1: 2D </w:t>
      </w:r>
      <w:proofErr w:type="spellStart"/>
      <w:r>
        <w:t>poroelastic</w:t>
      </w:r>
      <w:proofErr w:type="spellEnd"/>
      <w:r>
        <w:t xml:space="preserve"> model demonstrates the difference between SAS and ECS fluid exchange during arteriolar </w:t>
      </w:r>
      <w:r w:rsidRPr="009B0EFC">
        <w:rPr>
          <w:rStyle w:val="SubtleEmphasis"/>
          <w:i w:val="0"/>
          <w:iCs w:val="0"/>
          <w:color w:val="000000" w:themeColor="text1"/>
        </w:rPr>
        <w:t>dilation</w:t>
      </w:r>
      <w:r>
        <w:t>.</w:t>
      </w:r>
    </w:p>
    <w:p w14:paraId="4A3148A0" w14:textId="6F47782D" w:rsidR="009B0EFC" w:rsidRDefault="009B0EFC" w:rsidP="009B0EFC">
      <w:r w:rsidRPr="00EE02A2">
        <w:rPr>
          <w:b/>
          <w:bCs/>
        </w:rPr>
        <w:t>a.</w:t>
      </w:r>
      <w:r>
        <w:t xml:space="preserve"> 2D </w:t>
      </w:r>
      <w:proofErr w:type="spellStart"/>
      <w:r>
        <w:t>Poroelastic</w:t>
      </w:r>
      <w:proofErr w:type="spellEnd"/>
      <w:r>
        <w:t xml:space="preserve"> model </w:t>
      </w:r>
      <w:r w:rsidR="00EE02A2">
        <w:t xml:space="preserve">dimensions and boundary conditions. All other parameters were the same as the ones used for the brain tissue in the rest of the article. </w:t>
      </w:r>
      <w:r w:rsidR="00EE02A2" w:rsidRPr="00EE02A2">
        <w:rPr>
          <w:b/>
          <w:bCs/>
        </w:rPr>
        <w:t>b.</w:t>
      </w:r>
      <w:r w:rsidR="00EE02A2">
        <w:t xml:space="preserve"> Flow rate through the right edge has the same waveform as the wall velocity of the left edge for </w:t>
      </w:r>
      <w:r w:rsidR="00F7414C">
        <w:t xml:space="preserve">Case </w:t>
      </w:r>
      <w:r w:rsidR="00EE02A2">
        <w:t xml:space="preserve">1, where a displacement boundary condition was imposed on the left edge along with a no-slip condition. </w:t>
      </w:r>
      <w:r w:rsidR="00EE02A2" w:rsidRPr="00EE02A2">
        <w:rPr>
          <w:b/>
          <w:bCs/>
        </w:rPr>
        <w:t>c.</w:t>
      </w:r>
      <w:r w:rsidR="00EE02A2">
        <w:t xml:space="preserve"> Flow rate through the right edge lags the changes in the pressure-like traction at the left edge for </w:t>
      </w:r>
      <w:r w:rsidR="00F7414C">
        <w:t xml:space="preserve">Case </w:t>
      </w:r>
      <w:r w:rsidR="00EE02A2">
        <w:t xml:space="preserve">2, where a pressure-like traction was applied on the left edge. </w:t>
      </w:r>
    </w:p>
    <w:p w14:paraId="04DE8E2D" w14:textId="4998528C" w:rsidR="00C5513C" w:rsidRDefault="00C5513C" w:rsidP="009B0EFC">
      <w:r>
        <w:t>Case</w:t>
      </w:r>
      <w:r w:rsidR="00F7414C">
        <w:t xml:space="preserve"> </w:t>
      </w:r>
      <w:r>
        <w:t xml:space="preserve">1, where a direct </w:t>
      </w:r>
      <w:r w:rsidR="001C3902">
        <w:t>displacement boundary condition was imposed</w:t>
      </w:r>
      <w:r>
        <w:t xml:space="preserve"> represents flow</w:t>
      </w:r>
      <w:r w:rsidR="001C3902">
        <w:t xml:space="preserve"> </w:t>
      </w:r>
      <w:r>
        <w:t>through the SAS during arteriolar dilation</w:t>
      </w:r>
      <w:r w:rsidR="001C3902">
        <w:t>. Case 2 represents flow through the ECS, where fluid flow is induced by pressure changes in the PVS.</w:t>
      </w:r>
    </w:p>
    <w:p w14:paraId="72C8263C" w14:textId="51773012" w:rsidR="00EE02A2" w:rsidRDefault="00EE02A2" w:rsidP="009B0EFC">
      <w:pPr>
        <w:rPr>
          <w:rFonts w:eastAsiaTheme="minorEastAsia"/>
        </w:rPr>
      </w:pPr>
      <w:r>
        <w:t>Note: The flow</w:t>
      </w:r>
      <w:r w:rsidR="00F7414C">
        <w:t xml:space="preserve"> </w:t>
      </w:r>
      <w:r>
        <w:t xml:space="preserve">rate was calculated by assuming a </w:t>
      </w:r>
      <m:oMath>
        <m:r>
          <w:rPr>
            <w:rFonts w:ascii="Cambria Math" w:hAnsi="Cambria Math"/>
          </w:rPr>
          <m:t>150μm</m:t>
        </m:r>
      </m:oMath>
      <w:r>
        <w:rPr>
          <w:rFonts w:eastAsiaTheme="minorEastAsia"/>
        </w:rPr>
        <w:t xml:space="preserve"> thickness perpendicular to the plane.</w:t>
      </w:r>
    </w:p>
    <w:p w14:paraId="3430C91E" w14:textId="77777777" w:rsidR="00BB4FDD" w:rsidRDefault="001C3902">
      <w:pPr>
        <w:jc w:val="left"/>
        <w:rPr>
          <w:rFonts w:eastAsiaTheme="minorEastAsia"/>
        </w:rPr>
      </w:pPr>
      <w:r>
        <w:rPr>
          <w:rFonts w:eastAsiaTheme="minorEastAsia"/>
        </w:rPr>
        <w:br w:type="page"/>
      </w:r>
      <w:r w:rsidR="00BB4FDD">
        <w:rPr>
          <w:rFonts w:eastAsiaTheme="minorEastAsia"/>
          <w:noProof/>
          <w:lang w:val="en-IN" w:eastAsia="en-IN"/>
        </w:rPr>
        <w:drawing>
          <wp:inline distT="0" distB="0" distL="0" distR="0" wp14:anchorId="0AB9FE7B" wp14:editId="123F1320">
            <wp:extent cx="5943600" cy="55270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5527040"/>
                    </a:xfrm>
                    <a:prstGeom prst="rect">
                      <a:avLst/>
                    </a:prstGeom>
                  </pic:spPr>
                </pic:pic>
              </a:graphicData>
            </a:graphic>
          </wp:inline>
        </w:drawing>
      </w:r>
    </w:p>
    <w:p w14:paraId="0176DA49" w14:textId="20D08775" w:rsidR="00BB4FDD" w:rsidRDefault="00BB4FDD" w:rsidP="00BB4FDD">
      <w:pPr>
        <w:pStyle w:val="Subtitle"/>
      </w:pPr>
      <w:r>
        <w:t>Fig. S2: Filtration velocity for temporally symmetric and asymmetric dilation</w:t>
      </w:r>
      <w:r w:rsidR="003D5DC6">
        <w:t>.</w:t>
      </w:r>
    </w:p>
    <w:p w14:paraId="660C50F2" w14:textId="18DA4668" w:rsidR="00F05A91" w:rsidRDefault="00BB4FDD" w:rsidP="00BB4FDD">
      <w:pPr>
        <w:pStyle w:val="Subtitle"/>
      </w:pPr>
      <w:r>
        <w:t>The pressure and filtration velocity in the PVS and the ECS at the times of maximum radially outward and inward arteriolar wall velocity for symmetric (top) and asymmetric (bottom) dilation. The colors show the pressure value in mmHg and the arrows show the magnitude and direction of the filtration velocity. Fewer rows of arrows were used in the PVS to avoid overlapping arrows. The continuity of filtration velocity across the two regions is best demonstrated by the bottom most row, where the fluid flows more in the radial direction than the axial direction.</w:t>
      </w:r>
    </w:p>
    <w:p w14:paraId="2F48FCEC" w14:textId="65AAEA4C" w:rsidR="001945D4" w:rsidRDefault="001945D4">
      <w:pPr>
        <w:jc w:val="left"/>
      </w:pPr>
      <w:r>
        <w:br w:type="page"/>
      </w:r>
    </w:p>
    <w:p w14:paraId="3BD11E0D" w14:textId="77777777" w:rsidR="00D6082D" w:rsidRDefault="001945D4" w:rsidP="00D6082D">
      <w:pPr>
        <w:pStyle w:val="Subtitle"/>
      </w:pPr>
      <w:r>
        <w:rPr>
          <w:noProof/>
          <w:lang w:val="en-IN" w:eastAsia="en-IN"/>
        </w:rPr>
        <w:drawing>
          <wp:inline distT="0" distB="0" distL="0" distR="0" wp14:anchorId="404EC724" wp14:editId="54AC01A4">
            <wp:extent cx="5924550" cy="369668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940165" cy="3706425"/>
                    </a:xfrm>
                    <a:prstGeom prst="rect">
                      <a:avLst/>
                    </a:prstGeom>
                    <a:noFill/>
                    <a:ln>
                      <a:noFill/>
                    </a:ln>
                  </pic:spPr>
                </pic:pic>
              </a:graphicData>
            </a:graphic>
          </wp:inline>
        </w:drawing>
      </w:r>
    </w:p>
    <w:p w14:paraId="68EB53D4" w14:textId="083787FE" w:rsidR="001945D4" w:rsidRDefault="00D6082D" w:rsidP="00D6082D">
      <w:pPr>
        <w:pStyle w:val="Subtitle"/>
      </w:pPr>
      <w:r>
        <w:t xml:space="preserve">Fig. </w:t>
      </w:r>
      <w:r w:rsidR="00F7414C">
        <w:t>S3</w:t>
      </w:r>
      <w:r>
        <w:t xml:space="preserve">: Dilation of the brain tissue in the model at the PVS-ECS interface in the radial direction </w:t>
      </w:r>
      <w:r w:rsidRPr="00D6082D">
        <w:rPr>
          <w:b/>
          <w:bCs/>
        </w:rPr>
        <w:t>b-c</w:t>
      </w:r>
      <w:r>
        <w:t xml:space="preserve"> and in the vertical direction </w:t>
      </w:r>
      <w:r w:rsidRPr="00D6082D">
        <w:rPr>
          <w:b/>
          <w:bCs/>
        </w:rPr>
        <w:t>e-f.</w:t>
      </w:r>
      <w:r>
        <w:t xml:space="preserve"> The three locations where the displacement was calculated is shown in </w:t>
      </w:r>
      <w:r w:rsidRPr="00D6082D">
        <w:rPr>
          <w:b/>
          <w:bCs/>
        </w:rPr>
        <w:t>a.</w:t>
      </w:r>
      <w:r w:rsidR="00652A54">
        <w:rPr>
          <w:b/>
          <w:bCs/>
        </w:rPr>
        <w:t xml:space="preserve"> </w:t>
      </w:r>
      <w:r w:rsidR="00652A54" w:rsidRPr="00652A54">
        <w:t>The blue line in all the subplots is the arteriolar wall dilation in the radial direction.</w:t>
      </w:r>
      <w:r w:rsidR="00652A54">
        <w:rPr>
          <w:b/>
          <w:bCs/>
        </w:rPr>
        <w:t xml:space="preserve"> </w:t>
      </w:r>
      <w:r w:rsidR="001945D4">
        <w:br w:type="page"/>
      </w:r>
    </w:p>
    <w:p w14:paraId="2F0C4E3C" w14:textId="15B4FD27" w:rsidR="001945D4" w:rsidRDefault="003661E9">
      <w:pPr>
        <w:jc w:val="left"/>
      </w:pPr>
      <w:r>
        <w:rPr>
          <w:noProof/>
          <w:lang w:val="en-IN" w:eastAsia="en-IN"/>
        </w:rPr>
        <w:drawing>
          <wp:inline distT="0" distB="0" distL="0" distR="0" wp14:anchorId="5B6075B1" wp14:editId="085BCDAA">
            <wp:extent cx="5943600" cy="4509770"/>
            <wp:effectExtent l="0" t="0" r="0" b="0"/>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509770"/>
                    </a:xfrm>
                    <a:prstGeom prst="rect">
                      <a:avLst/>
                    </a:prstGeom>
                  </pic:spPr>
                </pic:pic>
              </a:graphicData>
            </a:graphic>
          </wp:inline>
        </w:drawing>
      </w:r>
    </w:p>
    <w:p w14:paraId="03AE327D" w14:textId="5568D9EA" w:rsidR="009E680B" w:rsidRDefault="00F05A91" w:rsidP="00BB4FDD">
      <w:pPr>
        <w:pStyle w:val="Subtitle"/>
      </w:pPr>
      <w:r>
        <w:t>Fig. S</w:t>
      </w:r>
      <w:r w:rsidR="00387533">
        <w:t>4</w:t>
      </w:r>
      <w:r>
        <w:t>: Directional fluid flow</w:t>
      </w:r>
      <w:r w:rsidR="00F7414C">
        <w:t xml:space="preserve"> from the PVS</w:t>
      </w:r>
      <w:r>
        <w:t xml:space="preserve"> into the ECS </w:t>
      </w:r>
      <w:r w:rsidR="009E680B">
        <w:t xml:space="preserve">driven </w:t>
      </w:r>
      <w:r>
        <w:t xml:space="preserve">by vasodilation is not an artifact of the </w:t>
      </w:r>
      <w:r w:rsidR="009E680B">
        <w:t>imposed pressure difference across the SAS</w:t>
      </w:r>
    </w:p>
    <w:p w14:paraId="68BE87CB" w14:textId="5F3454E4" w:rsidR="00BB4FDD" w:rsidRDefault="009E680B" w:rsidP="00BB4FDD">
      <w:pPr>
        <w:pStyle w:val="Subtitle"/>
      </w:pPr>
      <w:r>
        <w:t>The simulations with the asymmetric vasodilation (bottom part of Fig.</w:t>
      </w:r>
      <w:r w:rsidR="00B95A7D">
        <w:t> </w:t>
      </w:r>
      <w:r>
        <w:t>3) were repeated with a smaller pressure difference</w:t>
      </w:r>
      <w:r w:rsidR="008756DE">
        <w:t xml:space="preserve"> </w:t>
      </w:r>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=0.001</m:t>
        </m:r>
        <m:r>
          <m:rPr>
            <m:sty m:val="p"/>
          </m:rPr>
          <w:rPr>
            <w:rFonts w:ascii="Cambria Math" w:hAnsi="Cambria Math"/>
          </w:rPr>
          <m:t> </m:t>
        </m:r>
        <m:r>
          <m:rPr>
            <m:nor/>
          </m:rPr>
          <w:rPr>
            <w:rFonts w:ascii="Cambria Math" w:hAnsi="Cambria Math"/>
          </w:rPr>
          <m:t>mmHg</m:t>
        </m:r>
      </m:oMath>
      <w:r w:rsidR="008756DE">
        <w:t xml:space="preserve"> ac</w:t>
      </w:r>
      <w:r>
        <w:t>ross the SAS</w:t>
      </w:r>
      <w:r w:rsidR="0056415A">
        <w:t xml:space="preserve"> (</w:t>
      </w:r>
      <w:r w:rsidR="0056415A" w:rsidRPr="00A3475F">
        <w:rPr>
          <w:b/>
          <w:bCs/>
        </w:rPr>
        <w:t>a</w:t>
      </w:r>
      <w:r w:rsidR="0056415A" w:rsidRPr="0056415A">
        <w:t>–</w:t>
      </w:r>
      <w:r w:rsidR="0056415A" w:rsidRPr="00A3475F">
        <w:rPr>
          <w:b/>
          <w:bCs/>
        </w:rPr>
        <w:t>c</w:t>
      </w:r>
      <w:r w:rsidR="0056415A">
        <w:t>)</w:t>
      </w:r>
      <w:r>
        <w:t xml:space="preserve">. </w:t>
      </w:r>
      <w:r w:rsidR="00751A04">
        <w:t>In (a) we report the plot of the radial Peclet number at the PVS–ECS interface, with</w:t>
      </w:r>
      <w:r w:rsidR="00D147E2">
        <w:t xml:space="preserve"> </w:t>
      </w:r>
      <w:r w:rsidR="00751A04">
        <w:t>t</w:t>
      </w:r>
      <w:r>
        <w:t xml:space="preserve">he radial </w:t>
      </w:r>
      <w:proofErr w:type="spellStart"/>
      <w:r>
        <w:t>Peclet</w:t>
      </w:r>
      <w:proofErr w:type="spellEnd"/>
      <w:r>
        <w:t xml:space="preserve"> number averaged over 10s of simulation with a single 5-second-long vasodilation event</w:t>
      </w:r>
      <w:r w:rsidR="00751A04">
        <w:t>. The plot in (</w:t>
      </w:r>
      <w:r w:rsidR="00751A04" w:rsidRPr="00A3475F">
        <w:rPr>
          <w:b/>
          <w:bCs/>
        </w:rPr>
        <w:t>a</w:t>
      </w:r>
      <w:r w:rsidR="00751A04">
        <w:t xml:space="preserve">) points to the fact </w:t>
      </w:r>
      <w:r>
        <w:t>that directional fluid flow driven by the temporally asymmetric waveform of functional hyperemia is not an artifact of t</w:t>
      </w:r>
      <w:r w:rsidR="00D328BC">
        <w:t xml:space="preserve">he fluid flow in the </w:t>
      </w:r>
      <w:r w:rsidR="00D328BC" w:rsidRPr="007F59A2">
        <w:t>SAS.</w:t>
      </w:r>
      <w:r w:rsidR="00E96862">
        <w:t xml:space="preserve"> </w:t>
      </w:r>
      <w:r w:rsidR="00D328BC" w:rsidRPr="007F59A2">
        <w:t>T</w:t>
      </w:r>
      <w:r w:rsidR="007F59A2" w:rsidRPr="007F59A2">
        <w:t xml:space="preserve">his is confirmed by </w:t>
      </w:r>
      <w:r w:rsidR="007F59A2">
        <w:t xml:space="preserve">examining the PVS fluid position </w:t>
      </w:r>
      <w:r w:rsidR="007F59A2" w:rsidRPr="007F59A2">
        <w:rPr>
          <w:b/>
          <w:bCs/>
        </w:rPr>
        <w:t>(b)</w:t>
      </w:r>
      <w:r w:rsidR="007F59A2">
        <w:t xml:space="preserve"> and trajectories </w:t>
      </w:r>
      <w:r w:rsidR="007F59A2" w:rsidRPr="007F59A2">
        <w:rPr>
          <w:b/>
          <w:bCs/>
        </w:rPr>
        <w:t>(c)</w:t>
      </w:r>
      <w:r w:rsidR="007F59A2">
        <w:t xml:space="preserve"> in a </w:t>
      </w:r>
      <w:r w:rsidR="007F59A2" w:rsidRPr="007F59A2">
        <w:t>particle tracking simulation</w:t>
      </w:r>
      <w:r w:rsidR="007F59A2">
        <w:t xml:space="preserve"> performed for 60s, where a single vasodilation event is</w:t>
      </w:r>
      <w:r w:rsidR="007F59A2" w:rsidRPr="007F59A2">
        <w:t xml:space="preserve"> repeated once every 10s.</w:t>
      </w:r>
      <w:r w:rsidR="0056415A">
        <w:t xml:space="preserve"> To </w:t>
      </w:r>
      <w:r w:rsidR="007174CB">
        <w:t>reinforce our claim more strongly</w:t>
      </w:r>
      <w:r w:rsidR="00751A04">
        <w:t xml:space="preserve">, and to </w:t>
      </w:r>
      <w:r w:rsidR="0056415A">
        <w:t>facilitate a comparison with the results in Fig. 3, (</w:t>
      </w:r>
      <w:r w:rsidR="0056415A" w:rsidRPr="00A3475F">
        <w:rPr>
          <w:b/>
          <w:bCs/>
        </w:rPr>
        <w:t>e</w:t>
      </w:r>
      <w:r w:rsidR="0056415A">
        <w:t xml:space="preserve">) </w:t>
      </w:r>
      <w:r w:rsidR="00DD76BE" w:rsidRPr="00DD76BE">
        <w:t xml:space="preserve">reports the averaged axial velocity for both the cases when </w:t>
      </w:r>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=0.001</m:t>
        </m:r>
        <m:r>
          <m:rPr>
            <m:sty m:val="p"/>
          </m:rPr>
          <w:rPr>
            <w:rFonts w:ascii="Cambria Math" w:hAnsi="Cambria Math"/>
          </w:rPr>
          <m:t> </m:t>
        </m:r>
        <m:r>
          <m:rPr>
            <m:nor/>
          </m:rPr>
          <w:rPr>
            <w:rFonts w:ascii="Cambria Math" w:hAnsi="Cambria Math"/>
          </w:rPr>
          <m:t>mmHg</m:t>
        </m:r>
      </m:oMath>
      <w:r w:rsidR="00DD76BE">
        <w:t xml:space="preserve"> </w:t>
      </w:r>
      <w:r w:rsidR="00DD76BE" w:rsidRPr="00DD76BE">
        <w:t xml:space="preserve">(solid lines) and </w:t>
      </w:r>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=0.01</m:t>
        </m:r>
        <m:r>
          <m:rPr>
            <m:sty m:val="p"/>
          </m:rPr>
          <w:rPr>
            <w:rFonts w:ascii="Cambria Math" w:hAnsi="Cambria Math"/>
          </w:rPr>
          <m:t> </m:t>
        </m:r>
        <m:r>
          <m:rPr>
            <m:nor/>
          </m:rPr>
          <w:rPr>
            <w:rFonts w:ascii="Cambria Math" w:hAnsi="Cambria Math"/>
          </w:rPr>
          <m:t>mmHg</m:t>
        </m:r>
      </m:oMath>
      <w:r w:rsidR="00DD76BE">
        <w:t xml:space="preserve"> </w:t>
      </w:r>
      <w:r w:rsidR="00DD76BE" w:rsidRPr="00DD76BE">
        <w:t>(d</w:t>
      </w:r>
      <w:r w:rsidR="00214470">
        <w:t>ashed</w:t>
      </w:r>
      <w:r w:rsidR="00DD76BE" w:rsidRPr="00DD76BE">
        <w:t xml:space="preserve"> lines) computed at the three cross-sections indicated in (</w:t>
      </w:r>
      <w:r w:rsidR="00DD76BE" w:rsidRPr="00A3475F">
        <w:rPr>
          <w:b/>
          <w:bCs/>
        </w:rPr>
        <w:t>d</w:t>
      </w:r>
      <w:r w:rsidR="00DD76BE" w:rsidRPr="00DD76BE">
        <w:t>). The two cases overlap</w:t>
      </w:r>
      <w:r w:rsidR="00D23DCB">
        <w:t xml:space="preserve"> substantially </w:t>
      </w:r>
      <w:r w:rsidR="00DD76BE" w:rsidRPr="00DD76BE">
        <w:t>at this resolution.  For this reason, the magnitude of the difference of the averaged axial velocity in the two pressure conditions has been plotted in (</w:t>
      </w:r>
      <w:r w:rsidR="00DD76BE" w:rsidRPr="00A3475F">
        <w:rPr>
          <w:b/>
          <w:bCs/>
        </w:rPr>
        <w:t>f</w:t>
      </w:r>
      <w:r w:rsidR="00DD76BE" w:rsidRPr="00DD76BE">
        <w:t>), which shows that th</w:t>
      </w:r>
      <w:r w:rsidR="00D030F3">
        <w:t>is</w:t>
      </w:r>
      <w:r w:rsidR="00DD76BE" w:rsidRPr="00DD76BE">
        <w:t xml:space="preserve"> difference is on the order of nm/s, thus further substantiating the claim that the directional flow in the PVS into the ECS driven by vasodilation is not an artifact of the pressure difference across the SAS. We note that the results in (</w:t>
      </w:r>
      <w:r w:rsidR="00DD76BE" w:rsidRPr="00A3475F">
        <w:rPr>
          <w:b/>
          <w:bCs/>
        </w:rPr>
        <w:t>e</w:t>
      </w:r>
      <w:r w:rsidR="00DD76BE" w:rsidRPr="00DD76BE">
        <w:t>) are reported Fig. S8 for the two cases separately.</w:t>
      </w:r>
      <w:r w:rsidR="00BB4FDD">
        <w:br w:type="page"/>
      </w:r>
    </w:p>
    <w:p w14:paraId="79F34FA6" w14:textId="5258E719" w:rsidR="001C3902" w:rsidRDefault="001C3902" w:rsidP="009B0EFC">
      <w:r>
        <w:rPr>
          <w:noProof/>
          <w:lang w:val="en-IN" w:eastAsia="en-IN"/>
        </w:rPr>
        <w:drawing>
          <wp:inline distT="0" distB="0" distL="0" distR="0" wp14:anchorId="71147152" wp14:editId="2B9C03F4">
            <wp:extent cx="5943432" cy="2624455"/>
            <wp:effectExtent l="0" t="0" r="63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43432" cy="2624455"/>
                    </a:xfrm>
                    <a:prstGeom prst="rect">
                      <a:avLst/>
                    </a:prstGeom>
                    <a:noFill/>
                    <a:ln>
                      <a:noFill/>
                    </a:ln>
                  </pic:spPr>
                </pic:pic>
              </a:graphicData>
            </a:graphic>
          </wp:inline>
        </w:drawing>
      </w:r>
    </w:p>
    <w:p w14:paraId="37A69E12" w14:textId="11367C26" w:rsidR="001C3902" w:rsidRDefault="001C3902" w:rsidP="001C3902">
      <w:pPr>
        <w:pStyle w:val="Subtitle"/>
      </w:pPr>
      <w:r>
        <w:t>Fig. S</w:t>
      </w:r>
      <w:r w:rsidR="00387533">
        <w:t>5</w:t>
      </w:r>
      <w:r>
        <w:t xml:space="preserve">: </w:t>
      </w:r>
      <w:r w:rsidR="00237900">
        <w:t>PVS fluid penetration into the ECS increases with increased brain fluid permeability (</w:t>
      </w:r>
      <m:oMath>
        <m:sSubSup>
          <m:sSubSupPr>
            <m:ctrlPr>
              <w:rPr>
                <w:rFonts w:ascii="Cambria Math" w:hAnsi="Cambria Math"/>
                <w:i/>
              </w:rPr>
            </m:ctrlPr>
          </m:sSubSupPr>
          <m:e>
            <m:r>
              <w:rPr>
                <w:rFonts w:ascii="Cambria Math" w:hAnsi="Cambria Math"/>
              </w:rPr>
              <m:t>k</m:t>
            </m:r>
          </m:e>
          <m:sub>
            <m:r>
              <w:rPr>
                <w:rFonts w:ascii="Cambria Math" w:hAnsi="Cambria Math"/>
              </w:rPr>
              <m:t>s</m:t>
            </m:r>
          </m:sub>
          <m:sup>
            <m:r>
              <w:rPr>
                <w:rFonts w:ascii="Cambria Math" w:hAnsi="Cambria Math"/>
              </w:rPr>
              <m:t>2</m:t>
            </m:r>
          </m:sup>
        </m:sSubSup>
      </m:oMath>
      <w:r w:rsidR="00237900">
        <w:t>).</w:t>
      </w:r>
    </w:p>
    <w:p w14:paraId="7FE6822C" w14:textId="2CF066B2" w:rsidR="000C4D11" w:rsidRDefault="00237900" w:rsidP="00237900">
      <w:pPr>
        <w:rPr>
          <w:rFonts w:eastAsiaTheme="minorEastAsia"/>
          <w:color w:val="000000" w:themeColor="text1"/>
          <w:spacing w:val="15"/>
        </w:rPr>
      </w:pPr>
      <w:r w:rsidRPr="000C4D11">
        <w:rPr>
          <w:b/>
          <w:bCs/>
        </w:rPr>
        <w:t>a.</w:t>
      </w:r>
      <w:r>
        <w:t xml:space="preserve"> PVS Fluid distribution at the end of a 60 second fluid particle tracking simulation. The fluid exchanged with ECS (magenta) increases with increased permeability, while fluid exchanged with SAS (blue) decreases. </w:t>
      </w:r>
      <w:r w:rsidRPr="000C4D11">
        <w:rPr>
          <w:b/>
          <w:bCs/>
        </w:rPr>
        <w:t>b.</w:t>
      </w:r>
      <w:r>
        <w:t xml:space="preserve"> and </w:t>
      </w:r>
      <w:r w:rsidRPr="000C4D11">
        <w:rPr>
          <w:b/>
          <w:bCs/>
        </w:rPr>
        <w:t>c.</w:t>
      </w:r>
      <w:r>
        <w:t xml:space="preserve"> Show the fluid distribution during the 60 seconds for </w:t>
      </w:r>
      <m:oMath>
        <m:sSubSup>
          <m:sSubSupPr>
            <m:ctrlPr>
              <w:rPr>
                <w:rFonts w:ascii="Cambria Math" w:eastAsiaTheme="minorEastAsia" w:hAnsi="Cambria Math"/>
                <w:i/>
                <w:color w:val="000000" w:themeColor="text1"/>
                <w:spacing w:val="15"/>
              </w:rPr>
            </m:ctrlPr>
          </m:sSubSupPr>
          <m:e>
            <m:r>
              <w:rPr>
                <w:rFonts w:ascii="Cambria Math" w:hAnsi="Cambria Math"/>
              </w:rPr>
              <m:t>k</m:t>
            </m:r>
          </m:e>
          <m:sub>
            <m:r>
              <w:rPr>
                <w:rFonts w:ascii="Cambria Math" w:hAnsi="Cambria Math"/>
              </w:rPr>
              <m:t>s</m:t>
            </m:r>
          </m:sub>
          <m:sup>
            <m:r>
              <w:rPr>
                <w:rFonts w:ascii="Cambria Math" w:hAnsi="Cambria Math"/>
              </w:rPr>
              <m:t>2</m:t>
            </m:r>
          </m:sup>
        </m:sSubSup>
        <m:r>
          <w:rPr>
            <w:rFonts w:ascii="Cambria Math" w:eastAsiaTheme="minorEastAsia" w:hAnsi="Cambria Math"/>
            <w:color w:val="000000" w:themeColor="text1"/>
            <w:spacing w:val="15"/>
          </w:rPr>
          <m:t>=0.5 ×</m:t>
        </m:r>
        <m:sSup>
          <m:sSupPr>
            <m:ctrlPr>
              <w:rPr>
                <w:rFonts w:ascii="Cambria Math" w:eastAsiaTheme="minorEastAsia" w:hAnsi="Cambria Math"/>
                <w:i/>
                <w:color w:val="000000" w:themeColor="text1"/>
                <w:spacing w:val="15"/>
              </w:rPr>
            </m:ctrlPr>
          </m:sSupPr>
          <m:e>
            <m:r>
              <w:rPr>
                <w:rFonts w:ascii="Cambria Math" w:eastAsiaTheme="minorEastAsia" w:hAnsi="Cambria Math"/>
                <w:color w:val="000000" w:themeColor="text1"/>
                <w:spacing w:val="15"/>
              </w:rPr>
              <m:t>10</m:t>
            </m:r>
          </m:e>
          <m:sup>
            <m:r>
              <w:rPr>
                <w:rFonts w:ascii="Cambria Math" w:eastAsiaTheme="minorEastAsia" w:hAnsi="Cambria Math"/>
                <w:color w:val="000000" w:themeColor="text1"/>
                <w:spacing w:val="15"/>
              </w:rPr>
              <m:t>-15</m:t>
            </m:r>
          </m:sup>
        </m:sSup>
        <m:sSup>
          <m:sSupPr>
            <m:ctrlPr>
              <w:rPr>
                <w:rFonts w:ascii="Cambria Math" w:eastAsiaTheme="minorEastAsia" w:hAnsi="Cambria Math"/>
                <w:i/>
                <w:color w:val="000000" w:themeColor="text1"/>
                <w:spacing w:val="15"/>
              </w:rPr>
            </m:ctrlPr>
          </m:sSupPr>
          <m:e>
            <m:r>
              <w:rPr>
                <w:rFonts w:ascii="Cambria Math" w:eastAsiaTheme="minorEastAsia" w:hAnsi="Cambria Math"/>
                <w:color w:val="000000" w:themeColor="text1"/>
                <w:spacing w:val="15"/>
              </w:rPr>
              <m:t>m</m:t>
            </m:r>
          </m:e>
          <m:sup>
            <m:r>
              <w:rPr>
                <w:rFonts w:ascii="Cambria Math" w:eastAsiaTheme="minorEastAsia" w:hAnsi="Cambria Math"/>
                <w:color w:val="000000" w:themeColor="text1"/>
                <w:spacing w:val="15"/>
              </w:rPr>
              <m:t>2</m:t>
            </m:r>
          </m:sup>
        </m:sSup>
      </m:oMath>
      <w:r w:rsidR="00753688">
        <w:rPr>
          <w:rFonts w:eastAsiaTheme="minorEastAsia"/>
          <w:color w:val="000000" w:themeColor="text1"/>
          <w:spacing w:val="15"/>
        </w:rPr>
        <w:t xml:space="preserve"> and </w:t>
      </w:r>
      <m:oMath>
        <m:sSubSup>
          <m:sSubSupPr>
            <m:ctrlPr>
              <w:rPr>
                <w:rFonts w:ascii="Cambria Math" w:eastAsiaTheme="minorEastAsia" w:hAnsi="Cambria Math"/>
                <w:i/>
                <w:color w:val="000000" w:themeColor="text1"/>
                <w:spacing w:val="15"/>
              </w:rPr>
            </m:ctrlPr>
          </m:sSubSupPr>
          <m:e>
            <m:r>
              <w:rPr>
                <w:rFonts w:ascii="Cambria Math" w:hAnsi="Cambria Math"/>
              </w:rPr>
              <m:t>k</m:t>
            </m:r>
          </m:e>
          <m:sub>
            <m:r>
              <w:rPr>
                <w:rFonts w:ascii="Cambria Math" w:hAnsi="Cambria Math"/>
              </w:rPr>
              <m:t>s</m:t>
            </m:r>
          </m:sub>
          <m:sup>
            <m:r>
              <w:rPr>
                <w:rFonts w:ascii="Cambria Math" w:hAnsi="Cambria Math"/>
              </w:rPr>
              <m:t>2</m:t>
            </m:r>
          </m:sup>
        </m:sSubSup>
        <m:r>
          <w:rPr>
            <w:rFonts w:ascii="Cambria Math" w:eastAsiaTheme="minorEastAsia" w:hAnsi="Cambria Math"/>
            <w:color w:val="000000" w:themeColor="text1"/>
            <w:spacing w:val="15"/>
          </w:rPr>
          <m:t>=8.0 ×</m:t>
        </m:r>
        <m:sSup>
          <m:sSupPr>
            <m:ctrlPr>
              <w:rPr>
                <w:rFonts w:ascii="Cambria Math" w:eastAsiaTheme="minorEastAsia" w:hAnsi="Cambria Math"/>
                <w:i/>
                <w:color w:val="000000" w:themeColor="text1"/>
                <w:spacing w:val="15"/>
              </w:rPr>
            </m:ctrlPr>
          </m:sSupPr>
          <m:e>
            <m:r>
              <w:rPr>
                <w:rFonts w:ascii="Cambria Math" w:eastAsiaTheme="minorEastAsia" w:hAnsi="Cambria Math"/>
                <w:color w:val="000000" w:themeColor="text1"/>
                <w:spacing w:val="15"/>
              </w:rPr>
              <m:t>10</m:t>
            </m:r>
          </m:e>
          <m:sup>
            <m:r>
              <w:rPr>
                <w:rFonts w:ascii="Cambria Math" w:eastAsiaTheme="minorEastAsia" w:hAnsi="Cambria Math"/>
                <w:color w:val="000000" w:themeColor="text1"/>
                <w:spacing w:val="15"/>
              </w:rPr>
              <m:t>-15</m:t>
            </m:r>
          </m:sup>
        </m:sSup>
        <m:sSup>
          <m:sSupPr>
            <m:ctrlPr>
              <w:rPr>
                <w:rFonts w:ascii="Cambria Math" w:eastAsiaTheme="minorEastAsia" w:hAnsi="Cambria Math"/>
                <w:i/>
                <w:color w:val="000000" w:themeColor="text1"/>
                <w:spacing w:val="15"/>
              </w:rPr>
            </m:ctrlPr>
          </m:sSupPr>
          <m:e>
            <m:r>
              <w:rPr>
                <w:rFonts w:ascii="Cambria Math" w:eastAsiaTheme="minorEastAsia" w:hAnsi="Cambria Math"/>
                <w:color w:val="000000" w:themeColor="text1"/>
                <w:spacing w:val="15"/>
              </w:rPr>
              <m:t>m</m:t>
            </m:r>
          </m:e>
          <m:sup>
            <m:r>
              <w:rPr>
                <w:rFonts w:ascii="Cambria Math" w:eastAsiaTheme="minorEastAsia" w:hAnsi="Cambria Math"/>
                <w:color w:val="000000" w:themeColor="text1"/>
                <w:spacing w:val="15"/>
              </w:rPr>
              <m:t>2</m:t>
            </m:r>
          </m:sup>
        </m:sSup>
      </m:oMath>
      <w:r w:rsidR="00753688">
        <w:rPr>
          <w:rFonts w:eastAsiaTheme="minorEastAsia"/>
          <w:color w:val="000000" w:themeColor="text1"/>
          <w:spacing w:val="15"/>
        </w:rPr>
        <w:t xml:space="preserve"> respectively.</w:t>
      </w:r>
    </w:p>
    <w:p w14:paraId="1DA087B1" w14:textId="77777777" w:rsidR="000C4D11" w:rsidRDefault="000C4D11">
      <w:pPr>
        <w:jc w:val="left"/>
        <w:rPr>
          <w:rFonts w:eastAsiaTheme="minorEastAsia"/>
          <w:color w:val="000000" w:themeColor="text1"/>
          <w:spacing w:val="15"/>
        </w:rPr>
      </w:pPr>
      <w:r>
        <w:rPr>
          <w:rFonts w:eastAsiaTheme="minorEastAsia"/>
          <w:color w:val="000000" w:themeColor="text1"/>
          <w:spacing w:val="15"/>
        </w:rPr>
        <w:br w:type="page"/>
      </w:r>
    </w:p>
    <w:p w14:paraId="58B182B6" w14:textId="3C8CB962" w:rsidR="00237900" w:rsidRDefault="000C4D11" w:rsidP="00237900">
      <w:r>
        <w:rPr>
          <w:noProof/>
          <w:lang w:val="en-IN" w:eastAsia="en-IN"/>
        </w:rPr>
        <w:drawing>
          <wp:inline distT="0" distB="0" distL="0" distR="0" wp14:anchorId="2D5B46A5" wp14:editId="57B9A6FF">
            <wp:extent cx="5942541" cy="309118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942541" cy="3091180"/>
                    </a:xfrm>
                    <a:prstGeom prst="rect">
                      <a:avLst/>
                    </a:prstGeom>
                    <a:noFill/>
                    <a:ln>
                      <a:noFill/>
                    </a:ln>
                  </pic:spPr>
                </pic:pic>
              </a:graphicData>
            </a:graphic>
          </wp:inline>
        </w:drawing>
      </w:r>
    </w:p>
    <w:p w14:paraId="7DB0C0C3" w14:textId="6D61D31A" w:rsidR="000C4D11" w:rsidRDefault="000C4D11" w:rsidP="00237900">
      <w:r>
        <w:t>Fig. S</w:t>
      </w:r>
      <w:r w:rsidR="00387533">
        <w:t>6</w:t>
      </w:r>
      <w:r>
        <w:t>: PVS fluid penetration into the ECS is higher for low frequency vasodilation.</w:t>
      </w:r>
    </w:p>
    <w:p w14:paraId="4B7A3E3E" w14:textId="2B2729EB" w:rsidR="00B8075A" w:rsidRDefault="000C4D11" w:rsidP="00B8075A">
      <w:pPr>
        <w:rPr>
          <w:rFonts w:eastAsiaTheme="minorEastAsia"/>
          <w:color w:val="000000" w:themeColor="text1"/>
          <w:spacing w:val="15"/>
        </w:rPr>
      </w:pPr>
      <w:r>
        <w:t xml:space="preserve">a. </w:t>
      </w:r>
      <w:r w:rsidR="004A0582">
        <w:t xml:space="preserve">The arteriolar dilation waveform showing the dilation time. One dilation event was used for 10 seconds of simulation. b. PVS Fluid distribution at the end of a 60 second fluid particle tracking simulation. The fluid exchanged with ECS (magenta) is higher for slower dilation, while fluid exchanged with SAS (blue) </w:t>
      </w:r>
      <w:r w:rsidR="00B8075A">
        <w:t>does not change appreciably with dilation frequency</w:t>
      </w:r>
      <w:r w:rsidR="004A0582">
        <w:t>.</w:t>
      </w:r>
      <w:r w:rsidR="00B8075A">
        <w:t xml:space="preserve"> </w:t>
      </w:r>
      <w:r w:rsidR="00B8075A">
        <w:rPr>
          <w:b/>
          <w:bCs/>
        </w:rPr>
        <w:t>c</w:t>
      </w:r>
      <w:r w:rsidR="00B8075A" w:rsidRPr="000C4D11">
        <w:rPr>
          <w:b/>
          <w:bCs/>
        </w:rPr>
        <w:t>.</w:t>
      </w:r>
      <w:r w:rsidR="00B8075A">
        <w:t xml:space="preserve"> and </w:t>
      </w:r>
      <w:r w:rsidR="00B8075A">
        <w:rPr>
          <w:b/>
          <w:bCs/>
        </w:rPr>
        <w:t>d</w:t>
      </w:r>
      <w:r w:rsidR="00B8075A" w:rsidRPr="000C4D11">
        <w:rPr>
          <w:b/>
          <w:bCs/>
        </w:rPr>
        <w:t>.</w:t>
      </w:r>
      <w:r w:rsidR="00B8075A">
        <w:t xml:space="preserve"> Show the fluid distribution during the 60 seconds for dilation time of 0.625s and 10s respectively</w:t>
      </w:r>
      <w:r w:rsidR="00B8075A">
        <w:rPr>
          <w:rFonts w:eastAsiaTheme="minorEastAsia"/>
          <w:color w:val="000000" w:themeColor="text1"/>
          <w:spacing w:val="15"/>
        </w:rPr>
        <w:t>.</w:t>
      </w:r>
    </w:p>
    <w:p w14:paraId="251D827C" w14:textId="716FB791" w:rsidR="002017F4" w:rsidRDefault="002017F4">
      <w:pPr>
        <w:jc w:val="left"/>
      </w:pPr>
      <w:r>
        <w:br w:type="page"/>
      </w:r>
    </w:p>
    <w:p w14:paraId="65E23B32" w14:textId="7FD3085E" w:rsidR="000C4D11" w:rsidRDefault="002017F4" w:rsidP="00237900">
      <w:r>
        <w:rPr>
          <w:noProof/>
          <w:lang w:val="en-IN" w:eastAsia="en-IN"/>
        </w:rPr>
        <w:drawing>
          <wp:inline distT="0" distB="0" distL="0" distR="0" wp14:anchorId="66786103" wp14:editId="7F274669">
            <wp:extent cx="5711713" cy="4131944"/>
            <wp:effectExtent l="0" t="0" r="381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1713" cy="4131944"/>
                    </a:xfrm>
                    <a:prstGeom prst="rect">
                      <a:avLst/>
                    </a:prstGeom>
                  </pic:spPr>
                </pic:pic>
              </a:graphicData>
            </a:graphic>
          </wp:inline>
        </w:drawing>
      </w:r>
    </w:p>
    <w:p w14:paraId="5DF4F31C" w14:textId="4A753A8D" w:rsidR="002017F4" w:rsidRDefault="002017F4" w:rsidP="002017F4">
      <w:pPr>
        <w:pStyle w:val="Subtitle"/>
      </w:pPr>
      <w:r>
        <w:t>Fig S</w:t>
      </w:r>
      <w:r w:rsidR="00387533">
        <w:t>7</w:t>
      </w:r>
      <w:r>
        <w:t>: The area under the dilation curve, not the maximum dilation amplitude</w:t>
      </w:r>
      <w:r w:rsidR="00F7414C">
        <w:t>,</w:t>
      </w:r>
      <w:r>
        <w:t xml:space="preserve"> is an indicator of </w:t>
      </w:r>
      <w:r w:rsidR="00EF0530">
        <w:t xml:space="preserve">directional </w:t>
      </w:r>
      <w:r>
        <w:t xml:space="preserve">PVS fluid </w:t>
      </w:r>
      <w:r w:rsidR="00EF0530">
        <w:t>flows</w:t>
      </w:r>
      <w:r>
        <w:t xml:space="preserve"> </w:t>
      </w:r>
      <w:r w:rsidR="00EF0530">
        <w:t>into</w:t>
      </w:r>
      <w:r>
        <w:t xml:space="preserve"> the ECS.</w:t>
      </w:r>
    </w:p>
    <w:p w14:paraId="0CC80315" w14:textId="663D99E1" w:rsidR="002017F4" w:rsidRDefault="002017F4" w:rsidP="002017F4">
      <w:pPr>
        <w:pStyle w:val="Subtitle"/>
        <w:numPr>
          <w:ilvl w:val="0"/>
          <w:numId w:val="0"/>
        </w:numPr>
      </w:pPr>
      <w:r w:rsidRPr="00EF0530">
        <w:rPr>
          <w:b/>
          <w:bCs/>
        </w:rPr>
        <w:t>a.</w:t>
      </w:r>
      <w:r>
        <w:t xml:space="preserve"> and </w:t>
      </w:r>
      <w:r w:rsidRPr="00EF0530">
        <w:rPr>
          <w:b/>
          <w:bCs/>
        </w:rPr>
        <w:t>b.</w:t>
      </w:r>
      <w:r>
        <w:t xml:space="preserve"> show that the maximum time-averaged radial Peclet number (</w:t>
      </w:r>
      <m:oMath>
        <m:sSub>
          <m:sSubPr>
            <m:ctrlPr>
              <w:rPr>
                <w:rFonts w:ascii="Cambria Math" w:hAnsi="Cambria Math"/>
                <w:i/>
              </w:rPr>
            </m:ctrlPr>
          </m:sSubPr>
          <m:e>
            <m:r>
              <w:rPr>
                <w:rFonts w:ascii="Cambria Math" w:hAnsi="Cambria Math"/>
              </w:rPr>
              <m:t>Pe</m:t>
            </m:r>
          </m:e>
          <m:sub>
            <m:r>
              <w:rPr>
                <w:rFonts w:ascii="Cambria Math" w:hAnsi="Cambria Math"/>
              </w:rPr>
              <m:t>r</m:t>
            </m:r>
          </m:sub>
        </m:sSub>
      </m:oMath>
      <w:r>
        <w:t>) and PVS fluid exchanged with the ECS (over 60 seconds with one dilation per 10 seconds), which are</w:t>
      </w:r>
      <w:r w:rsidR="00EF0530">
        <w:t xml:space="preserve"> measures of directional PVS fluid flow into the ECS, are appreciably affected by the on the waveform of the vasodilation for the same peak dilation value. </w:t>
      </w:r>
    </w:p>
    <w:p w14:paraId="64452886" w14:textId="77D634E5" w:rsidR="00EF0530" w:rsidRPr="00EF0530" w:rsidRDefault="00EF0530" w:rsidP="00EF0530">
      <w:pPr>
        <w:pStyle w:val="Subtitle"/>
      </w:pPr>
      <w:r w:rsidRPr="00EF0530">
        <w:rPr>
          <w:b/>
          <w:bCs/>
        </w:rPr>
        <w:t>c.</w:t>
      </w:r>
      <w:r>
        <w:t xml:space="preserve"> and </w:t>
      </w:r>
      <w:r w:rsidRPr="00EF0530">
        <w:rPr>
          <w:b/>
          <w:bCs/>
        </w:rPr>
        <w:t>d.</w:t>
      </w:r>
      <w:r>
        <w:t xml:space="preserve"> show that the directional PVS fluid flow into the ECS is not appreciably affected by the waveform, when the area under the dilation curve is kept the same. </w:t>
      </w:r>
    </w:p>
    <w:p w14:paraId="1F7A8341" w14:textId="5CBC514F" w:rsidR="002017F4" w:rsidRDefault="00160CA8" w:rsidP="002017F4">
      <w:r>
        <w:rPr>
          <w:noProof/>
          <w:lang w:val="en-IN" w:eastAsia="en-IN"/>
        </w:rPr>
        <w:drawing>
          <wp:inline distT="0" distB="0" distL="0" distR="0" wp14:anchorId="35E7A12A" wp14:editId="7241974D">
            <wp:extent cx="5943600" cy="2466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14:paraId="28B03357" w14:textId="0D4B03E6" w:rsidR="00160CA8" w:rsidRDefault="00160CA8" w:rsidP="00160CA8">
      <w:pPr>
        <w:pStyle w:val="Subtitle"/>
      </w:pPr>
      <w:bookmarkStart w:id="0" w:name="_GoBack"/>
      <w:r>
        <w:t xml:space="preserve">Fig S8: The spatial-average axial fluid velocity and Reynolds number at different depths in the model for </w:t>
      </w:r>
      <w:r w:rsidRPr="00403FED">
        <w:rPr>
          <w:b/>
          <w:bCs/>
        </w:rPr>
        <w:t>(b)</w:t>
      </w:r>
      <w:r>
        <w:t xml:space="preserve"> 20% asymmetric dilation with default parameters,</w:t>
      </w:r>
      <w:r w:rsidRPr="00403FED">
        <w:rPr>
          <w:b/>
          <w:bCs/>
        </w:rPr>
        <w:t xml:space="preserve"> (c)</w:t>
      </w:r>
      <w:r>
        <w:t xml:space="preserve"> 20% asymmetric dilation with a small (0.001 mmHg) pressure difference across the SAS</w:t>
      </w:r>
      <w:r w:rsidR="00403FED">
        <w:t xml:space="preserve">, </w:t>
      </w:r>
      <w:r w:rsidR="00403FED" w:rsidRPr="00403FED">
        <w:rPr>
          <w:b/>
          <w:bCs/>
        </w:rPr>
        <w:t>(d)</w:t>
      </w:r>
      <w:r w:rsidR="00403FED">
        <w:t xml:space="preserve"> 20% symmetric dilation with default parameters and </w:t>
      </w:r>
      <w:r w:rsidR="00403FED" w:rsidRPr="00403FED">
        <w:rPr>
          <w:b/>
          <w:bCs/>
        </w:rPr>
        <w:t>(e)</w:t>
      </w:r>
      <w:r w:rsidR="00403FED">
        <w:t xml:space="preserve"> 40% dilation with simulated sleep state (increased ECS permeability and porosity). Negative values indicate flow in the negative-z direction and into the PVS, in the direction of blood flow. </w:t>
      </w:r>
      <w:r w:rsidR="00403FED" w:rsidRPr="00403FED">
        <w:rPr>
          <w:b/>
          <w:bCs/>
        </w:rPr>
        <w:t>(a)</w:t>
      </w:r>
      <w:r w:rsidR="00403FED">
        <w:t xml:space="preserve"> shows the cross sections where the average velocity was calculated</w:t>
      </w:r>
      <w:bookmarkEnd w:id="0"/>
      <w:r w:rsidR="00403FED">
        <w:t>.</w:t>
      </w:r>
    </w:p>
    <w:p w14:paraId="3F88354A" w14:textId="77777777" w:rsidR="00160CA8" w:rsidRPr="002017F4" w:rsidRDefault="00160CA8" w:rsidP="002017F4"/>
    <w:sectPr w:rsidR="00160CA8" w:rsidRPr="002017F4" w:rsidSect="009B0EFC">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F43D41"/>
    <w:multiLevelType w:val="hybridMultilevel"/>
    <w:tmpl w:val="936E78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0D62AA"/>
    <w:multiLevelType w:val="hybridMultilevel"/>
    <w:tmpl w:val="30B4CA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EFC"/>
    <w:rsid w:val="000C4D11"/>
    <w:rsid w:val="00160CA8"/>
    <w:rsid w:val="001945D4"/>
    <w:rsid w:val="001C3902"/>
    <w:rsid w:val="002017F4"/>
    <w:rsid w:val="00210DC4"/>
    <w:rsid w:val="00214470"/>
    <w:rsid w:val="00237900"/>
    <w:rsid w:val="002902DC"/>
    <w:rsid w:val="002A1015"/>
    <w:rsid w:val="002A2959"/>
    <w:rsid w:val="003661E9"/>
    <w:rsid w:val="00387533"/>
    <w:rsid w:val="00397E0F"/>
    <w:rsid w:val="003A0B2E"/>
    <w:rsid w:val="003A52F8"/>
    <w:rsid w:val="003B478A"/>
    <w:rsid w:val="003D5DC6"/>
    <w:rsid w:val="00403FED"/>
    <w:rsid w:val="0047130A"/>
    <w:rsid w:val="004A0582"/>
    <w:rsid w:val="004B0D5F"/>
    <w:rsid w:val="004B523B"/>
    <w:rsid w:val="0056415A"/>
    <w:rsid w:val="00584D61"/>
    <w:rsid w:val="00652A54"/>
    <w:rsid w:val="006F0095"/>
    <w:rsid w:val="007174CB"/>
    <w:rsid w:val="00751A04"/>
    <w:rsid w:val="00753688"/>
    <w:rsid w:val="007F59A2"/>
    <w:rsid w:val="008756DE"/>
    <w:rsid w:val="008E01DC"/>
    <w:rsid w:val="0090189B"/>
    <w:rsid w:val="009B0EFC"/>
    <w:rsid w:val="009E680B"/>
    <w:rsid w:val="00A3475F"/>
    <w:rsid w:val="00B8075A"/>
    <w:rsid w:val="00B92E40"/>
    <w:rsid w:val="00B95A7D"/>
    <w:rsid w:val="00BB4FDD"/>
    <w:rsid w:val="00BF3B5F"/>
    <w:rsid w:val="00C1336D"/>
    <w:rsid w:val="00C35E30"/>
    <w:rsid w:val="00C5513C"/>
    <w:rsid w:val="00D027A5"/>
    <w:rsid w:val="00D030F3"/>
    <w:rsid w:val="00D1217A"/>
    <w:rsid w:val="00D147E2"/>
    <w:rsid w:val="00D23DCB"/>
    <w:rsid w:val="00D328BC"/>
    <w:rsid w:val="00D6082D"/>
    <w:rsid w:val="00DD76BE"/>
    <w:rsid w:val="00E04DF2"/>
    <w:rsid w:val="00E50C21"/>
    <w:rsid w:val="00E96862"/>
    <w:rsid w:val="00EE02A2"/>
    <w:rsid w:val="00EF0530"/>
    <w:rsid w:val="00F05A91"/>
    <w:rsid w:val="00F56933"/>
    <w:rsid w:val="00F74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67BBD"/>
  <w15:chartTrackingRefBased/>
  <w15:docId w15:val="{3B3513EC-679E-4299-B34B-27B84F79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17A"/>
    <w:pPr>
      <w:jc w:val="both"/>
    </w:pPr>
    <w:rPr>
      <w:rFonts w:ascii="Arial" w:hAnsi="Arial"/>
    </w:rPr>
  </w:style>
  <w:style w:type="paragraph" w:styleId="Heading2">
    <w:name w:val="heading 2"/>
    <w:basedOn w:val="Normal"/>
    <w:next w:val="Normal"/>
    <w:link w:val="Heading2Char"/>
    <w:autoRedefine/>
    <w:uiPriority w:val="9"/>
    <w:unhideWhenUsed/>
    <w:qFormat/>
    <w:rsid w:val="00D1217A"/>
    <w:pPr>
      <w:keepNext/>
      <w:keepLines/>
      <w:spacing w:before="40" w:after="0" w:line="360" w:lineRule="auto"/>
      <w:jc w:val="center"/>
      <w:outlineLvl w:val="1"/>
    </w:pPr>
    <w:rPr>
      <w:rFonts w:ascii="Times New Roman" w:eastAsiaTheme="majorEastAsia" w:hAnsi="Times New Roman" w:cstheme="majorBidi"/>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217A"/>
    <w:rPr>
      <w:rFonts w:ascii="Times New Roman" w:eastAsiaTheme="majorEastAsia" w:hAnsi="Times New Roman" w:cstheme="majorBidi"/>
      <w:sz w:val="28"/>
      <w:szCs w:val="26"/>
    </w:rPr>
  </w:style>
  <w:style w:type="character" w:styleId="LineNumber">
    <w:name w:val="line number"/>
    <w:basedOn w:val="DefaultParagraphFont"/>
    <w:uiPriority w:val="99"/>
    <w:semiHidden/>
    <w:unhideWhenUsed/>
    <w:rsid w:val="009B0EFC"/>
  </w:style>
  <w:style w:type="character" w:styleId="SubtleEmphasis">
    <w:name w:val="Subtle Emphasis"/>
    <w:basedOn w:val="DefaultParagraphFont"/>
    <w:uiPriority w:val="19"/>
    <w:qFormat/>
    <w:rsid w:val="009B0EFC"/>
    <w:rPr>
      <w:i/>
      <w:iCs/>
      <w:color w:val="404040" w:themeColor="text1" w:themeTint="BF"/>
    </w:rPr>
  </w:style>
  <w:style w:type="paragraph" w:styleId="Subtitle">
    <w:name w:val="Subtitle"/>
    <w:basedOn w:val="Normal"/>
    <w:next w:val="Normal"/>
    <w:link w:val="SubtitleChar"/>
    <w:uiPriority w:val="11"/>
    <w:qFormat/>
    <w:rsid w:val="009B0EFC"/>
    <w:pPr>
      <w:numPr>
        <w:ilvl w:val="1"/>
      </w:numPr>
      <w:spacing w:line="240" w:lineRule="auto"/>
    </w:pPr>
    <w:rPr>
      <w:rFonts w:eastAsiaTheme="minorEastAsia"/>
      <w:color w:val="000000" w:themeColor="text1"/>
      <w:spacing w:val="15"/>
    </w:rPr>
  </w:style>
  <w:style w:type="character" w:customStyle="1" w:styleId="SubtitleChar">
    <w:name w:val="Subtitle Char"/>
    <w:basedOn w:val="DefaultParagraphFont"/>
    <w:link w:val="Subtitle"/>
    <w:uiPriority w:val="11"/>
    <w:rsid w:val="009B0EFC"/>
    <w:rPr>
      <w:rFonts w:ascii="Arial" w:eastAsiaTheme="minorEastAsia" w:hAnsi="Arial"/>
      <w:color w:val="000000" w:themeColor="text1"/>
      <w:spacing w:val="15"/>
    </w:rPr>
  </w:style>
  <w:style w:type="paragraph" w:styleId="ListParagraph">
    <w:name w:val="List Paragraph"/>
    <w:basedOn w:val="Normal"/>
    <w:uiPriority w:val="34"/>
    <w:qFormat/>
    <w:rsid w:val="009B0EFC"/>
    <w:pPr>
      <w:ind w:left="720"/>
      <w:contextualSpacing/>
    </w:pPr>
  </w:style>
  <w:style w:type="character" w:styleId="PlaceholderText">
    <w:name w:val="Placeholder Text"/>
    <w:basedOn w:val="DefaultParagraphFont"/>
    <w:uiPriority w:val="99"/>
    <w:semiHidden/>
    <w:rsid w:val="00EE02A2"/>
    <w:rPr>
      <w:color w:val="808080"/>
    </w:rPr>
  </w:style>
  <w:style w:type="paragraph" w:styleId="Revision">
    <w:name w:val="Revision"/>
    <w:hidden/>
    <w:uiPriority w:val="99"/>
    <w:semiHidden/>
    <w:rsid w:val="00E96862"/>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Kedarasetti</dc:creator>
  <cp:keywords/>
  <dc:description/>
  <cp:lastModifiedBy>Poornima Thiruvudaiselvi</cp:lastModifiedBy>
  <cp:revision>17</cp:revision>
  <dcterms:created xsi:type="dcterms:W3CDTF">2021-12-18T22:00:00Z</dcterms:created>
  <dcterms:modified xsi:type="dcterms:W3CDTF">2022-04-07T17:39:00Z</dcterms:modified>
</cp:coreProperties>
</file>