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D5EFF" w14:textId="5B4735C0" w:rsidR="00DA3758" w:rsidRPr="006411E6" w:rsidRDefault="00DA3758">
      <w:pPr>
        <w:widowControl/>
        <w:jc w:val="left"/>
        <w:rPr>
          <w:rFonts w:ascii="Times New Roman" w:hAnsi="Times New Roman" w:cs="Times New Roman"/>
          <w:sz w:val="24"/>
        </w:rPr>
      </w:pPr>
    </w:p>
    <w:p w14:paraId="1F794C7A" w14:textId="0C312836" w:rsidR="00DA3758" w:rsidRPr="0048243A" w:rsidRDefault="00DA3758" w:rsidP="006411E6">
      <w:pPr>
        <w:spacing w:line="360" w:lineRule="auto"/>
        <w:rPr>
          <w:rFonts w:ascii="Arial" w:hAnsi="Arial" w:cs="Arial"/>
          <w:color w:val="000000" w:themeColor="text1"/>
          <w:sz w:val="24"/>
        </w:rPr>
      </w:pPr>
      <w:bookmarkStart w:id="0" w:name="_Hlk67494008"/>
      <w:r w:rsidRPr="0048243A">
        <w:rPr>
          <w:rFonts w:ascii="Arial" w:eastAsia="Yu Mincho" w:hAnsi="Arial" w:cs="Arial"/>
          <w:b/>
          <w:bCs/>
          <w:color w:val="000000" w:themeColor="text1"/>
          <w:sz w:val="24"/>
          <w:lang w:eastAsia="ja-JP"/>
        </w:rPr>
        <w:t>T</w:t>
      </w:r>
      <w:r w:rsidRPr="0048243A">
        <w:rPr>
          <w:rFonts w:ascii="Arial" w:hAnsi="Arial" w:cs="Arial"/>
          <w:b/>
          <w:bCs/>
          <w:color w:val="000000" w:themeColor="text1"/>
          <w:sz w:val="24"/>
        </w:rPr>
        <w:t xml:space="preserve">able </w:t>
      </w:r>
      <w:r w:rsidR="00EB1892">
        <w:rPr>
          <w:rFonts w:ascii="Arial" w:hAnsi="Arial" w:cs="Arial"/>
          <w:b/>
          <w:bCs/>
          <w:color w:val="000000" w:themeColor="text1"/>
          <w:sz w:val="24"/>
        </w:rPr>
        <w:t>S</w:t>
      </w:r>
      <w:r w:rsidRPr="0048243A">
        <w:rPr>
          <w:rFonts w:ascii="Arial" w:hAnsi="Arial" w:cs="Arial"/>
          <w:b/>
          <w:bCs/>
          <w:color w:val="000000" w:themeColor="text1"/>
          <w:sz w:val="24"/>
        </w:rPr>
        <w:t>1. Copy number variations</w:t>
      </w:r>
    </w:p>
    <w:bookmarkEnd w:id="0"/>
    <w:tbl>
      <w:tblPr>
        <w:tblStyle w:val="61"/>
        <w:tblW w:w="5000" w:type="pct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429"/>
        <w:gridCol w:w="764"/>
        <w:gridCol w:w="153"/>
        <w:gridCol w:w="1069"/>
        <w:gridCol w:w="1396"/>
        <w:gridCol w:w="132"/>
        <w:gridCol w:w="1376"/>
      </w:tblGrid>
      <w:tr w:rsidR="00DA3758" w:rsidRPr="0048243A" w14:paraId="7F16CC47" w14:textId="77777777" w:rsidTr="00C1136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B77A849" w14:textId="77777777" w:rsidR="00DA3758" w:rsidRPr="0048243A" w:rsidRDefault="00DA3758" w:rsidP="00584DA0">
            <w:pPr>
              <w:ind w:rightChars="-163" w:right="-342"/>
              <w:jc w:val="left"/>
              <w:rPr>
                <w:rFonts w:ascii="Arial" w:eastAsia="MS UI Gothic" w:hAnsi="Arial" w:cs="Arial"/>
                <w:color w:val="000000" w:themeColor="text1"/>
              </w:rPr>
            </w:pPr>
          </w:p>
        </w:tc>
        <w:tc>
          <w:tcPr>
            <w:tcW w:w="2429" w:type="dxa"/>
            <w:shd w:val="clear" w:color="auto" w:fill="auto"/>
          </w:tcPr>
          <w:p w14:paraId="087FA255" w14:textId="77777777" w:rsidR="00DA3758" w:rsidRPr="0048243A" w:rsidRDefault="00DA3758" w:rsidP="00584DA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917" w:type="dxa"/>
            <w:gridSpan w:val="2"/>
            <w:shd w:val="clear" w:color="auto" w:fill="auto"/>
          </w:tcPr>
          <w:p w14:paraId="238357FE" w14:textId="77777777" w:rsidR="00DA3758" w:rsidRPr="0048243A" w:rsidRDefault="00DA3758" w:rsidP="00584DA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1069" w:type="dxa"/>
            <w:shd w:val="clear" w:color="auto" w:fill="auto"/>
          </w:tcPr>
          <w:p w14:paraId="00D37F33" w14:textId="77777777" w:rsidR="00DA3758" w:rsidRPr="0048243A" w:rsidRDefault="00DA3758" w:rsidP="00584DA0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 w:val="0"/>
                <w:bCs w:val="0"/>
                <w:color w:val="000000" w:themeColor="text1"/>
              </w:rPr>
            </w:pPr>
          </w:p>
        </w:tc>
        <w:tc>
          <w:tcPr>
            <w:tcW w:w="290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14:paraId="4CC3656C" w14:textId="77777777" w:rsidR="00DA3758" w:rsidRPr="0048243A" w:rsidRDefault="00DA3758" w:rsidP="00584DA0">
            <w:pPr>
              <w:ind w:firstLineChars="50" w:firstLine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CNV frequency</w:t>
            </w:r>
          </w:p>
        </w:tc>
      </w:tr>
      <w:tr w:rsidR="00DA3758" w:rsidRPr="0048243A" w14:paraId="3ECDCFB9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28A7C89D" w14:textId="77777777" w:rsidR="00DA3758" w:rsidRPr="0048243A" w:rsidRDefault="00DA3758" w:rsidP="00584DA0">
            <w:pPr>
              <w:ind w:rightChars="-163" w:right="-342"/>
              <w:jc w:val="left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Gene name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shd w:val="clear" w:color="auto" w:fill="auto"/>
          </w:tcPr>
          <w:p w14:paraId="47C7FC96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Full name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</w:tcPr>
          <w:p w14:paraId="5E31E041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Chr.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A750EAE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CNV type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7C106B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H-Tx (-) (n=8)</w:t>
            </w:r>
          </w:p>
        </w:tc>
        <w:tc>
          <w:tcPr>
            <w:tcW w:w="15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032BB510" w14:textId="77777777" w:rsidR="00DA3758" w:rsidRPr="0048243A" w:rsidRDefault="00DA3758" w:rsidP="00C1136B">
            <w:pPr>
              <w:ind w:leftChars="50" w:left="105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H-Tx (+) (n=4)</w:t>
            </w:r>
          </w:p>
        </w:tc>
      </w:tr>
      <w:tr w:rsidR="00DA3758" w:rsidRPr="0048243A" w14:paraId="645D94BF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</w:tcBorders>
            <w:shd w:val="clear" w:color="auto" w:fill="FFFFFF"/>
          </w:tcPr>
          <w:p w14:paraId="78A6CCCA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Hbb</w:t>
            </w:r>
            <w:proofErr w:type="spellEnd"/>
          </w:p>
        </w:tc>
        <w:tc>
          <w:tcPr>
            <w:tcW w:w="2429" w:type="dxa"/>
            <w:tcBorders>
              <w:top w:val="single" w:sz="4" w:space="0" w:color="auto"/>
            </w:tcBorders>
            <w:shd w:val="clear" w:color="auto" w:fill="FFFFFF"/>
          </w:tcPr>
          <w:p w14:paraId="320B576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Hemoglobin subunit beta</w:t>
            </w:r>
          </w:p>
        </w:tc>
        <w:tc>
          <w:tcPr>
            <w:tcW w:w="764" w:type="dxa"/>
            <w:tcBorders>
              <w:top w:val="single" w:sz="4" w:space="0" w:color="auto"/>
            </w:tcBorders>
            <w:shd w:val="clear" w:color="auto" w:fill="FFFFFF"/>
          </w:tcPr>
          <w:p w14:paraId="78249AD3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</w:t>
            </w:r>
          </w:p>
        </w:tc>
        <w:tc>
          <w:tcPr>
            <w:tcW w:w="1222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14:paraId="2F548864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590121F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1B81F9E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224784CA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75203E32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Pde10a</w:t>
            </w:r>
          </w:p>
        </w:tc>
        <w:tc>
          <w:tcPr>
            <w:tcW w:w="2429" w:type="dxa"/>
            <w:shd w:val="clear" w:color="auto" w:fill="FFFFFF"/>
          </w:tcPr>
          <w:p w14:paraId="70FF0A0F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Phosphodiesterase 10A</w:t>
            </w:r>
          </w:p>
        </w:tc>
        <w:tc>
          <w:tcPr>
            <w:tcW w:w="764" w:type="dxa"/>
            <w:shd w:val="clear" w:color="auto" w:fill="FFFFFF"/>
          </w:tcPr>
          <w:p w14:paraId="0331D21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2954B051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30FCDA9C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6F5B7294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611D0097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2CBDF7F3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Sult2a2</w:t>
            </w:r>
          </w:p>
        </w:tc>
        <w:tc>
          <w:tcPr>
            <w:tcW w:w="2429" w:type="dxa"/>
            <w:shd w:val="clear" w:color="auto" w:fill="FFFFFF"/>
          </w:tcPr>
          <w:p w14:paraId="0EDDF27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Sulfotransferase family 2A, dehydroepiandrosterone (DHEA)-preferring, member 2</w:t>
            </w:r>
          </w:p>
        </w:tc>
        <w:tc>
          <w:tcPr>
            <w:tcW w:w="764" w:type="dxa"/>
            <w:shd w:val="clear" w:color="auto" w:fill="FFFFFF"/>
          </w:tcPr>
          <w:p w14:paraId="73AB296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086119E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102BB4E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77C87AD4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4E141E60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30AC7826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Sult2a1</w:t>
            </w:r>
          </w:p>
        </w:tc>
        <w:tc>
          <w:tcPr>
            <w:tcW w:w="2429" w:type="dxa"/>
            <w:shd w:val="clear" w:color="auto" w:fill="FFFFFF"/>
          </w:tcPr>
          <w:p w14:paraId="638A14BB" w14:textId="776F9CDC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Sulfotransferase family 2A member1</w:t>
            </w:r>
          </w:p>
        </w:tc>
        <w:tc>
          <w:tcPr>
            <w:tcW w:w="764" w:type="dxa"/>
            <w:shd w:val="clear" w:color="auto" w:fill="FFFFFF"/>
          </w:tcPr>
          <w:p w14:paraId="434A3C5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11FA0A30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40657D7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108B60FA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5DCF3845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74DE349E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Vom2r31</w:t>
            </w:r>
          </w:p>
        </w:tc>
        <w:tc>
          <w:tcPr>
            <w:tcW w:w="2429" w:type="dxa"/>
            <w:shd w:val="clear" w:color="auto" w:fill="FFFFFF"/>
          </w:tcPr>
          <w:p w14:paraId="0B95993F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Vomeronasal 2 receptor, 31</w:t>
            </w:r>
          </w:p>
        </w:tc>
        <w:tc>
          <w:tcPr>
            <w:tcW w:w="764" w:type="dxa"/>
            <w:shd w:val="clear" w:color="auto" w:fill="FFFFFF"/>
          </w:tcPr>
          <w:p w14:paraId="0524C581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EB9A181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6275C22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5AA74357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79328FFC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71AE9CD5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Fam111a</w:t>
            </w:r>
          </w:p>
        </w:tc>
        <w:tc>
          <w:tcPr>
            <w:tcW w:w="2429" w:type="dxa"/>
            <w:shd w:val="clear" w:color="auto" w:fill="FFFFFF"/>
          </w:tcPr>
          <w:p w14:paraId="52C39B8D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FAM111 trypsin like peptidase A</w:t>
            </w:r>
          </w:p>
        </w:tc>
        <w:tc>
          <w:tcPr>
            <w:tcW w:w="764" w:type="dxa"/>
            <w:shd w:val="clear" w:color="auto" w:fill="FFFFFF"/>
          </w:tcPr>
          <w:p w14:paraId="353359F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0E0E7E1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5D073441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786C98E5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6FF0D03A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31844480" w14:textId="2806CAB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Aldh1a7</w:t>
            </w:r>
          </w:p>
        </w:tc>
        <w:tc>
          <w:tcPr>
            <w:tcW w:w="2429" w:type="dxa"/>
            <w:shd w:val="clear" w:color="auto" w:fill="FFFFFF"/>
          </w:tcPr>
          <w:p w14:paraId="3A44AE2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Aldehyde dehydrogenase family 1, subfamily A7</w:t>
            </w:r>
          </w:p>
        </w:tc>
        <w:tc>
          <w:tcPr>
            <w:tcW w:w="764" w:type="dxa"/>
            <w:shd w:val="clear" w:color="auto" w:fill="FFFFFF"/>
          </w:tcPr>
          <w:p w14:paraId="77DADFB8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22C57AD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0D06AAF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53DA11F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426C0487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04713F8E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RGD1309403 (Proser1)</w:t>
            </w:r>
          </w:p>
        </w:tc>
        <w:tc>
          <w:tcPr>
            <w:tcW w:w="2429" w:type="dxa"/>
            <w:shd w:val="clear" w:color="auto" w:fill="FFFFFF"/>
          </w:tcPr>
          <w:p w14:paraId="079FCF14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Proline and serine rich 1</w:t>
            </w:r>
          </w:p>
        </w:tc>
        <w:tc>
          <w:tcPr>
            <w:tcW w:w="764" w:type="dxa"/>
            <w:shd w:val="clear" w:color="auto" w:fill="FFFFFF"/>
          </w:tcPr>
          <w:p w14:paraId="18D7F75A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3038FD4E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155A695D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7 (87.5%)</w:t>
            </w:r>
          </w:p>
        </w:tc>
        <w:tc>
          <w:tcPr>
            <w:tcW w:w="1376" w:type="dxa"/>
            <w:shd w:val="clear" w:color="auto" w:fill="FFFFFF"/>
          </w:tcPr>
          <w:p w14:paraId="4888C7F6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3 (75%)</w:t>
            </w:r>
          </w:p>
        </w:tc>
      </w:tr>
      <w:tr w:rsidR="00DA3758" w:rsidRPr="0048243A" w14:paraId="4FE3873D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44F698EB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Yu Mincho" w:hAnsi="Arial" w:cs="Arial"/>
                <w:i/>
                <w:iCs/>
                <w:color w:val="000000" w:themeColor="text1"/>
                <w:shd w:val="clear" w:color="auto" w:fill="FFFFFF"/>
              </w:rPr>
              <w:t>Schip1</w:t>
            </w:r>
          </w:p>
        </w:tc>
        <w:tc>
          <w:tcPr>
            <w:tcW w:w="2429" w:type="dxa"/>
            <w:shd w:val="clear" w:color="auto" w:fill="FFFFFF"/>
          </w:tcPr>
          <w:p w14:paraId="43553C1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Schwannomin</w:t>
            </w:r>
            <w:proofErr w:type="spellEnd"/>
            <w:r w:rsidRPr="0048243A">
              <w:rPr>
                <w:rFonts w:ascii="Arial" w:eastAsia="MS UI Gothic" w:hAnsi="Arial" w:cs="Arial"/>
                <w:color w:val="000000" w:themeColor="text1"/>
              </w:rPr>
              <w:t xml:space="preserve"> interacting protein 1</w:t>
            </w:r>
          </w:p>
        </w:tc>
        <w:tc>
          <w:tcPr>
            <w:tcW w:w="764" w:type="dxa"/>
            <w:shd w:val="clear" w:color="auto" w:fill="FFFFFF"/>
          </w:tcPr>
          <w:p w14:paraId="37EF64E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75FF8367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6661062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6 (75%)</w:t>
            </w:r>
          </w:p>
        </w:tc>
        <w:tc>
          <w:tcPr>
            <w:tcW w:w="1376" w:type="dxa"/>
            <w:shd w:val="clear" w:color="auto" w:fill="FFFFFF"/>
          </w:tcPr>
          <w:p w14:paraId="3336944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3 (75%)</w:t>
            </w:r>
          </w:p>
        </w:tc>
      </w:tr>
      <w:tr w:rsidR="00DA3758" w:rsidRPr="0048243A" w14:paraId="2FB81342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66C81D61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Ppp3ca</w:t>
            </w:r>
          </w:p>
        </w:tc>
        <w:tc>
          <w:tcPr>
            <w:tcW w:w="2429" w:type="dxa"/>
            <w:shd w:val="clear" w:color="auto" w:fill="FFFFFF"/>
          </w:tcPr>
          <w:p w14:paraId="261BF37F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Protein phosphatase 3 catalytic subunit alpha</w:t>
            </w:r>
          </w:p>
        </w:tc>
        <w:tc>
          <w:tcPr>
            <w:tcW w:w="764" w:type="dxa"/>
            <w:shd w:val="clear" w:color="auto" w:fill="FFFFFF"/>
          </w:tcPr>
          <w:p w14:paraId="1959202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0B329FC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30277C11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75CF608E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7BA07232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43C7A591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bookmarkStart w:id="1" w:name="_Hlk67494065"/>
            <w:proofErr w:type="spellStart"/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Emcn</w:t>
            </w:r>
            <w:proofErr w:type="spellEnd"/>
          </w:p>
        </w:tc>
        <w:tc>
          <w:tcPr>
            <w:tcW w:w="2429" w:type="dxa"/>
            <w:shd w:val="clear" w:color="auto" w:fill="FFFFFF"/>
          </w:tcPr>
          <w:p w14:paraId="5D27764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Endomucin</w:t>
            </w:r>
            <w:proofErr w:type="spellEnd"/>
          </w:p>
        </w:tc>
        <w:tc>
          <w:tcPr>
            <w:tcW w:w="764" w:type="dxa"/>
            <w:shd w:val="clear" w:color="auto" w:fill="FFFFFF"/>
          </w:tcPr>
          <w:p w14:paraId="4DF264E1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714DDB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268A5E0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shd w:val="clear" w:color="auto" w:fill="FFFFFF"/>
          </w:tcPr>
          <w:p w14:paraId="2545A38F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(25%)</w:t>
            </w:r>
          </w:p>
        </w:tc>
      </w:tr>
      <w:tr w:rsidR="00DA3758" w:rsidRPr="0048243A" w14:paraId="01045E9A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5549F2C8" w14:textId="77777777" w:rsidR="00DA3758" w:rsidRPr="0048243A" w:rsidRDefault="00DA3758" w:rsidP="00584DA0">
            <w:pPr>
              <w:jc w:val="left"/>
              <w:rPr>
                <w:rFonts w:ascii="Arial" w:eastAsia="Yu Mincho" w:hAnsi="Arial" w:cs="Arial"/>
                <w:i/>
                <w:iCs/>
                <w:color w:val="000000" w:themeColor="text1"/>
              </w:rPr>
            </w:pPr>
            <w:proofErr w:type="spellStart"/>
            <w:r w:rsidRPr="0048243A">
              <w:rPr>
                <w:rFonts w:ascii="Arial" w:eastAsia="Yu Mincho" w:hAnsi="Arial" w:cs="Arial"/>
                <w:i/>
                <w:iCs/>
                <w:color w:val="000000" w:themeColor="text1"/>
              </w:rPr>
              <w:t>Dpyd</w:t>
            </w:r>
            <w:proofErr w:type="spellEnd"/>
          </w:p>
        </w:tc>
        <w:tc>
          <w:tcPr>
            <w:tcW w:w="2429" w:type="dxa"/>
            <w:shd w:val="clear" w:color="auto" w:fill="FFFFFF"/>
          </w:tcPr>
          <w:p w14:paraId="10F3BDFF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dihydropyrimidine</w:t>
            </w:r>
            <w:proofErr w:type="spellEnd"/>
            <w:r w:rsidRPr="0048243A">
              <w:rPr>
                <w:rFonts w:ascii="Arial" w:eastAsia="MS UI Gothic" w:hAnsi="Arial" w:cs="Arial"/>
                <w:color w:val="000000" w:themeColor="text1"/>
              </w:rPr>
              <w:t xml:space="preserve"> dehydrogenase</w:t>
            </w:r>
          </w:p>
        </w:tc>
        <w:tc>
          <w:tcPr>
            <w:tcW w:w="764" w:type="dxa"/>
            <w:shd w:val="clear" w:color="auto" w:fill="FFFFFF"/>
          </w:tcPr>
          <w:p w14:paraId="71CCA338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529E956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28D66636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shd w:val="clear" w:color="auto" w:fill="FFFFFF"/>
          </w:tcPr>
          <w:p w14:paraId="441BFEA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(25%)</w:t>
            </w:r>
          </w:p>
        </w:tc>
      </w:tr>
      <w:tr w:rsidR="00DA3758" w:rsidRPr="0048243A" w14:paraId="0CF7907A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1FADF3F1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Lrp1b</w:t>
            </w:r>
          </w:p>
        </w:tc>
        <w:tc>
          <w:tcPr>
            <w:tcW w:w="2429" w:type="dxa"/>
            <w:shd w:val="clear" w:color="auto" w:fill="FFFFFF"/>
          </w:tcPr>
          <w:p w14:paraId="6F742EA7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LDL receptor related protein 1B</w:t>
            </w:r>
          </w:p>
        </w:tc>
        <w:tc>
          <w:tcPr>
            <w:tcW w:w="764" w:type="dxa"/>
            <w:shd w:val="clear" w:color="auto" w:fill="FFFFFF"/>
          </w:tcPr>
          <w:p w14:paraId="572EBAA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3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36BBBC8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5B3CB72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434A1AE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bookmarkEnd w:id="1"/>
      <w:tr w:rsidR="00DA3758" w:rsidRPr="0048243A" w14:paraId="6427C430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106E4967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Meis2</w:t>
            </w:r>
          </w:p>
        </w:tc>
        <w:tc>
          <w:tcPr>
            <w:tcW w:w="2429" w:type="dxa"/>
            <w:shd w:val="clear" w:color="auto" w:fill="FFFFFF"/>
          </w:tcPr>
          <w:p w14:paraId="7202A6EB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Meis</w:t>
            </w:r>
            <w:proofErr w:type="spellEnd"/>
            <w:r w:rsidRPr="0048243A">
              <w:rPr>
                <w:rFonts w:ascii="Arial" w:eastAsia="MS UI Gothic" w:hAnsi="Arial" w:cs="Arial"/>
                <w:color w:val="000000" w:themeColor="text1"/>
              </w:rPr>
              <w:t xml:space="preserve"> homeobox 2</w:t>
            </w:r>
          </w:p>
        </w:tc>
        <w:tc>
          <w:tcPr>
            <w:tcW w:w="764" w:type="dxa"/>
            <w:shd w:val="clear" w:color="auto" w:fill="FFFFFF"/>
          </w:tcPr>
          <w:p w14:paraId="6ACA6F8B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3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7326102B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1647386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shd w:val="clear" w:color="auto" w:fill="FFFFFF"/>
          </w:tcPr>
          <w:p w14:paraId="454ADDB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(25%)</w:t>
            </w:r>
          </w:p>
        </w:tc>
      </w:tr>
      <w:tr w:rsidR="00DA3758" w:rsidRPr="0048243A" w14:paraId="7D7E0299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649E4D10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Cyp4a2</w:t>
            </w:r>
          </w:p>
        </w:tc>
        <w:tc>
          <w:tcPr>
            <w:tcW w:w="2429" w:type="dxa"/>
            <w:shd w:val="clear" w:color="auto" w:fill="FFFFFF"/>
          </w:tcPr>
          <w:p w14:paraId="27FF40A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Cytochrome P450, family 4, subfamily a, polypeptide 2</w:t>
            </w:r>
          </w:p>
        </w:tc>
        <w:tc>
          <w:tcPr>
            <w:tcW w:w="764" w:type="dxa"/>
            <w:shd w:val="clear" w:color="auto" w:fill="FFFFFF"/>
          </w:tcPr>
          <w:p w14:paraId="0660C281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5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4912954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68F6548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4D16C48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395A4C26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66369114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Spt1</w:t>
            </w:r>
          </w:p>
        </w:tc>
        <w:tc>
          <w:tcPr>
            <w:tcW w:w="2429" w:type="dxa"/>
            <w:shd w:val="clear" w:color="auto" w:fill="FFFFFF"/>
          </w:tcPr>
          <w:p w14:paraId="5668A2E0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Salivary protein 1</w:t>
            </w:r>
          </w:p>
        </w:tc>
        <w:tc>
          <w:tcPr>
            <w:tcW w:w="764" w:type="dxa"/>
            <w:shd w:val="clear" w:color="auto" w:fill="FFFFFF"/>
          </w:tcPr>
          <w:p w14:paraId="073D59D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7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57AB9D16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6DB63FFD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03C1B570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5A764078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58282C10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Ncam1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shd w:val="clear" w:color="auto" w:fill="FFFFFF"/>
          </w:tcPr>
          <w:p w14:paraId="182F4EF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Neural cell adhesion molecule 1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FFFFFF"/>
          </w:tcPr>
          <w:p w14:paraId="69F5E5F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98465C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0741B22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7 (87.5%)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FFFFFF"/>
          </w:tcPr>
          <w:p w14:paraId="7E5D403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C1136B" w:rsidRPr="0048243A" w14:paraId="72E2865A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26EB0437" w14:textId="77777777" w:rsidR="00C1136B" w:rsidRPr="0048243A" w:rsidRDefault="00C1136B" w:rsidP="00B10064">
            <w:pPr>
              <w:ind w:rightChars="-163" w:right="-342"/>
              <w:jc w:val="left"/>
              <w:rPr>
                <w:rFonts w:ascii="Arial" w:eastAsia="MS UI Gothic" w:hAnsi="Arial" w:cs="Arial"/>
                <w:color w:val="000000" w:themeColor="text1"/>
              </w:rPr>
            </w:pPr>
          </w:p>
        </w:tc>
        <w:tc>
          <w:tcPr>
            <w:tcW w:w="2429" w:type="dxa"/>
            <w:tcBorders>
              <w:top w:val="single" w:sz="4" w:space="0" w:color="auto"/>
            </w:tcBorders>
            <w:shd w:val="clear" w:color="auto" w:fill="auto"/>
          </w:tcPr>
          <w:p w14:paraId="210D7FD6" w14:textId="77777777" w:rsidR="00C1136B" w:rsidRPr="0048243A" w:rsidRDefault="00C1136B" w:rsidP="00B1006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1DEDF4A9" w14:textId="77777777" w:rsidR="00C1136B" w:rsidRPr="0048243A" w:rsidRDefault="00C1136B" w:rsidP="00B1006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</w:tcPr>
          <w:p w14:paraId="4CCFA88C" w14:textId="77777777" w:rsidR="00C1136B" w:rsidRPr="0048243A" w:rsidRDefault="00C1136B" w:rsidP="00B1006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9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5581E2B1" w14:textId="77777777" w:rsidR="00C1136B" w:rsidRPr="0048243A" w:rsidRDefault="00C1136B" w:rsidP="00B10064">
            <w:pPr>
              <w:ind w:firstLineChars="50" w:firstLin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CNV frequency</w:t>
            </w:r>
          </w:p>
        </w:tc>
      </w:tr>
      <w:tr w:rsidR="00C1136B" w:rsidRPr="0048243A" w14:paraId="1A37831A" w14:textId="77777777" w:rsidTr="00B10064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774913AB" w14:textId="77777777" w:rsidR="00C1136B" w:rsidRPr="0048243A" w:rsidRDefault="00C1136B" w:rsidP="00B10064">
            <w:pPr>
              <w:ind w:rightChars="-163" w:right="-342"/>
              <w:jc w:val="left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Gene name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shd w:val="clear" w:color="auto" w:fill="auto"/>
          </w:tcPr>
          <w:p w14:paraId="49847364" w14:textId="77777777" w:rsidR="00C1136B" w:rsidRPr="0048243A" w:rsidRDefault="00C1136B" w:rsidP="00B100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Full name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</w:tcPr>
          <w:p w14:paraId="794BAF4C" w14:textId="77777777" w:rsidR="00C1136B" w:rsidRPr="0048243A" w:rsidRDefault="00C1136B" w:rsidP="00B100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Chr.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90ECFE" w14:textId="77777777" w:rsidR="00C1136B" w:rsidRPr="0048243A" w:rsidRDefault="00C1136B" w:rsidP="00B100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CNV type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DE0CC2D" w14:textId="77777777" w:rsidR="00C1136B" w:rsidRPr="0048243A" w:rsidRDefault="00C1136B" w:rsidP="00B100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H-Tx (-) (n=8)</w:t>
            </w:r>
          </w:p>
        </w:tc>
        <w:tc>
          <w:tcPr>
            <w:tcW w:w="15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405B682" w14:textId="77777777" w:rsidR="00C1136B" w:rsidRPr="0048243A" w:rsidRDefault="00C1136B" w:rsidP="0096146B">
            <w:pPr>
              <w:ind w:leftChars="50" w:left="105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H-Tx (+) (n=4)</w:t>
            </w:r>
          </w:p>
        </w:tc>
      </w:tr>
      <w:tr w:rsidR="00DA3758" w:rsidRPr="0048243A" w14:paraId="733D063D" w14:textId="77777777" w:rsidTr="00C1136B">
        <w:tblPrEx>
          <w:tblBorders>
            <w:top w:val="single" w:sz="4" w:space="0" w:color="000000"/>
            <w:bottom w:val="single" w:sz="4" w:space="0" w:color="000000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auto"/>
          </w:tcPr>
          <w:p w14:paraId="05943368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Trpv1</w:t>
            </w:r>
          </w:p>
        </w:tc>
        <w:tc>
          <w:tcPr>
            <w:tcW w:w="2429" w:type="dxa"/>
            <w:shd w:val="clear" w:color="auto" w:fill="auto"/>
          </w:tcPr>
          <w:p w14:paraId="2184E145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Transient receptor potential cation channel, subfamily V, member 1</w:t>
            </w:r>
          </w:p>
        </w:tc>
        <w:tc>
          <w:tcPr>
            <w:tcW w:w="764" w:type="dxa"/>
            <w:shd w:val="clear" w:color="auto" w:fill="auto"/>
          </w:tcPr>
          <w:p w14:paraId="01C2C84C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10</w:t>
            </w:r>
          </w:p>
        </w:tc>
        <w:tc>
          <w:tcPr>
            <w:tcW w:w="1222" w:type="dxa"/>
            <w:gridSpan w:val="2"/>
            <w:shd w:val="clear" w:color="auto" w:fill="auto"/>
          </w:tcPr>
          <w:p w14:paraId="288AAFE0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auto"/>
          </w:tcPr>
          <w:p w14:paraId="6B89FAEB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5 (62.5%)</w:t>
            </w:r>
          </w:p>
        </w:tc>
        <w:tc>
          <w:tcPr>
            <w:tcW w:w="1376" w:type="dxa"/>
            <w:shd w:val="clear" w:color="auto" w:fill="auto"/>
          </w:tcPr>
          <w:p w14:paraId="276BF25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4CBD3978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07253E10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Pcp4</w:t>
            </w:r>
          </w:p>
        </w:tc>
        <w:tc>
          <w:tcPr>
            <w:tcW w:w="2429" w:type="dxa"/>
            <w:shd w:val="clear" w:color="auto" w:fill="FFFFFF"/>
          </w:tcPr>
          <w:p w14:paraId="3ACA8E81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Purkinje cell protein 4</w:t>
            </w:r>
          </w:p>
        </w:tc>
        <w:tc>
          <w:tcPr>
            <w:tcW w:w="764" w:type="dxa"/>
            <w:shd w:val="clear" w:color="auto" w:fill="FFFFFF"/>
          </w:tcPr>
          <w:p w14:paraId="07C9C887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31E9877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27CBFAA1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(12.5%)</w:t>
            </w:r>
          </w:p>
        </w:tc>
        <w:tc>
          <w:tcPr>
            <w:tcW w:w="1376" w:type="dxa"/>
            <w:shd w:val="clear" w:color="auto" w:fill="FFFFFF"/>
          </w:tcPr>
          <w:p w14:paraId="575AAD7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 (50%)</w:t>
            </w:r>
          </w:p>
        </w:tc>
      </w:tr>
      <w:tr w:rsidR="00DA3758" w:rsidRPr="0048243A" w14:paraId="7A3E508B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125293E0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Mb21d2</w:t>
            </w:r>
          </w:p>
        </w:tc>
        <w:tc>
          <w:tcPr>
            <w:tcW w:w="2429" w:type="dxa"/>
            <w:shd w:val="clear" w:color="auto" w:fill="FFFFFF"/>
          </w:tcPr>
          <w:p w14:paraId="04FFC5B4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Mab--21 domain containing 2</w:t>
            </w:r>
          </w:p>
        </w:tc>
        <w:tc>
          <w:tcPr>
            <w:tcW w:w="764" w:type="dxa"/>
            <w:shd w:val="clear" w:color="auto" w:fill="FFFFFF"/>
          </w:tcPr>
          <w:p w14:paraId="63504F3F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1AFD215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7BF3FCCF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7 (87.5%)</w:t>
            </w:r>
          </w:p>
        </w:tc>
        <w:tc>
          <w:tcPr>
            <w:tcW w:w="1376" w:type="dxa"/>
            <w:shd w:val="clear" w:color="auto" w:fill="FFFFFF"/>
          </w:tcPr>
          <w:p w14:paraId="5A368FFA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7CC195DA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43A4E5D3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Etv5</w:t>
            </w:r>
          </w:p>
        </w:tc>
        <w:tc>
          <w:tcPr>
            <w:tcW w:w="2429" w:type="dxa"/>
            <w:shd w:val="clear" w:color="auto" w:fill="FFFFFF"/>
          </w:tcPr>
          <w:p w14:paraId="281196E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ETS variant transcription factor 5</w:t>
            </w:r>
          </w:p>
        </w:tc>
        <w:tc>
          <w:tcPr>
            <w:tcW w:w="764" w:type="dxa"/>
            <w:shd w:val="clear" w:color="auto" w:fill="FFFFFF"/>
          </w:tcPr>
          <w:p w14:paraId="45D7388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CA011E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53DC48C6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44E0BD0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48E0A6FB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299ECF3F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LPP</w:t>
            </w:r>
          </w:p>
        </w:tc>
        <w:tc>
          <w:tcPr>
            <w:tcW w:w="2429" w:type="dxa"/>
            <w:shd w:val="clear" w:color="auto" w:fill="FFFFFF"/>
          </w:tcPr>
          <w:p w14:paraId="4C8171E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LIM domain containing preferred translocation partner in lipoma</w:t>
            </w:r>
          </w:p>
        </w:tc>
        <w:tc>
          <w:tcPr>
            <w:tcW w:w="764" w:type="dxa"/>
            <w:shd w:val="clear" w:color="auto" w:fill="FFFFFF"/>
          </w:tcPr>
          <w:p w14:paraId="1CFAEEAE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1A33B30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4E22803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shd w:val="clear" w:color="auto" w:fill="FFFFFF"/>
          </w:tcPr>
          <w:p w14:paraId="1C9CDD40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(25%)</w:t>
            </w:r>
          </w:p>
        </w:tc>
      </w:tr>
      <w:tr w:rsidR="00DA3758" w:rsidRPr="0048243A" w14:paraId="0D7DCD93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6D72D701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Hrg</w:t>
            </w:r>
            <w:proofErr w:type="spellEnd"/>
          </w:p>
        </w:tc>
        <w:tc>
          <w:tcPr>
            <w:tcW w:w="2429" w:type="dxa"/>
            <w:shd w:val="clear" w:color="auto" w:fill="FFFFFF"/>
          </w:tcPr>
          <w:p w14:paraId="69AF29D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Histidine-rich glycoprotein</w:t>
            </w:r>
          </w:p>
        </w:tc>
        <w:tc>
          <w:tcPr>
            <w:tcW w:w="764" w:type="dxa"/>
            <w:shd w:val="clear" w:color="auto" w:fill="FFFFFF"/>
          </w:tcPr>
          <w:p w14:paraId="7FE3F27D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11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6DAB51F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6F634F1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6 (75%)</w:t>
            </w:r>
          </w:p>
        </w:tc>
        <w:tc>
          <w:tcPr>
            <w:tcW w:w="1376" w:type="dxa"/>
            <w:shd w:val="clear" w:color="auto" w:fill="FFFFFF"/>
          </w:tcPr>
          <w:p w14:paraId="4FDDDD4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15056C1C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2E443467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Xpr1</w:t>
            </w:r>
          </w:p>
          <w:p w14:paraId="099B2F82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shd w:val="clear" w:color="auto" w:fill="FFFFFF"/>
          </w:tcPr>
          <w:p w14:paraId="217A4AC5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Xenotropic and polytropic retrovirus receptor 1</w:t>
            </w:r>
          </w:p>
        </w:tc>
        <w:tc>
          <w:tcPr>
            <w:tcW w:w="764" w:type="dxa"/>
            <w:shd w:val="clear" w:color="auto" w:fill="FFFFFF"/>
          </w:tcPr>
          <w:p w14:paraId="6B93386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13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09E813FA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27530CCD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381EEA0B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6FB2FA55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0C1125EC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Vom2r69</w:t>
            </w:r>
          </w:p>
        </w:tc>
        <w:tc>
          <w:tcPr>
            <w:tcW w:w="2429" w:type="dxa"/>
            <w:shd w:val="clear" w:color="auto" w:fill="FFFFFF"/>
          </w:tcPr>
          <w:p w14:paraId="08E8879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Vomeronasal 2 receptor, 69</w:t>
            </w:r>
          </w:p>
        </w:tc>
        <w:tc>
          <w:tcPr>
            <w:tcW w:w="764" w:type="dxa"/>
            <w:shd w:val="clear" w:color="auto" w:fill="FFFFFF"/>
          </w:tcPr>
          <w:p w14:paraId="5BA719F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14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349C6F67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706A854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4186E95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548FCDC3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403A8A83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Lphn3</w:t>
            </w:r>
          </w:p>
        </w:tc>
        <w:tc>
          <w:tcPr>
            <w:tcW w:w="2429" w:type="dxa"/>
            <w:shd w:val="clear" w:color="auto" w:fill="FFFFFF"/>
          </w:tcPr>
          <w:p w14:paraId="20E0925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Latrophilin</w:t>
            </w:r>
            <w:proofErr w:type="spellEnd"/>
            <w:r w:rsidRPr="0048243A">
              <w:rPr>
                <w:rFonts w:ascii="Arial" w:eastAsia="MS UI Gothic" w:hAnsi="Arial" w:cs="Arial"/>
                <w:color w:val="000000" w:themeColor="text1"/>
              </w:rPr>
              <w:t xml:space="preserve"> 3</w:t>
            </w:r>
          </w:p>
        </w:tc>
        <w:tc>
          <w:tcPr>
            <w:tcW w:w="764" w:type="dxa"/>
            <w:shd w:val="clear" w:color="auto" w:fill="FFFFFF"/>
          </w:tcPr>
          <w:p w14:paraId="625AE9C5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14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54C7266C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7719E0BC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shd w:val="clear" w:color="auto" w:fill="FFFFFF"/>
          </w:tcPr>
          <w:p w14:paraId="36CF94E4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(25%)</w:t>
            </w:r>
          </w:p>
        </w:tc>
      </w:tr>
      <w:tr w:rsidR="00DA3758" w:rsidRPr="0048243A" w14:paraId="51525734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2BD59100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Mcpt3</w:t>
            </w:r>
          </w:p>
        </w:tc>
        <w:tc>
          <w:tcPr>
            <w:tcW w:w="2429" w:type="dxa"/>
            <w:shd w:val="clear" w:color="auto" w:fill="FFFFFF"/>
          </w:tcPr>
          <w:p w14:paraId="3B287AB4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Mast cell peptidase 3</w:t>
            </w:r>
          </w:p>
        </w:tc>
        <w:tc>
          <w:tcPr>
            <w:tcW w:w="764" w:type="dxa"/>
            <w:shd w:val="clear" w:color="auto" w:fill="FFFFFF"/>
          </w:tcPr>
          <w:p w14:paraId="1AF80CB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15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390D246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483A14F3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77429B72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13C94722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9D9D9"/>
          </w:tcPr>
          <w:p w14:paraId="5EE84A38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Ptpn20</w:t>
            </w:r>
          </w:p>
        </w:tc>
        <w:tc>
          <w:tcPr>
            <w:tcW w:w="2429" w:type="dxa"/>
            <w:shd w:val="clear" w:color="auto" w:fill="D9D9D9"/>
          </w:tcPr>
          <w:p w14:paraId="10742881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Protein tyrosine phosphatase, non-receptor type 20B (Ptpn20b)</w:t>
            </w:r>
          </w:p>
        </w:tc>
        <w:tc>
          <w:tcPr>
            <w:tcW w:w="764" w:type="dxa"/>
            <w:shd w:val="clear" w:color="auto" w:fill="D9D9D9"/>
          </w:tcPr>
          <w:p w14:paraId="53428E64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16</w:t>
            </w:r>
          </w:p>
        </w:tc>
        <w:tc>
          <w:tcPr>
            <w:tcW w:w="1222" w:type="dxa"/>
            <w:gridSpan w:val="2"/>
            <w:shd w:val="clear" w:color="auto" w:fill="D9D9D9"/>
          </w:tcPr>
          <w:p w14:paraId="3B5D6EA4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D9D9D9"/>
          </w:tcPr>
          <w:p w14:paraId="0A6A5B0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 (25%)</w:t>
            </w:r>
          </w:p>
        </w:tc>
        <w:tc>
          <w:tcPr>
            <w:tcW w:w="1376" w:type="dxa"/>
            <w:shd w:val="clear" w:color="auto" w:fill="D9D9D9"/>
          </w:tcPr>
          <w:p w14:paraId="2D32E00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67C7F2AC" w14:textId="77777777" w:rsidTr="00C1136B">
        <w:tblPrEx>
          <w:tblBorders>
            <w:top w:val="single" w:sz="4" w:space="0" w:color="000000"/>
            <w:bottom w:val="single" w:sz="4" w:space="0" w:color="000000"/>
          </w:tblBorders>
        </w:tblPrEx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  <w:bottom w:val="nil"/>
            </w:tcBorders>
            <w:shd w:val="clear" w:color="auto" w:fill="auto"/>
          </w:tcPr>
          <w:p w14:paraId="2BBAADFB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Dlgap2</w:t>
            </w:r>
          </w:p>
        </w:tc>
        <w:tc>
          <w:tcPr>
            <w:tcW w:w="2429" w:type="dxa"/>
            <w:tcBorders>
              <w:top w:val="nil"/>
              <w:bottom w:val="nil"/>
            </w:tcBorders>
            <w:shd w:val="clear" w:color="auto" w:fill="auto"/>
          </w:tcPr>
          <w:p w14:paraId="33B14CB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DLG associated protein 2</w:t>
            </w:r>
          </w:p>
        </w:tc>
        <w:tc>
          <w:tcPr>
            <w:tcW w:w="764" w:type="dxa"/>
            <w:tcBorders>
              <w:top w:val="nil"/>
              <w:bottom w:val="nil"/>
            </w:tcBorders>
            <w:shd w:val="clear" w:color="auto" w:fill="auto"/>
          </w:tcPr>
          <w:p w14:paraId="33D94D8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16</w:t>
            </w:r>
          </w:p>
        </w:tc>
        <w:tc>
          <w:tcPr>
            <w:tcW w:w="1222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32809C66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tcBorders>
              <w:top w:val="nil"/>
              <w:bottom w:val="nil"/>
            </w:tcBorders>
            <w:shd w:val="clear" w:color="auto" w:fill="auto"/>
          </w:tcPr>
          <w:p w14:paraId="0AFCB2CD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7 (87.5%)</w:t>
            </w:r>
          </w:p>
        </w:tc>
        <w:tc>
          <w:tcPr>
            <w:tcW w:w="1376" w:type="dxa"/>
            <w:tcBorders>
              <w:top w:val="nil"/>
              <w:bottom w:val="nil"/>
            </w:tcBorders>
            <w:shd w:val="clear" w:color="auto" w:fill="auto"/>
          </w:tcPr>
          <w:p w14:paraId="1B64095D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75782475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7CB5B208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Cyp4v3</w:t>
            </w:r>
          </w:p>
          <w:p w14:paraId="617BDF48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shd w:val="clear" w:color="auto" w:fill="FFFFFF"/>
          </w:tcPr>
          <w:p w14:paraId="6831A91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Cytochrome P450, family 4, subfamily v, polypeptide 3</w:t>
            </w:r>
          </w:p>
        </w:tc>
        <w:tc>
          <w:tcPr>
            <w:tcW w:w="764" w:type="dxa"/>
            <w:shd w:val="clear" w:color="auto" w:fill="FFFFFF"/>
          </w:tcPr>
          <w:p w14:paraId="5430D2B0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16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700F8306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1E227C4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2C05CC3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6DDFB551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7A9AAC2C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Slc10a2</w:t>
            </w:r>
          </w:p>
          <w:p w14:paraId="1ACC0D25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shd w:val="clear" w:color="auto" w:fill="FFFFFF"/>
          </w:tcPr>
          <w:p w14:paraId="21211358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Solute carrier family 10-member 2</w:t>
            </w:r>
          </w:p>
        </w:tc>
        <w:tc>
          <w:tcPr>
            <w:tcW w:w="764" w:type="dxa"/>
            <w:shd w:val="clear" w:color="auto" w:fill="FFFFFF"/>
          </w:tcPr>
          <w:p w14:paraId="0CEFD4B7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16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7C0175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4F4D5567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64D22B9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57BF7346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3A3BE6BA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Stard3nl</w:t>
            </w:r>
          </w:p>
        </w:tc>
        <w:tc>
          <w:tcPr>
            <w:tcW w:w="2429" w:type="dxa"/>
            <w:shd w:val="clear" w:color="auto" w:fill="FFFFFF"/>
          </w:tcPr>
          <w:p w14:paraId="270F429E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STARD3 N-terminal like</w:t>
            </w:r>
          </w:p>
        </w:tc>
        <w:tc>
          <w:tcPr>
            <w:tcW w:w="764" w:type="dxa"/>
            <w:shd w:val="clear" w:color="auto" w:fill="FFFFFF"/>
          </w:tcPr>
          <w:p w14:paraId="0F7B611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16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0B48AA51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7DBA9BAC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7AF302CD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03667058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66B6278F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Palldl1</w:t>
            </w:r>
          </w:p>
        </w:tc>
        <w:tc>
          <w:tcPr>
            <w:tcW w:w="2429" w:type="dxa"/>
            <w:shd w:val="clear" w:color="auto" w:fill="FFFFFF"/>
          </w:tcPr>
          <w:p w14:paraId="75187EB3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palladin</w:t>
            </w:r>
            <w:proofErr w:type="spellEnd"/>
            <w:r w:rsidRPr="0048243A">
              <w:rPr>
                <w:rFonts w:ascii="Arial" w:eastAsia="MS UI Gothic" w:hAnsi="Arial" w:cs="Arial"/>
                <w:color w:val="000000" w:themeColor="text1"/>
              </w:rPr>
              <w:t>-like 1</w:t>
            </w:r>
          </w:p>
        </w:tc>
        <w:tc>
          <w:tcPr>
            <w:tcW w:w="764" w:type="dxa"/>
            <w:shd w:val="clear" w:color="auto" w:fill="FFFFFF"/>
          </w:tcPr>
          <w:p w14:paraId="47C18C7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16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737942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5A3BF9A8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49E5792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48EAE157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0BF08DE7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Adarb2</w:t>
            </w:r>
          </w:p>
          <w:p w14:paraId="268097A8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tcBorders>
              <w:bottom w:val="single" w:sz="4" w:space="0" w:color="auto"/>
            </w:tcBorders>
            <w:shd w:val="clear" w:color="auto" w:fill="FFFFFF"/>
          </w:tcPr>
          <w:p w14:paraId="2E46DF7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Adenosine deaminase, RNA-specific, B2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FFFFFF"/>
          </w:tcPr>
          <w:p w14:paraId="6FF7FDD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17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7D14B7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5348D68B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FFFFFF"/>
          </w:tcPr>
          <w:p w14:paraId="2C5B62D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C1136B" w:rsidRPr="0048243A" w14:paraId="451558FE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</w:tcBorders>
            <w:shd w:val="clear" w:color="auto" w:fill="auto"/>
          </w:tcPr>
          <w:p w14:paraId="49D7E6ED" w14:textId="77777777" w:rsidR="00C1136B" w:rsidRPr="0048243A" w:rsidRDefault="00C1136B" w:rsidP="00B10064">
            <w:pPr>
              <w:ind w:rightChars="-163" w:right="-342"/>
              <w:jc w:val="left"/>
              <w:rPr>
                <w:rFonts w:ascii="Arial" w:eastAsia="MS UI Gothic" w:hAnsi="Arial" w:cs="Arial"/>
                <w:color w:val="000000" w:themeColor="text1"/>
              </w:rPr>
            </w:pPr>
          </w:p>
        </w:tc>
        <w:tc>
          <w:tcPr>
            <w:tcW w:w="2429" w:type="dxa"/>
            <w:tcBorders>
              <w:top w:val="single" w:sz="4" w:space="0" w:color="auto"/>
            </w:tcBorders>
            <w:shd w:val="clear" w:color="auto" w:fill="auto"/>
          </w:tcPr>
          <w:p w14:paraId="7AC2EA96" w14:textId="77777777" w:rsidR="00C1136B" w:rsidRPr="0048243A" w:rsidRDefault="00C1136B" w:rsidP="00B100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</w:p>
        </w:tc>
        <w:tc>
          <w:tcPr>
            <w:tcW w:w="91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22AE6A30" w14:textId="77777777" w:rsidR="00C1136B" w:rsidRPr="0048243A" w:rsidRDefault="00C1136B" w:rsidP="00B100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</w:p>
        </w:tc>
        <w:tc>
          <w:tcPr>
            <w:tcW w:w="1069" w:type="dxa"/>
            <w:tcBorders>
              <w:top w:val="single" w:sz="4" w:space="0" w:color="auto"/>
            </w:tcBorders>
            <w:shd w:val="clear" w:color="auto" w:fill="auto"/>
          </w:tcPr>
          <w:p w14:paraId="182C8A48" w14:textId="77777777" w:rsidR="00C1136B" w:rsidRPr="0048243A" w:rsidRDefault="00C1136B" w:rsidP="00B10064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</w:p>
        </w:tc>
        <w:tc>
          <w:tcPr>
            <w:tcW w:w="29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7FC1B3A2" w14:textId="77777777" w:rsidR="00C1136B" w:rsidRPr="0048243A" w:rsidRDefault="00C1136B" w:rsidP="00B10064">
            <w:pPr>
              <w:ind w:firstLineChars="50" w:firstLin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CNV frequency</w:t>
            </w:r>
          </w:p>
        </w:tc>
      </w:tr>
      <w:tr w:rsidR="00C1136B" w:rsidRPr="0048243A" w14:paraId="26CE255B" w14:textId="77777777" w:rsidTr="00B100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auto"/>
          </w:tcPr>
          <w:p w14:paraId="5F03EDF3" w14:textId="77777777" w:rsidR="00C1136B" w:rsidRPr="0048243A" w:rsidRDefault="00C1136B" w:rsidP="00B10064">
            <w:pPr>
              <w:ind w:rightChars="-163" w:right="-342"/>
              <w:jc w:val="left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Gene name</w:t>
            </w:r>
          </w:p>
        </w:tc>
        <w:tc>
          <w:tcPr>
            <w:tcW w:w="2429" w:type="dxa"/>
            <w:tcBorders>
              <w:bottom w:val="single" w:sz="4" w:space="0" w:color="auto"/>
            </w:tcBorders>
            <w:shd w:val="clear" w:color="auto" w:fill="auto"/>
          </w:tcPr>
          <w:p w14:paraId="34CC6FC6" w14:textId="77777777" w:rsidR="00C1136B" w:rsidRPr="0048243A" w:rsidRDefault="00C1136B" w:rsidP="00B1006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Full name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auto"/>
          </w:tcPr>
          <w:p w14:paraId="21E8D95F" w14:textId="77777777" w:rsidR="00C1136B" w:rsidRPr="0048243A" w:rsidRDefault="00C1136B" w:rsidP="00B1006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Chr.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CE7CE33" w14:textId="77777777" w:rsidR="00C1136B" w:rsidRPr="0048243A" w:rsidRDefault="00C1136B" w:rsidP="00B1006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CNV type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3DE7FAC" w14:textId="77777777" w:rsidR="00C1136B" w:rsidRPr="0048243A" w:rsidRDefault="00C1136B" w:rsidP="00B10064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H-Tx (-) (n=8)</w:t>
            </w:r>
          </w:p>
        </w:tc>
        <w:tc>
          <w:tcPr>
            <w:tcW w:w="150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69D4E125" w14:textId="77777777" w:rsidR="00C1136B" w:rsidRPr="0048243A" w:rsidRDefault="00C1136B" w:rsidP="00C1136B">
            <w:pPr>
              <w:ind w:leftChars="50" w:left="105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b/>
                <w:b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b/>
                <w:bCs/>
                <w:color w:val="000000" w:themeColor="text1"/>
              </w:rPr>
              <w:t>H-Tx (+) (n=4)</w:t>
            </w:r>
          </w:p>
        </w:tc>
      </w:tr>
      <w:tr w:rsidR="00DA3758" w:rsidRPr="0048243A" w14:paraId="2BA8DD04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75D39248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Akr1c12l1</w:t>
            </w:r>
          </w:p>
          <w:p w14:paraId="509FBF87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shd w:val="clear" w:color="auto" w:fill="FFFFFF"/>
          </w:tcPr>
          <w:p w14:paraId="1B83832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Aldo-keto reductase family 1, member C12-like 1</w:t>
            </w:r>
          </w:p>
        </w:tc>
        <w:tc>
          <w:tcPr>
            <w:tcW w:w="764" w:type="dxa"/>
            <w:shd w:val="clear" w:color="auto" w:fill="FFFFFF"/>
          </w:tcPr>
          <w:p w14:paraId="1F4A176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17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786F92E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6B64216D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7B634DB4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3F1B322D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0833A837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Eci2</w:t>
            </w:r>
          </w:p>
        </w:tc>
        <w:tc>
          <w:tcPr>
            <w:tcW w:w="2429" w:type="dxa"/>
            <w:shd w:val="clear" w:color="auto" w:fill="FFFFFF"/>
          </w:tcPr>
          <w:p w14:paraId="40C8FD94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EnoylCoA</w:t>
            </w:r>
            <w:proofErr w:type="spellEnd"/>
            <w:r w:rsidRPr="0048243A">
              <w:rPr>
                <w:rFonts w:ascii="Arial" w:eastAsia="MS UI Gothic" w:hAnsi="Arial" w:cs="Arial"/>
                <w:color w:val="000000" w:themeColor="text1"/>
              </w:rPr>
              <w:t xml:space="preserve"> delta isomerase 2</w:t>
            </w:r>
          </w:p>
        </w:tc>
        <w:tc>
          <w:tcPr>
            <w:tcW w:w="764" w:type="dxa"/>
            <w:shd w:val="clear" w:color="auto" w:fill="FFFFFF"/>
          </w:tcPr>
          <w:p w14:paraId="79B4E80F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17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2C378ABA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69D1BE0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7 (87.5%)</w:t>
            </w:r>
          </w:p>
        </w:tc>
        <w:tc>
          <w:tcPr>
            <w:tcW w:w="1376" w:type="dxa"/>
            <w:shd w:val="clear" w:color="auto" w:fill="FFFFFF"/>
          </w:tcPr>
          <w:p w14:paraId="2E744F8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8562F4" w:rsidRPr="0048243A" w14:paraId="688EB495" w14:textId="77777777" w:rsidTr="00C1136B">
        <w:tblPrEx>
          <w:tblBorders>
            <w:top w:val="single" w:sz="4" w:space="0" w:color="000000"/>
            <w:bottom w:val="single" w:sz="4" w:space="0" w:color="000000"/>
          </w:tblBorders>
        </w:tblPrEx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1160BD2B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RGD1308114 (</w:t>
            </w:r>
            <w:proofErr w:type="spellStart"/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Sugct</w:t>
            </w:r>
            <w:proofErr w:type="spellEnd"/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)</w:t>
            </w:r>
          </w:p>
        </w:tc>
        <w:tc>
          <w:tcPr>
            <w:tcW w:w="2429" w:type="dxa"/>
            <w:shd w:val="clear" w:color="auto" w:fill="FFFFFF"/>
          </w:tcPr>
          <w:p w14:paraId="4745E5C6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Sugct</w:t>
            </w:r>
            <w:proofErr w:type="spellEnd"/>
            <w:r w:rsidRPr="0048243A">
              <w:rPr>
                <w:rFonts w:ascii="Arial" w:eastAsia="MS UI Gothic" w:hAnsi="Arial" w:cs="Arial"/>
                <w:color w:val="000000" w:themeColor="text1"/>
              </w:rPr>
              <w:t xml:space="preserve"> succinyl CoA: </w:t>
            </w: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Glutarate</w:t>
            </w:r>
            <w:proofErr w:type="spellEnd"/>
            <w:r w:rsidRPr="0048243A">
              <w:rPr>
                <w:rFonts w:ascii="Arial" w:eastAsia="MS UI Gothic" w:hAnsi="Arial" w:cs="Arial"/>
                <w:color w:val="000000" w:themeColor="text1"/>
              </w:rPr>
              <w:t>-CoA transferase</w:t>
            </w:r>
          </w:p>
        </w:tc>
        <w:tc>
          <w:tcPr>
            <w:tcW w:w="764" w:type="dxa"/>
            <w:shd w:val="clear" w:color="auto" w:fill="FFFFFF"/>
          </w:tcPr>
          <w:p w14:paraId="5F8CBDE3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17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355D88F4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605BCA2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shd w:val="clear" w:color="auto" w:fill="FFFFFF"/>
          </w:tcPr>
          <w:p w14:paraId="3C6778B6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3 (75%)</w:t>
            </w:r>
          </w:p>
        </w:tc>
      </w:tr>
      <w:tr w:rsidR="00DA3758" w:rsidRPr="0048243A" w14:paraId="0174CA3F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45B2A97F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Amph</w:t>
            </w:r>
            <w:proofErr w:type="spellEnd"/>
          </w:p>
        </w:tc>
        <w:tc>
          <w:tcPr>
            <w:tcW w:w="2429" w:type="dxa"/>
            <w:shd w:val="clear" w:color="auto" w:fill="FFFFFF"/>
          </w:tcPr>
          <w:p w14:paraId="721D4028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color w:val="000000" w:themeColor="text1"/>
              </w:rPr>
              <w:t>Amphiphysin</w:t>
            </w:r>
            <w:proofErr w:type="spellEnd"/>
          </w:p>
        </w:tc>
        <w:tc>
          <w:tcPr>
            <w:tcW w:w="764" w:type="dxa"/>
            <w:shd w:val="clear" w:color="auto" w:fill="FFFFFF"/>
          </w:tcPr>
          <w:p w14:paraId="6733224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17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2FB63530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7C234BE6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7123B21C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009D0E3E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787F7FEA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Gpr158</w:t>
            </w:r>
          </w:p>
          <w:p w14:paraId="4E5B3A94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shd w:val="clear" w:color="auto" w:fill="FFFFFF"/>
          </w:tcPr>
          <w:p w14:paraId="1CE32DD6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 protein-coupled receptor 158</w:t>
            </w:r>
          </w:p>
        </w:tc>
        <w:tc>
          <w:tcPr>
            <w:tcW w:w="764" w:type="dxa"/>
            <w:shd w:val="clear" w:color="auto" w:fill="FFFFFF"/>
          </w:tcPr>
          <w:p w14:paraId="52623E1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17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1DF3C50E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2BDB6A6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1B8CB8DF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 (50%)</w:t>
            </w:r>
          </w:p>
        </w:tc>
      </w:tr>
      <w:tr w:rsidR="00DA3758" w:rsidRPr="0048243A" w14:paraId="063CAC5D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24382216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Commd10</w:t>
            </w:r>
          </w:p>
        </w:tc>
        <w:tc>
          <w:tcPr>
            <w:tcW w:w="2429" w:type="dxa"/>
            <w:shd w:val="clear" w:color="auto" w:fill="FFFFFF"/>
          </w:tcPr>
          <w:p w14:paraId="18807D5D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COMM domain containing 10</w:t>
            </w:r>
          </w:p>
        </w:tc>
        <w:tc>
          <w:tcPr>
            <w:tcW w:w="764" w:type="dxa"/>
            <w:shd w:val="clear" w:color="auto" w:fill="FFFFFF"/>
          </w:tcPr>
          <w:p w14:paraId="14560FD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18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44A9C1DE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3F7F4A4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1151B295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77D1F7AA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60AD2208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Nedd4l</w:t>
            </w:r>
          </w:p>
          <w:p w14:paraId="6CFF7A39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shd w:val="clear" w:color="auto" w:fill="FFFFFF"/>
          </w:tcPr>
          <w:p w14:paraId="2000DD70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NEDD4 like E3 ubiquitin protein ligase</w:t>
            </w:r>
          </w:p>
        </w:tc>
        <w:tc>
          <w:tcPr>
            <w:tcW w:w="764" w:type="dxa"/>
            <w:shd w:val="clear" w:color="auto" w:fill="FFFFFF"/>
          </w:tcPr>
          <w:p w14:paraId="5C3BC78F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18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7C63A9C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1675995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6 (75%)</w:t>
            </w:r>
          </w:p>
        </w:tc>
        <w:tc>
          <w:tcPr>
            <w:tcW w:w="1376" w:type="dxa"/>
            <w:shd w:val="clear" w:color="auto" w:fill="FFFFFF"/>
          </w:tcPr>
          <w:p w14:paraId="3888EBFC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 (50%)</w:t>
            </w:r>
          </w:p>
        </w:tc>
      </w:tr>
      <w:tr w:rsidR="00DA3758" w:rsidRPr="0048243A" w14:paraId="2DB13994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4D171BC9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Spire2</w:t>
            </w:r>
          </w:p>
          <w:p w14:paraId="0A91BE92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shd w:val="clear" w:color="auto" w:fill="FFFFFF"/>
          </w:tcPr>
          <w:p w14:paraId="1448A4A2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Spire-type actin nucleation factor 2</w:t>
            </w:r>
          </w:p>
        </w:tc>
        <w:tc>
          <w:tcPr>
            <w:tcW w:w="764" w:type="dxa"/>
            <w:shd w:val="clear" w:color="auto" w:fill="FFFFFF"/>
          </w:tcPr>
          <w:p w14:paraId="41E09A2B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19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608729C1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3C59AB8D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shd w:val="clear" w:color="auto" w:fill="FFFFFF"/>
          </w:tcPr>
          <w:p w14:paraId="5717234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(25%)</w:t>
            </w:r>
          </w:p>
        </w:tc>
      </w:tr>
      <w:tr w:rsidR="00DA3758" w:rsidRPr="0048243A" w14:paraId="5A463FDE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il"/>
            </w:tcBorders>
            <w:shd w:val="clear" w:color="auto" w:fill="auto"/>
          </w:tcPr>
          <w:p w14:paraId="02FAB3FE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Snx3</w:t>
            </w:r>
          </w:p>
        </w:tc>
        <w:tc>
          <w:tcPr>
            <w:tcW w:w="2429" w:type="dxa"/>
            <w:tcBorders>
              <w:top w:val="nil"/>
            </w:tcBorders>
            <w:shd w:val="clear" w:color="auto" w:fill="auto"/>
          </w:tcPr>
          <w:p w14:paraId="66D7C6D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Sorting nexin 3</w:t>
            </w:r>
          </w:p>
        </w:tc>
        <w:tc>
          <w:tcPr>
            <w:tcW w:w="764" w:type="dxa"/>
            <w:tcBorders>
              <w:top w:val="nil"/>
            </w:tcBorders>
            <w:shd w:val="clear" w:color="auto" w:fill="auto"/>
          </w:tcPr>
          <w:p w14:paraId="7EF4802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20</w:t>
            </w:r>
          </w:p>
        </w:tc>
        <w:tc>
          <w:tcPr>
            <w:tcW w:w="1222" w:type="dxa"/>
            <w:gridSpan w:val="2"/>
            <w:tcBorders>
              <w:top w:val="nil"/>
            </w:tcBorders>
            <w:shd w:val="clear" w:color="auto" w:fill="auto"/>
          </w:tcPr>
          <w:p w14:paraId="04E51251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tcBorders>
              <w:top w:val="nil"/>
            </w:tcBorders>
            <w:shd w:val="clear" w:color="auto" w:fill="auto"/>
          </w:tcPr>
          <w:p w14:paraId="62FC5F1A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tcBorders>
              <w:top w:val="nil"/>
            </w:tcBorders>
            <w:shd w:val="clear" w:color="auto" w:fill="auto"/>
          </w:tcPr>
          <w:p w14:paraId="06D952B3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4674A20F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540D133F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RT1-Db1</w:t>
            </w:r>
          </w:p>
        </w:tc>
        <w:tc>
          <w:tcPr>
            <w:tcW w:w="2429" w:type="dxa"/>
            <w:shd w:val="clear" w:color="auto" w:fill="FFFFFF"/>
          </w:tcPr>
          <w:p w14:paraId="14A82B6F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RT1 class II, locus Db1</w:t>
            </w:r>
          </w:p>
        </w:tc>
        <w:tc>
          <w:tcPr>
            <w:tcW w:w="764" w:type="dxa"/>
            <w:shd w:val="clear" w:color="auto" w:fill="FFFFFF"/>
          </w:tcPr>
          <w:p w14:paraId="1297091C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20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47452B19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4393333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7 (87.5%)</w:t>
            </w:r>
          </w:p>
        </w:tc>
        <w:tc>
          <w:tcPr>
            <w:tcW w:w="1376" w:type="dxa"/>
            <w:shd w:val="clear" w:color="auto" w:fill="FFFFFF"/>
          </w:tcPr>
          <w:p w14:paraId="0120128F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6C5F6DA4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0379F671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RT1-Bb</w:t>
            </w:r>
          </w:p>
        </w:tc>
        <w:tc>
          <w:tcPr>
            <w:tcW w:w="2429" w:type="dxa"/>
            <w:shd w:val="clear" w:color="auto" w:fill="FFFFFF"/>
          </w:tcPr>
          <w:p w14:paraId="78EFF59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RT1 class II, locus Bb</w:t>
            </w:r>
          </w:p>
        </w:tc>
        <w:tc>
          <w:tcPr>
            <w:tcW w:w="764" w:type="dxa"/>
            <w:shd w:val="clear" w:color="auto" w:fill="FFFFFF"/>
          </w:tcPr>
          <w:p w14:paraId="28AD5F99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20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1E393DD6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Loss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1505F8A3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8 (100%)</w:t>
            </w:r>
          </w:p>
        </w:tc>
        <w:tc>
          <w:tcPr>
            <w:tcW w:w="1376" w:type="dxa"/>
            <w:shd w:val="clear" w:color="auto" w:fill="FFFFFF"/>
          </w:tcPr>
          <w:p w14:paraId="21203A0B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4 (100%)</w:t>
            </w:r>
          </w:p>
        </w:tc>
      </w:tr>
      <w:tr w:rsidR="00DA3758" w:rsidRPr="0048243A" w14:paraId="5A673BD1" w14:textId="77777777" w:rsidTr="00C113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/>
          </w:tcPr>
          <w:p w14:paraId="23FE2EE1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Herc4</w:t>
            </w:r>
          </w:p>
          <w:p w14:paraId="695942C8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shd w:val="clear" w:color="auto" w:fill="FFFFFF"/>
          </w:tcPr>
          <w:p w14:paraId="2063D2B7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HECT and RLD domain containing E3 ubiquitin protein ligase 4</w:t>
            </w:r>
          </w:p>
        </w:tc>
        <w:tc>
          <w:tcPr>
            <w:tcW w:w="764" w:type="dxa"/>
            <w:shd w:val="clear" w:color="auto" w:fill="FFFFFF"/>
          </w:tcPr>
          <w:p w14:paraId="30978B1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20</w:t>
            </w:r>
          </w:p>
        </w:tc>
        <w:tc>
          <w:tcPr>
            <w:tcW w:w="1222" w:type="dxa"/>
            <w:gridSpan w:val="2"/>
            <w:shd w:val="clear" w:color="auto" w:fill="FFFFFF"/>
          </w:tcPr>
          <w:p w14:paraId="40BF3484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shd w:val="clear" w:color="auto" w:fill="FFFFFF"/>
          </w:tcPr>
          <w:p w14:paraId="024E72EA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shd w:val="clear" w:color="auto" w:fill="FFFFFF"/>
          </w:tcPr>
          <w:p w14:paraId="169B2F03" w14:textId="77777777" w:rsidR="00DA3758" w:rsidRPr="0048243A" w:rsidRDefault="00DA3758" w:rsidP="00584DA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(25%)</w:t>
            </w:r>
          </w:p>
        </w:tc>
      </w:tr>
      <w:tr w:rsidR="00DA3758" w:rsidRPr="0048243A" w14:paraId="52A09DF1" w14:textId="77777777" w:rsidTr="00C1136B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shd w:val="clear" w:color="auto" w:fill="FFFFFF"/>
          </w:tcPr>
          <w:p w14:paraId="456E9479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  <w:proofErr w:type="spellStart"/>
            <w:r w:rsidRPr="0048243A">
              <w:rPr>
                <w:rFonts w:ascii="Arial" w:eastAsia="MS UI Gothic" w:hAnsi="Arial" w:cs="Arial"/>
                <w:i/>
                <w:iCs/>
                <w:color w:val="000000" w:themeColor="text1"/>
              </w:rPr>
              <w:t>Pkib</w:t>
            </w:r>
            <w:proofErr w:type="spellEnd"/>
          </w:p>
          <w:p w14:paraId="3E42ADBD" w14:textId="77777777" w:rsidR="00DA3758" w:rsidRPr="0048243A" w:rsidRDefault="00DA3758" w:rsidP="00584DA0">
            <w:pPr>
              <w:jc w:val="left"/>
              <w:rPr>
                <w:rFonts w:ascii="Arial" w:eastAsia="MS UI Gothic" w:hAnsi="Arial" w:cs="Arial"/>
                <w:i/>
                <w:iCs/>
                <w:color w:val="000000" w:themeColor="text1"/>
              </w:rPr>
            </w:pPr>
          </w:p>
        </w:tc>
        <w:tc>
          <w:tcPr>
            <w:tcW w:w="2429" w:type="dxa"/>
            <w:tcBorders>
              <w:bottom w:val="single" w:sz="4" w:space="0" w:color="auto"/>
            </w:tcBorders>
            <w:shd w:val="clear" w:color="auto" w:fill="FFFFFF"/>
          </w:tcPr>
          <w:p w14:paraId="1F1005F3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cAMP-dependent protein kinase inhibitor beta</w:t>
            </w:r>
          </w:p>
        </w:tc>
        <w:tc>
          <w:tcPr>
            <w:tcW w:w="764" w:type="dxa"/>
            <w:tcBorders>
              <w:bottom w:val="single" w:sz="4" w:space="0" w:color="auto"/>
            </w:tcBorders>
            <w:shd w:val="clear" w:color="auto" w:fill="FFFFFF"/>
          </w:tcPr>
          <w:p w14:paraId="44C11065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20</w:t>
            </w:r>
          </w:p>
        </w:tc>
        <w:tc>
          <w:tcPr>
            <w:tcW w:w="1222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3D9ED9B8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Gain</w:t>
            </w:r>
          </w:p>
        </w:tc>
        <w:tc>
          <w:tcPr>
            <w:tcW w:w="1528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12133852" w14:textId="77777777" w:rsidR="00DA3758" w:rsidRPr="0048243A" w:rsidRDefault="00DA3758" w:rsidP="00584DA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0 (0)</w:t>
            </w:r>
          </w:p>
        </w:tc>
        <w:tc>
          <w:tcPr>
            <w:tcW w:w="1376" w:type="dxa"/>
            <w:tcBorders>
              <w:bottom w:val="single" w:sz="4" w:space="0" w:color="auto"/>
            </w:tcBorders>
            <w:shd w:val="clear" w:color="auto" w:fill="FFFFFF"/>
          </w:tcPr>
          <w:p w14:paraId="0664586A" w14:textId="77777777" w:rsidR="00DA3758" w:rsidRPr="0048243A" w:rsidRDefault="00DA3758" w:rsidP="00584DA0">
            <w:pPr>
              <w:keepNext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MS UI Gothic" w:hAnsi="Arial" w:cs="Arial"/>
                <w:color w:val="000000" w:themeColor="text1"/>
              </w:rPr>
            </w:pPr>
            <w:r w:rsidRPr="0048243A">
              <w:rPr>
                <w:rFonts w:ascii="Arial" w:eastAsia="MS UI Gothic" w:hAnsi="Arial" w:cs="Arial"/>
                <w:color w:val="000000" w:themeColor="text1"/>
              </w:rPr>
              <w:t>1 (25%)</w:t>
            </w:r>
          </w:p>
        </w:tc>
      </w:tr>
    </w:tbl>
    <w:p w14:paraId="7ED92AD3" w14:textId="452B0C01" w:rsidR="00DA3758" w:rsidRPr="00BA721B" w:rsidRDefault="00DA3758" w:rsidP="006411E6">
      <w:pPr>
        <w:pStyle w:val="a7"/>
        <w:spacing w:line="480" w:lineRule="auto"/>
        <w:jc w:val="left"/>
        <w:rPr>
          <w:rFonts w:ascii="Arial" w:eastAsia="Yu Mincho" w:hAnsi="Arial" w:cs="Arial"/>
          <w:color w:val="000000" w:themeColor="text1"/>
          <w:sz w:val="24"/>
          <w:szCs w:val="24"/>
        </w:rPr>
      </w:pPr>
      <w:r w:rsidRPr="00BA721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Table </w:t>
      </w:r>
      <w:r w:rsidR="00EB1892" w:rsidRPr="00BA721B">
        <w:rPr>
          <w:rFonts w:ascii="Arial" w:hAnsi="Arial" w:cs="Arial"/>
          <w:b/>
          <w:bCs/>
          <w:color w:val="000000" w:themeColor="text1"/>
          <w:sz w:val="24"/>
          <w:szCs w:val="24"/>
        </w:rPr>
        <w:t>S</w:t>
      </w:r>
      <w:r w:rsidRPr="00BA721B">
        <w:rPr>
          <w:rFonts w:ascii="Arial" w:hAnsi="Arial" w:cs="Arial"/>
          <w:b/>
          <w:bCs/>
          <w:color w:val="000000" w:themeColor="text1"/>
          <w:sz w:val="24"/>
          <w:szCs w:val="24"/>
        </w:rPr>
        <w:t>1.</w:t>
      </w:r>
      <w:r w:rsidRPr="00BA721B">
        <w:rPr>
          <w:rFonts w:ascii="Arial" w:hAnsi="Arial" w:cs="Arial"/>
          <w:color w:val="000000" w:themeColor="text1"/>
          <w:sz w:val="24"/>
          <w:szCs w:val="24"/>
        </w:rPr>
        <w:t xml:space="preserve"> Copy number Variations (CNVs) between eight </w:t>
      </w:r>
      <w:r w:rsidRPr="00BA721B">
        <w:rPr>
          <w:rFonts w:ascii="Arial" w:eastAsia="Yu Mincho" w:hAnsi="Arial" w:cs="Arial"/>
          <w:color w:val="000000" w:themeColor="text1"/>
          <w:sz w:val="24"/>
          <w:szCs w:val="24"/>
          <w:lang w:eastAsia="ja-JP"/>
        </w:rPr>
        <w:t>H-Tx (-) rats,</w:t>
      </w:r>
      <w:r w:rsidRPr="00BA721B">
        <w:rPr>
          <w:rFonts w:ascii="Arial" w:hAnsi="Arial" w:cs="Arial"/>
          <w:color w:val="000000" w:themeColor="text1"/>
          <w:sz w:val="24"/>
          <w:szCs w:val="24"/>
        </w:rPr>
        <w:t xml:space="preserve"> and four H-Tx (+) rats, gene name, chromosome, copy number variation type are shown for each gene. The copy number variations ratio is shown in brackets. Candidate genes are marked with a gray shading.</w:t>
      </w:r>
    </w:p>
    <w:sectPr w:rsidR="00DA3758" w:rsidRPr="00BA721B" w:rsidSect="002C01F2">
      <w:pgSz w:w="11900" w:h="16840"/>
      <w:pgMar w:top="1440" w:right="1440" w:bottom="144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112"/>
    <w:multiLevelType w:val="hybridMultilevel"/>
    <w:tmpl w:val="771E4354"/>
    <w:lvl w:ilvl="0" w:tplc="47D07F9E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7BB5C84"/>
    <w:multiLevelType w:val="hybridMultilevel"/>
    <w:tmpl w:val="5DB8E656"/>
    <w:lvl w:ilvl="0" w:tplc="02EC749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4D806EEC"/>
    <w:multiLevelType w:val="hybridMultilevel"/>
    <w:tmpl w:val="7E66935C"/>
    <w:lvl w:ilvl="0" w:tplc="9878E352">
      <w:start w:val="1"/>
      <w:numFmt w:val="upperLetter"/>
      <w:lvlText w:val="%1."/>
      <w:lvlJc w:val="left"/>
      <w:pPr>
        <w:ind w:left="360" w:hanging="360"/>
      </w:pPr>
      <w:rPr>
        <w:rFonts w:eastAsiaTheme="minorEastAsia"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1F868F6"/>
    <w:multiLevelType w:val="hybridMultilevel"/>
    <w:tmpl w:val="4844C55E"/>
    <w:lvl w:ilvl="0" w:tplc="685AA9C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6DAF316A"/>
    <w:multiLevelType w:val="hybridMultilevel"/>
    <w:tmpl w:val="AE8A8E78"/>
    <w:lvl w:ilvl="0" w:tplc="FA4CE6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00E0F12"/>
    <w:multiLevelType w:val="hybridMultilevel"/>
    <w:tmpl w:val="4D4E1F0A"/>
    <w:lvl w:ilvl="0" w:tplc="C988FC14">
      <w:start w:val="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32"/>
    <w:rsid w:val="00055B2A"/>
    <w:rsid w:val="000610D1"/>
    <w:rsid w:val="00061CE6"/>
    <w:rsid w:val="0006452B"/>
    <w:rsid w:val="000646D1"/>
    <w:rsid w:val="00081383"/>
    <w:rsid w:val="000D6C3D"/>
    <w:rsid w:val="000D7701"/>
    <w:rsid w:val="001012B4"/>
    <w:rsid w:val="00146A0E"/>
    <w:rsid w:val="001675E8"/>
    <w:rsid w:val="001F746C"/>
    <w:rsid w:val="00252DF2"/>
    <w:rsid w:val="00272732"/>
    <w:rsid w:val="002C01F2"/>
    <w:rsid w:val="002D510C"/>
    <w:rsid w:val="002E7E7A"/>
    <w:rsid w:val="00315371"/>
    <w:rsid w:val="0032647A"/>
    <w:rsid w:val="00345DA6"/>
    <w:rsid w:val="00373B32"/>
    <w:rsid w:val="00424A34"/>
    <w:rsid w:val="0044722F"/>
    <w:rsid w:val="00474912"/>
    <w:rsid w:val="0048243A"/>
    <w:rsid w:val="004E2973"/>
    <w:rsid w:val="004F3E47"/>
    <w:rsid w:val="00523C81"/>
    <w:rsid w:val="005B2EF0"/>
    <w:rsid w:val="005F44D7"/>
    <w:rsid w:val="006027A7"/>
    <w:rsid w:val="0062307F"/>
    <w:rsid w:val="006411E6"/>
    <w:rsid w:val="00654DF6"/>
    <w:rsid w:val="007B4BC2"/>
    <w:rsid w:val="007C7F65"/>
    <w:rsid w:val="00807366"/>
    <w:rsid w:val="008336AE"/>
    <w:rsid w:val="008562F4"/>
    <w:rsid w:val="008A5DAC"/>
    <w:rsid w:val="008C7B2A"/>
    <w:rsid w:val="008F7B06"/>
    <w:rsid w:val="0096146B"/>
    <w:rsid w:val="009D3441"/>
    <w:rsid w:val="00A60720"/>
    <w:rsid w:val="00AB71BD"/>
    <w:rsid w:val="00AB7AB5"/>
    <w:rsid w:val="00B11724"/>
    <w:rsid w:val="00B31ED4"/>
    <w:rsid w:val="00B4527E"/>
    <w:rsid w:val="00BA20BB"/>
    <w:rsid w:val="00BA721B"/>
    <w:rsid w:val="00C1136B"/>
    <w:rsid w:val="00C14BC7"/>
    <w:rsid w:val="00C22848"/>
    <w:rsid w:val="00C477C6"/>
    <w:rsid w:val="00C6524A"/>
    <w:rsid w:val="00CC69D6"/>
    <w:rsid w:val="00D63F0D"/>
    <w:rsid w:val="00D74734"/>
    <w:rsid w:val="00D75112"/>
    <w:rsid w:val="00DA1A5A"/>
    <w:rsid w:val="00DA3758"/>
    <w:rsid w:val="00DC2597"/>
    <w:rsid w:val="00E051A5"/>
    <w:rsid w:val="00E451C3"/>
    <w:rsid w:val="00EB1892"/>
    <w:rsid w:val="00EB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C4656E2"/>
  <w15:chartTrackingRefBased/>
  <w15:docId w15:val="{627AAF36-75CC-E640-93DE-4C5C3735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3B3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73B3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2C0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FollowedHyperlink"/>
    <w:basedOn w:val="a0"/>
    <w:uiPriority w:val="99"/>
    <w:semiHidden/>
    <w:unhideWhenUsed/>
    <w:rsid w:val="002C01F2"/>
    <w:rPr>
      <w:color w:val="954F72" w:themeColor="followedHyperlink"/>
      <w:u w:val="single"/>
    </w:rPr>
  </w:style>
  <w:style w:type="table" w:customStyle="1" w:styleId="61">
    <w:name w:val="清单表 6 彩色1"/>
    <w:basedOn w:val="a1"/>
    <w:next w:val="a1"/>
    <w:uiPriority w:val="51"/>
    <w:rsid w:val="00DA3758"/>
    <w:rPr>
      <w:color w:val="000000"/>
      <w:sz w:val="24"/>
      <w:lang w:eastAsia="ja-JP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paragraph" w:styleId="a7">
    <w:name w:val="caption"/>
    <w:basedOn w:val="a"/>
    <w:next w:val="a"/>
    <w:uiPriority w:val="35"/>
    <w:unhideWhenUsed/>
    <w:qFormat/>
    <w:rsid w:val="00DA3758"/>
    <w:rPr>
      <w:rFonts w:asciiTheme="majorHAnsi" w:eastAsia="黑体" w:hAnsiTheme="majorHAnsi" w:cstheme="majorBidi"/>
      <w:sz w:val="20"/>
      <w:szCs w:val="20"/>
    </w:rPr>
  </w:style>
  <w:style w:type="character" w:customStyle="1" w:styleId="apple-converted-space">
    <w:name w:val="apple-converted-space"/>
    <w:basedOn w:val="a0"/>
    <w:rsid w:val="00CC69D6"/>
  </w:style>
  <w:style w:type="paragraph" w:styleId="a8">
    <w:name w:val="Title"/>
    <w:basedOn w:val="a"/>
    <w:next w:val="a"/>
    <w:link w:val="a9"/>
    <w:uiPriority w:val="10"/>
    <w:qFormat/>
    <w:rsid w:val="006027A7"/>
    <w:pPr>
      <w:widowControl/>
      <w:spacing w:line="480" w:lineRule="auto"/>
      <w:contextualSpacing/>
      <w:jc w:val="center"/>
    </w:pPr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character" w:customStyle="1" w:styleId="a9">
    <w:name w:val="标题 字符"/>
    <w:basedOn w:val="a0"/>
    <w:link w:val="a8"/>
    <w:uiPriority w:val="10"/>
    <w:rsid w:val="006027A7"/>
    <w:rPr>
      <w:rFonts w:ascii="Times New Roman" w:eastAsiaTheme="majorEastAsia" w:hAnsi="Times New Roman" w:cstheme="majorBidi"/>
      <w:b/>
      <w:spacing w:val="-10"/>
      <w:kern w:val="28"/>
      <w:sz w:val="36"/>
      <w:szCs w:val="56"/>
      <w:lang w:val="en-CA" w:eastAsia="en-US"/>
    </w:rPr>
  </w:style>
  <w:style w:type="paragraph" w:styleId="aa">
    <w:name w:val="List Paragraph"/>
    <w:basedOn w:val="a"/>
    <w:uiPriority w:val="34"/>
    <w:qFormat/>
    <w:rsid w:val="00AB71B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7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04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79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2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9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xuhanbing198712@126.com</dc:creator>
  <cp:keywords/>
  <dc:description/>
  <cp:lastModifiedBy>xuhanbing198712@126.com</cp:lastModifiedBy>
  <cp:revision>15</cp:revision>
  <dcterms:created xsi:type="dcterms:W3CDTF">2022-01-11T04:25:00Z</dcterms:created>
  <dcterms:modified xsi:type="dcterms:W3CDTF">2022-03-21T14:48:00Z</dcterms:modified>
</cp:coreProperties>
</file>