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06C8E" w14:textId="3F8E2ADD" w:rsidR="00E926E1" w:rsidRDefault="00575C97" w:rsidP="00575C97">
      <w:pPr>
        <w:rPr>
          <w:rFonts w:ascii="Arial" w:hAnsi="Arial" w:cs="Arial"/>
          <w:b/>
          <w:bCs/>
        </w:rPr>
      </w:pPr>
      <w:r w:rsidRPr="00575C97">
        <w:rPr>
          <w:rFonts w:ascii="Arial" w:hAnsi="Arial" w:cs="Arial"/>
          <w:b/>
          <w:bCs/>
        </w:rPr>
        <w:t xml:space="preserve">Supplemental </w:t>
      </w:r>
      <w:r w:rsidR="00D778C1">
        <w:rPr>
          <w:rFonts w:ascii="Arial" w:hAnsi="Arial" w:cs="Arial"/>
          <w:b/>
          <w:bCs/>
        </w:rPr>
        <w:t>file</w:t>
      </w:r>
      <w:r w:rsidR="003E5690">
        <w:rPr>
          <w:rFonts w:ascii="Arial" w:hAnsi="Arial" w:cs="Arial"/>
          <w:b/>
          <w:bCs/>
        </w:rPr>
        <w:t xml:space="preserve">: </w:t>
      </w:r>
      <w:r w:rsidR="00E926E1">
        <w:rPr>
          <w:rFonts w:ascii="Arial" w:hAnsi="Arial" w:cs="Arial"/>
          <w:b/>
          <w:bCs/>
        </w:rPr>
        <w:t>Eligibility Criteria</w:t>
      </w:r>
    </w:p>
    <w:p w14:paraId="22CDD8DB" w14:textId="77777777" w:rsidR="003E5690" w:rsidRPr="00575C97" w:rsidRDefault="003E5690" w:rsidP="00575C97">
      <w:pPr>
        <w:rPr>
          <w:rFonts w:ascii="Arial" w:hAnsi="Arial" w:cs="Arial"/>
          <w:b/>
          <w:bCs/>
        </w:rPr>
      </w:pPr>
    </w:p>
    <w:p w14:paraId="6C8954E8" w14:textId="77777777" w:rsidR="00575C97" w:rsidRPr="00575C97" w:rsidRDefault="00575C97" w:rsidP="00575C97">
      <w:pPr>
        <w:rPr>
          <w:rFonts w:ascii="Arial" w:hAnsi="Arial" w:cs="Arial"/>
          <w:b/>
          <w:bCs/>
          <w:u w:val="single"/>
        </w:rPr>
      </w:pPr>
      <w:r w:rsidRPr="00575C97">
        <w:rPr>
          <w:rFonts w:ascii="Arial" w:hAnsi="Arial" w:cs="Arial"/>
          <w:b/>
          <w:bCs/>
          <w:u w:val="single"/>
        </w:rPr>
        <w:t>Inclusion Criteria:</w:t>
      </w:r>
    </w:p>
    <w:p w14:paraId="6B8B43D6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1. Male or Female between 50-85 years of age </w:t>
      </w:r>
    </w:p>
    <w:p w14:paraId="58B656D0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2. Able and willing to give informed consent, or has delegated this to Legally </w:t>
      </w:r>
    </w:p>
    <w:p w14:paraId="662D3CF5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Authorized Representative </w:t>
      </w:r>
    </w:p>
    <w:p w14:paraId="70886336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3. Probable AD consistent with NIA/AA criteria</w:t>
      </w:r>
    </w:p>
    <w:p w14:paraId="3B52F126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4. Modified Hachinski Ischemia Scale (MHIS) score of &lt;= 4</w:t>
      </w:r>
    </w:p>
    <w:p w14:paraId="77FA133F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5. Mini Mental State Exam (MMSE) scores 18-26. The MMSE adjusted scoring </w:t>
      </w:r>
    </w:p>
    <w:p w14:paraId="4FC14CED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instructions will be followed, as applicable.</w:t>
      </w:r>
    </w:p>
    <w:p w14:paraId="45B0EF72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6. Short form Geriatric Depression Scale (GDS) score of &lt;= 6</w:t>
      </w:r>
    </w:p>
    <w:p w14:paraId="2FDECFF7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7. If receiving concurrent treatment with an AChEI and/or memantine, has been on the </w:t>
      </w:r>
    </w:p>
    <w:p w14:paraId="11DD119F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medication for at least 3 months with a stable dose for at least 3 months prior to the </w:t>
      </w:r>
    </w:p>
    <w:p w14:paraId="68F9C0E6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first Exablate BBB procedure.</w:t>
      </w:r>
    </w:p>
    <w:p w14:paraId="506A23FA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8. Amyloid PET scan consistent with the presence of β-amyloid </w:t>
      </w:r>
    </w:p>
    <w:p w14:paraId="12F3014B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9. Able to communicate sensations during the Exablate MRgFUS procedure</w:t>
      </w:r>
    </w:p>
    <w:p w14:paraId="0F855B10" w14:textId="4605B93E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10.</w:t>
      </w:r>
      <w:r>
        <w:rPr>
          <w:rFonts w:ascii="Arial" w:hAnsi="Arial" w:cs="Arial"/>
        </w:rPr>
        <w:t xml:space="preserve"> </w:t>
      </w:r>
      <w:r w:rsidRPr="00575C97">
        <w:rPr>
          <w:rFonts w:ascii="Arial" w:hAnsi="Arial" w:cs="Arial"/>
        </w:rPr>
        <w:t>Able to attend all study visits (i.e., life expectancy of 1 year)</w:t>
      </w:r>
    </w:p>
    <w:p w14:paraId="0A032CDD" w14:textId="64A04EA5" w:rsid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11.</w:t>
      </w:r>
      <w:r>
        <w:rPr>
          <w:rFonts w:ascii="Arial" w:hAnsi="Arial" w:cs="Arial"/>
        </w:rPr>
        <w:t xml:space="preserve"> </w:t>
      </w:r>
      <w:r w:rsidRPr="00575C97">
        <w:rPr>
          <w:rFonts w:ascii="Arial" w:hAnsi="Arial" w:cs="Arial"/>
        </w:rPr>
        <w:t>Ambulatory</w:t>
      </w:r>
    </w:p>
    <w:p w14:paraId="43D00164" w14:textId="77777777" w:rsidR="00575C97" w:rsidRPr="00575C97" w:rsidRDefault="00575C97" w:rsidP="00575C97">
      <w:pPr>
        <w:rPr>
          <w:rFonts w:ascii="Arial" w:hAnsi="Arial" w:cs="Arial"/>
        </w:rPr>
      </w:pPr>
    </w:p>
    <w:p w14:paraId="36DCC8AB" w14:textId="77777777" w:rsidR="00575C97" w:rsidRPr="00575C97" w:rsidRDefault="00575C97" w:rsidP="00575C97">
      <w:pPr>
        <w:rPr>
          <w:rFonts w:ascii="Arial" w:hAnsi="Arial" w:cs="Arial"/>
          <w:b/>
          <w:bCs/>
          <w:u w:val="single"/>
        </w:rPr>
      </w:pPr>
      <w:r w:rsidRPr="00575C97">
        <w:rPr>
          <w:rFonts w:ascii="Arial" w:hAnsi="Arial" w:cs="Arial"/>
          <w:b/>
          <w:bCs/>
          <w:u w:val="single"/>
        </w:rPr>
        <w:t>Exclusion Criteria:</w:t>
      </w:r>
    </w:p>
    <w:p w14:paraId="4F0B0C4E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1. MRI findings:</w:t>
      </w:r>
    </w:p>
    <w:p w14:paraId="75E3F169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>● Active or chronic infection/inflammation</w:t>
      </w:r>
    </w:p>
    <w:p w14:paraId="44B14A9F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● Acute or chronic hemorrhages, specifically &gt; 4 lobar microbleeds, and no </w:t>
      </w:r>
    </w:p>
    <w:p w14:paraId="60888ACE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>siderosis or macrohemorrhages</w:t>
      </w:r>
    </w:p>
    <w:p w14:paraId="7141E0E4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>● Tumor/space occupying lesion</w:t>
      </w:r>
    </w:p>
    <w:p w14:paraId="075D85CA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>● Meningeal enhancement</w:t>
      </w:r>
    </w:p>
    <w:p w14:paraId="29E24CB5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>● Intracranial hypotension</w:t>
      </w:r>
    </w:p>
    <w:p w14:paraId="69A589AD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2. More than 30% of the skull area traversed by the sonication pathway is covered by </w:t>
      </w:r>
    </w:p>
    <w:p w14:paraId="0E9FAE75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scars, scalp disorders (e.g., eczema), or atrophy of the scalp</w:t>
      </w:r>
    </w:p>
    <w:p w14:paraId="1EF4749B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3. Clips, shunts, or other metallic implanted objects in the skull or the brain and the </w:t>
      </w:r>
    </w:p>
    <w:p w14:paraId="232A1755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lastRenderedPageBreak/>
        <w:t>presence of unknown or MR unsafe devices anywhere in the body</w:t>
      </w:r>
    </w:p>
    <w:p w14:paraId="20CDD420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4. Significant cardiac disease or unstable hemodynamic status, including:</w:t>
      </w:r>
    </w:p>
    <w:p w14:paraId="134F849A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>● Unstable angina pectoris on medication</w:t>
      </w:r>
    </w:p>
    <w:p w14:paraId="6C9ECB87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>● Documented myocardial infarction within six months of enrollment</w:t>
      </w:r>
    </w:p>
    <w:p w14:paraId="22F2F41A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>● Significant congestive heart failure defined with ejection fraction &lt;40</w:t>
      </w:r>
    </w:p>
    <w:p w14:paraId="5D8B5F3D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>● Subjects with unstable ventricular arrhythmias</w:t>
      </w:r>
    </w:p>
    <w:p w14:paraId="46D1802D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>● Subjects with atrial arrhythmias that not rate-controlled</w:t>
      </w:r>
    </w:p>
    <w:p w14:paraId="6E2F1018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>● Cardiac pacemaker</w:t>
      </w:r>
    </w:p>
    <w:p w14:paraId="1E894914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>● Uncontrolled hypertension (diastolic BP &gt; 100 on medication)</w:t>
      </w:r>
    </w:p>
    <w:p w14:paraId="13C54E86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>● Patient has right-to-left, bidirectional, or transient right-to-left cardiac shunts</w:t>
      </w:r>
    </w:p>
    <w:p w14:paraId="13621E62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● Patients with relative contraindications to either DEFINITY® ultrasound contrast </w:t>
      </w:r>
    </w:p>
    <w:p w14:paraId="363455D1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agent or PET amyloid tracer including subjects with a family or personal history </w:t>
      </w:r>
    </w:p>
    <w:p w14:paraId="10CCFFF5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of QT prolongation or taking concomitant medications known to cause QTc </w:t>
      </w:r>
    </w:p>
    <w:p w14:paraId="238402FE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prolongation and: </w:t>
      </w:r>
    </w:p>
    <w:p w14:paraId="1A738B77" w14:textId="77777777" w:rsidR="00575C97" w:rsidRPr="00575C97" w:rsidRDefault="00575C97" w:rsidP="00575C97">
      <w:pPr>
        <w:ind w:left="1440"/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o QT prolongation observed on screening ECG (QTc &gt; 450 for men and &gt;470 </w:t>
      </w:r>
    </w:p>
    <w:p w14:paraId="5DBA08C1" w14:textId="77777777" w:rsidR="00575C97" w:rsidRPr="00575C97" w:rsidRDefault="00575C97" w:rsidP="00575C97">
      <w:pPr>
        <w:ind w:left="1440"/>
        <w:rPr>
          <w:rFonts w:ascii="Arial" w:hAnsi="Arial" w:cs="Arial"/>
        </w:rPr>
      </w:pPr>
      <w:r w:rsidRPr="00575C97">
        <w:rPr>
          <w:rFonts w:ascii="Arial" w:hAnsi="Arial" w:cs="Arial"/>
        </w:rPr>
        <w:t>for women)</w:t>
      </w:r>
    </w:p>
    <w:p w14:paraId="44EEBA9D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5. History of a bleeding disorder, </w:t>
      </w:r>
      <w:proofErr w:type="gramStart"/>
      <w:r w:rsidRPr="00575C97">
        <w:rPr>
          <w:rFonts w:ascii="Arial" w:hAnsi="Arial" w:cs="Arial"/>
        </w:rPr>
        <w:t>coagulopathy</w:t>
      </w:r>
      <w:proofErr w:type="gramEnd"/>
      <w:r w:rsidRPr="00575C97">
        <w:rPr>
          <w:rFonts w:ascii="Arial" w:hAnsi="Arial" w:cs="Arial"/>
        </w:rPr>
        <w:t xml:space="preserve"> or a history of spontaneous </w:t>
      </w:r>
    </w:p>
    <w:p w14:paraId="157A0576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hemorrhage</w:t>
      </w:r>
    </w:p>
    <w:p w14:paraId="05302CFA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6. Receiving anticoagulant (</w:t>
      </w:r>
      <w:proofErr w:type="gramStart"/>
      <w:r w:rsidRPr="00575C97">
        <w:rPr>
          <w:rFonts w:ascii="Arial" w:hAnsi="Arial" w:cs="Arial"/>
        </w:rPr>
        <w:t>e.g.</w:t>
      </w:r>
      <w:proofErr w:type="gramEnd"/>
      <w:r w:rsidRPr="00575C97">
        <w:rPr>
          <w:rFonts w:ascii="Arial" w:hAnsi="Arial" w:cs="Arial"/>
        </w:rPr>
        <w:t xml:space="preserve"> warfarin) or antiplatelet (e.g. aspirin) therapy within </w:t>
      </w:r>
    </w:p>
    <w:p w14:paraId="243A33A3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one week of focused ultrasound procedure or drugs known to increase risk or </w:t>
      </w:r>
    </w:p>
    <w:p w14:paraId="67DBAC42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hemorrhage (</w:t>
      </w:r>
      <w:proofErr w:type="gramStart"/>
      <w:r w:rsidRPr="00575C97">
        <w:rPr>
          <w:rFonts w:ascii="Arial" w:hAnsi="Arial" w:cs="Arial"/>
        </w:rPr>
        <w:t>e.g.</w:t>
      </w:r>
      <w:proofErr w:type="gramEnd"/>
      <w:r w:rsidRPr="00575C97">
        <w:rPr>
          <w:rFonts w:ascii="Arial" w:hAnsi="Arial" w:cs="Arial"/>
        </w:rPr>
        <w:t xml:space="preserve"> Avastin) within one month of focused ultrasound procedure </w:t>
      </w:r>
    </w:p>
    <w:p w14:paraId="716C5B15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7. History of a liver disease, bleeding disorder, </w:t>
      </w:r>
      <w:proofErr w:type="gramStart"/>
      <w:r w:rsidRPr="00575C97">
        <w:rPr>
          <w:rFonts w:ascii="Arial" w:hAnsi="Arial" w:cs="Arial"/>
        </w:rPr>
        <w:t>coagulopathy</w:t>
      </w:r>
      <w:proofErr w:type="gramEnd"/>
      <w:r w:rsidRPr="00575C97">
        <w:rPr>
          <w:rFonts w:ascii="Arial" w:hAnsi="Arial" w:cs="Arial"/>
        </w:rPr>
        <w:t xml:space="preserve"> or a history of </w:t>
      </w:r>
    </w:p>
    <w:p w14:paraId="64EF1F2D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spontaneous hemorrhage </w:t>
      </w:r>
    </w:p>
    <w:p w14:paraId="448BE693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8. Abnormal coagulation profile (PLT &lt; 100,000), PT (&gt;14) or PTT (&gt;36), and INR &gt; 1.3</w:t>
      </w:r>
    </w:p>
    <w:p w14:paraId="46197E74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9. More than 1 non-strategic lacune or any larger than 1.5 cm</w:t>
      </w:r>
    </w:p>
    <w:p w14:paraId="5B14F4F1" w14:textId="74F608F3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10.</w:t>
      </w:r>
      <w:r>
        <w:rPr>
          <w:rFonts w:ascii="Arial" w:hAnsi="Arial" w:cs="Arial"/>
        </w:rPr>
        <w:t xml:space="preserve"> </w:t>
      </w:r>
      <w:r w:rsidRPr="00575C97">
        <w:rPr>
          <w:rFonts w:ascii="Arial" w:hAnsi="Arial" w:cs="Arial"/>
        </w:rPr>
        <w:t>Known cerebral or systemic vasculopathy</w:t>
      </w:r>
    </w:p>
    <w:p w14:paraId="4E05A25C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11. Significant depression and at potential risk of suicide</w:t>
      </w:r>
    </w:p>
    <w:p w14:paraId="493270F9" w14:textId="1DC23988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12.</w:t>
      </w:r>
      <w:r>
        <w:rPr>
          <w:rFonts w:ascii="Arial" w:hAnsi="Arial" w:cs="Arial"/>
        </w:rPr>
        <w:t xml:space="preserve"> </w:t>
      </w:r>
      <w:r w:rsidRPr="00575C97">
        <w:rPr>
          <w:rFonts w:ascii="Arial" w:hAnsi="Arial" w:cs="Arial"/>
        </w:rPr>
        <w:t xml:space="preserve">A severity score of 2 or more on any of the ‘Delusions’, ‘Hallucinations’ or </w:t>
      </w:r>
    </w:p>
    <w:p w14:paraId="2F24DA39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‘Agitation/Aggression’ subscales of the Neuropsychiatry Inventory (NPI-Q)</w:t>
      </w:r>
    </w:p>
    <w:p w14:paraId="33D48769" w14:textId="3F25D592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13.</w:t>
      </w:r>
      <w:r>
        <w:rPr>
          <w:rFonts w:ascii="Arial" w:hAnsi="Arial" w:cs="Arial"/>
        </w:rPr>
        <w:t xml:space="preserve"> </w:t>
      </w:r>
      <w:r w:rsidRPr="00575C97">
        <w:rPr>
          <w:rFonts w:ascii="Arial" w:hAnsi="Arial" w:cs="Arial"/>
        </w:rPr>
        <w:t xml:space="preserve">Known sensitivity/allergy to gadolinium (Gadovist), DEFINITY or its components, or </w:t>
      </w:r>
    </w:p>
    <w:p w14:paraId="7B5BA4A7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lastRenderedPageBreak/>
        <w:t>florbetaben.</w:t>
      </w:r>
    </w:p>
    <w:p w14:paraId="05C88EE3" w14:textId="297F209A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14.</w:t>
      </w:r>
      <w:r>
        <w:rPr>
          <w:rFonts w:ascii="Arial" w:hAnsi="Arial" w:cs="Arial"/>
        </w:rPr>
        <w:t xml:space="preserve"> </w:t>
      </w:r>
      <w:r w:rsidRPr="00575C97">
        <w:rPr>
          <w:rFonts w:ascii="Arial" w:hAnsi="Arial" w:cs="Arial"/>
        </w:rPr>
        <w:t>Known hypersensitivity to DEFINITY or its components.</w:t>
      </w:r>
    </w:p>
    <w:p w14:paraId="7A1E4373" w14:textId="0D127044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15.</w:t>
      </w:r>
      <w:r>
        <w:rPr>
          <w:rFonts w:ascii="Arial" w:hAnsi="Arial" w:cs="Arial"/>
        </w:rPr>
        <w:t xml:space="preserve"> </w:t>
      </w:r>
      <w:r w:rsidRPr="00575C97">
        <w:rPr>
          <w:rFonts w:ascii="Arial" w:hAnsi="Arial" w:cs="Arial"/>
        </w:rPr>
        <w:t>Any contraindications to MRI scanning, including:</w:t>
      </w:r>
    </w:p>
    <w:p w14:paraId="760E7A53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>● Large subjects not fitting comfortably into the scanner</w:t>
      </w:r>
    </w:p>
    <w:p w14:paraId="2477C38E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>● Difficulty lying supine and still for up to 3 hours in the MRI unit or claustrophobia</w:t>
      </w:r>
    </w:p>
    <w:p w14:paraId="2195ECBD" w14:textId="17699CA6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15.</w:t>
      </w:r>
      <w:r>
        <w:rPr>
          <w:rFonts w:ascii="Arial" w:hAnsi="Arial" w:cs="Arial"/>
        </w:rPr>
        <w:t xml:space="preserve"> </w:t>
      </w:r>
      <w:r w:rsidRPr="00575C97">
        <w:rPr>
          <w:rFonts w:ascii="Arial" w:hAnsi="Arial" w:cs="Arial"/>
        </w:rPr>
        <w:t xml:space="preserve">Any contraindication to lumbar puncture for collection of cerebral spinal fluid, </w:t>
      </w:r>
    </w:p>
    <w:p w14:paraId="0FA7D373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including:</w:t>
      </w:r>
    </w:p>
    <w:p w14:paraId="34678C83" w14:textId="77777777" w:rsidR="00575C97" w:rsidRPr="00575C97" w:rsidRDefault="00575C97" w:rsidP="00575C97">
      <w:pPr>
        <w:ind w:left="720"/>
        <w:rPr>
          <w:rFonts w:ascii="Arial" w:hAnsi="Arial" w:cs="Arial"/>
        </w:rPr>
      </w:pPr>
      <w:r w:rsidRPr="00575C97">
        <w:rPr>
          <w:rFonts w:ascii="Arial" w:hAnsi="Arial" w:cs="Arial"/>
        </w:rPr>
        <w:t>● Intracranial hypotension</w:t>
      </w:r>
    </w:p>
    <w:p w14:paraId="03865E1A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16. Untreated, uncontrolled sleep apnea</w:t>
      </w:r>
    </w:p>
    <w:p w14:paraId="54D4BD1F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17. History of seizure disorder or epilepsy which could be worsened by disruption of </w:t>
      </w:r>
    </w:p>
    <w:p w14:paraId="00683884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the blood brain barrier.</w:t>
      </w:r>
    </w:p>
    <w:p w14:paraId="394CC2CC" w14:textId="49AB4BC5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18.</w:t>
      </w:r>
      <w:r>
        <w:rPr>
          <w:rFonts w:ascii="Arial" w:hAnsi="Arial" w:cs="Arial"/>
        </w:rPr>
        <w:t xml:space="preserve"> </w:t>
      </w:r>
      <w:r w:rsidRPr="00575C97">
        <w:rPr>
          <w:rFonts w:ascii="Arial" w:hAnsi="Arial" w:cs="Arial"/>
        </w:rPr>
        <w:t>Impaired renal function with estimated glomerular filtration rate &lt;30 mL/min/1.73m2</w:t>
      </w:r>
    </w:p>
    <w:p w14:paraId="50D9D158" w14:textId="4B8698A3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19.</w:t>
      </w:r>
      <w:r>
        <w:rPr>
          <w:rFonts w:ascii="Arial" w:hAnsi="Arial" w:cs="Arial"/>
        </w:rPr>
        <w:t xml:space="preserve"> </w:t>
      </w:r>
      <w:r w:rsidRPr="00575C97">
        <w:rPr>
          <w:rFonts w:ascii="Arial" w:hAnsi="Arial" w:cs="Arial"/>
        </w:rPr>
        <w:t xml:space="preserve">Does not have a reliable caregiver in frequent contact with the subject and can </w:t>
      </w:r>
    </w:p>
    <w:p w14:paraId="4F40FEE6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accompany the subject to the clinic and treatment or be available by telephone at </w:t>
      </w:r>
    </w:p>
    <w:p w14:paraId="0B7FA6E8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designated times. Participants living in retirement homes may be included. Caregiver </w:t>
      </w:r>
    </w:p>
    <w:p w14:paraId="3B32D498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not willing to sign the Informed Consent Form.</w:t>
      </w:r>
    </w:p>
    <w:p w14:paraId="28129B8B" w14:textId="059A776A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20.</w:t>
      </w:r>
      <w:r>
        <w:rPr>
          <w:rFonts w:ascii="Arial" w:hAnsi="Arial" w:cs="Arial"/>
        </w:rPr>
        <w:t xml:space="preserve"> </w:t>
      </w:r>
      <w:r w:rsidRPr="00575C97">
        <w:rPr>
          <w:rFonts w:ascii="Arial" w:hAnsi="Arial" w:cs="Arial"/>
        </w:rPr>
        <w:t xml:space="preserve">Currently in a clinical trial involving an investigational product or non-approved use </w:t>
      </w:r>
    </w:p>
    <w:p w14:paraId="6CE5F28B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of a drug or device or in any other type of medical research.</w:t>
      </w:r>
    </w:p>
    <w:p w14:paraId="4C96B089" w14:textId="11E3DAF4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21.</w:t>
      </w:r>
      <w:r>
        <w:rPr>
          <w:rFonts w:ascii="Arial" w:hAnsi="Arial" w:cs="Arial"/>
        </w:rPr>
        <w:t xml:space="preserve"> </w:t>
      </w:r>
      <w:r w:rsidRPr="00575C97">
        <w:rPr>
          <w:rFonts w:ascii="Arial" w:hAnsi="Arial" w:cs="Arial"/>
        </w:rPr>
        <w:t xml:space="preserve">Respiratory: chronic pulmonary disorders </w:t>
      </w:r>
      <w:proofErr w:type="gramStart"/>
      <w:r w:rsidRPr="00575C97">
        <w:rPr>
          <w:rFonts w:ascii="Arial" w:hAnsi="Arial" w:cs="Arial"/>
        </w:rPr>
        <w:t>e.g.</w:t>
      </w:r>
      <w:proofErr w:type="gramEnd"/>
      <w:r w:rsidRPr="00575C97">
        <w:rPr>
          <w:rFonts w:ascii="Arial" w:hAnsi="Arial" w:cs="Arial"/>
        </w:rPr>
        <w:t xml:space="preserve"> severe emphysema, pulmonary </w:t>
      </w:r>
    </w:p>
    <w:p w14:paraId="4BFF634B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vasculitis, or other causes of reduced pulmonary vascular cross-sectional area, </w:t>
      </w:r>
    </w:p>
    <w:p w14:paraId="1F9100D3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patients with a history of drug allergies, uncontrolled </w:t>
      </w:r>
      <w:proofErr w:type="gramStart"/>
      <w:r w:rsidRPr="00575C97">
        <w:rPr>
          <w:rFonts w:ascii="Arial" w:hAnsi="Arial" w:cs="Arial"/>
        </w:rPr>
        <w:t>asthma</w:t>
      </w:r>
      <w:proofErr w:type="gramEnd"/>
      <w:r w:rsidRPr="00575C97">
        <w:rPr>
          <w:rFonts w:ascii="Arial" w:hAnsi="Arial" w:cs="Arial"/>
        </w:rPr>
        <w:t xml:space="preserve"> or hay fever, and </w:t>
      </w:r>
    </w:p>
    <w:p w14:paraId="18D96A8F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multiple allergies where the benefit/risk of administering DEFINITY is considered </w:t>
      </w:r>
    </w:p>
    <w:p w14:paraId="67D9A37F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unfavorable by the study physicians in relation to the product monograph for </w:t>
      </w:r>
    </w:p>
    <w:p w14:paraId="23623E24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DEFINITY. </w:t>
      </w:r>
    </w:p>
    <w:p w14:paraId="0AF6C05A" w14:textId="6D537404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22.</w:t>
      </w:r>
      <w:r>
        <w:rPr>
          <w:rFonts w:ascii="Arial" w:hAnsi="Arial" w:cs="Arial"/>
        </w:rPr>
        <w:t xml:space="preserve"> </w:t>
      </w:r>
      <w:r w:rsidRPr="00575C97">
        <w:rPr>
          <w:rFonts w:ascii="Arial" w:hAnsi="Arial" w:cs="Arial"/>
        </w:rPr>
        <w:t>Brain atrophy severe enough to limit targeting.</w:t>
      </w:r>
    </w:p>
    <w:p w14:paraId="373DE4EF" w14:textId="3596B231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23.</w:t>
      </w:r>
      <w:r>
        <w:rPr>
          <w:rFonts w:ascii="Arial" w:hAnsi="Arial" w:cs="Arial"/>
        </w:rPr>
        <w:t xml:space="preserve"> </w:t>
      </w:r>
      <w:r w:rsidRPr="00575C97">
        <w:rPr>
          <w:rFonts w:ascii="Arial" w:hAnsi="Arial" w:cs="Arial"/>
        </w:rPr>
        <w:t xml:space="preserve">History of drug or alcohol use disorder who may be at higher risk for seizure, </w:t>
      </w:r>
    </w:p>
    <w:p w14:paraId="5C846D0E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infection, and/or poor executive functioning.</w:t>
      </w:r>
    </w:p>
    <w:p w14:paraId="5F588FD2" w14:textId="713EDBA3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24.</w:t>
      </w:r>
      <w:r>
        <w:rPr>
          <w:rFonts w:ascii="Arial" w:hAnsi="Arial" w:cs="Arial"/>
        </w:rPr>
        <w:t xml:space="preserve"> </w:t>
      </w:r>
      <w:r w:rsidRPr="00575C97">
        <w:rPr>
          <w:rFonts w:ascii="Arial" w:hAnsi="Arial" w:cs="Arial"/>
        </w:rPr>
        <w:t xml:space="preserve">Positive human immunodeficiency virus (HIV) which can lead to increased entry of </w:t>
      </w:r>
    </w:p>
    <w:p w14:paraId="63924E0B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HIV into the brain parenchyma leading to HIV encephalitis.</w:t>
      </w:r>
    </w:p>
    <w:p w14:paraId="7EC8E544" w14:textId="137CF441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25.</w:t>
      </w:r>
      <w:r>
        <w:rPr>
          <w:rFonts w:ascii="Arial" w:hAnsi="Arial" w:cs="Arial"/>
        </w:rPr>
        <w:t xml:space="preserve"> </w:t>
      </w:r>
      <w:r w:rsidRPr="00575C97">
        <w:rPr>
          <w:rFonts w:ascii="Arial" w:hAnsi="Arial" w:cs="Arial"/>
        </w:rPr>
        <w:t xml:space="preserve">Potential blood-borne infections, which can lead to increased entry to brain </w:t>
      </w:r>
    </w:p>
    <w:p w14:paraId="7C1069C5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lastRenderedPageBreak/>
        <w:t>parenchyma leading to meningitis or brain abscess.</w:t>
      </w:r>
    </w:p>
    <w:p w14:paraId="1CB6A560" w14:textId="3BB314CA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26.</w:t>
      </w:r>
      <w:r>
        <w:rPr>
          <w:rFonts w:ascii="Arial" w:hAnsi="Arial" w:cs="Arial"/>
        </w:rPr>
        <w:t xml:space="preserve"> </w:t>
      </w:r>
      <w:r w:rsidRPr="00575C97">
        <w:rPr>
          <w:rFonts w:ascii="Arial" w:hAnsi="Arial" w:cs="Arial"/>
        </w:rPr>
        <w:t xml:space="preserve">Known apoliprotein E allele (ApoE4) homozygosity, which has been found to be </w:t>
      </w:r>
    </w:p>
    <w:p w14:paraId="25F322A0" w14:textId="4A0DF420" w:rsid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associated with thinning of the blood brain barrier</w:t>
      </w:r>
    </w:p>
    <w:p w14:paraId="145B41F9" w14:textId="77777777" w:rsidR="00575C97" w:rsidRPr="00575C97" w:rsidRDefault="00575C97" w:rsidP="00575C97">
      <w:pPr>
        <w:rPr>
          <w:rFonts w:ascii="Arial" w:hAnsi="Arial" w:cs="Arial"/>
        </w:rPr>
      </w:pPr>
    </w:p>
    <w:p w14:paraId="7B842A4A" w14:textId="77777777" w:rsidR="00575C97" w:rsidRPr="00575C97" w:rsidRDefault="00575C97" w:rsidP="00575C97">
      <w:pPr>
        <w:rPr>
          <w:rFonts w:ascii="Arial" w:hAnsi="Arial" w:cs="Arial"/>
          <w:b/>
          <w:bCs/>
          <w:u w:val="single"/>
        </w:rPr>
      </w:pPr>
      <w:r w:rsidRPr="00575C97">
        <w:rPr>
          <w:rFonts w:ascii="Arial" w:hAnsi="Arial" w:cs="Arial"/>
          <w:b/>
          <w:bCs/>
          <w:u w:val="single"/>
        </w:rPr>
        <w:t xml:space="preserve">Additional Exclusion Criteria for Cycles 2 and/or 3 of Exablate BBBD: </w:t>
      </w:r>
    </w:p>
    <w:p w14:paraId="185754BE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Subjects who have experienced an adverse event or serious adverse event as noted </w:t>
      </w:r>
    </w:p>
    <w:p w14:paraId="695ABA3D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below (1-3) may be exempted from further Exablate BBBD procedures and go directly </w:t>
      </w:r>
    </w:p>
    <w:p w14:paraId="58A79F5C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to the latter follow-up visits. </w:t>
      </w:r>
    </w:p>
    <w:p w14:paraId="31996729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1. A significant cognitive decline or significant mood/behavioral change </w:t>
      </w:r>
    </w:p>
    <w:p w14:paraId="65176875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2. A significant and unresolved neurologic impairment noted at the </w:t>
      </w:r>
      <w:proofErr w:type="gramStart"/>
      <w:r w:rsidRPr="00575C97">
        <w:rPr>
          <w:rFonts w:ascii="Arial" w:hAnsi="Arial" w:cs="Arial"/>
        </w:rPr>
        <w:t>14 day</w:t>
      </w:r>
      <w:proofErr w:type="gramEnd"/>
      <w:r w:rsidRPr="00575C97">
        <w:rPr>
          <w:rFonts w:ascii="Arial" w:hAnsi="Arial" w:cs="Arial"/>
        </w:rPr>
        <w:t xml:space="preserve"> assessment </w:t>
      </w:r>
    </w:p>
    <w:p w14:paraId="4E0F452B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prior to the next Exablate BBBD cycle. </w:t>
      </w:r>
    </w:p>
    <w:p w14:paraId="3ADD5558" w14:textId="77777777" w:rsidR="00575C97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 xml:space="preserve">3. A significant MRI finding (i.e., overt cerebral hemorrhage or infarction). Note: Some </w:t>
      </w:r>
    </w:p>
    <w:p w14:paraId="2B73EECD" w14:textId="0BFEB8D7" w:rsidR="00751F5F" w:rsidRPr="00575C97" w:rsidRDefault="00575C97" w:rsidP="00575C97">
      <w:pPr>
        <w:rPr>
          <w:rFonts w:ascii="Arial" w:hAnsi="Arial" w:cs="Arial"/>
        </w:rPr>
      </w:pPr>
      <w:r w:rsidRPr="00575C97">
        <w:rPr>
          <w:rFonts w:ascii="Arial" w:hAnsi="Arial" w:cs="Arial"/>
        </w:rPr>
        <w:t>degraded blood products at/around the target are expected as SWI signal</w:t>
      </w:r>
      <w:r>
        <w:rPr>
          <w:rFonts w:ascii="Arial" w:hAnsi="Arial" w:cs="Arial"/>
        </w:rPr>
        <w:t>.</w:t>
      </w:r>
    </w:p>
    <w:sectPr w:rsidR="00751F5F" w:rsidRPr="00575C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C97"/>
    <w:rsid w:val="003E5690"/>
    <w:rsid w:val="00575C97"/>
    <w:rsid w:val="00751F5F"/>
    <w:rsid w:val="00D778C1"/>
    <w:rsid w:val="00E9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E0463"/>
  <w15:chartTrackingRefBased/>
  <w15:docId w15:val="{518F3D49-B17E-405D-86C5-81C4DEE4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Mehta, Rashi</dc:creator>
  <cp:keywords/>
  <dc:description/>
  <cp:lastModifiedBy>Mehta, Rashi</cp:lastModifiedBy>
  <cp:revision>3</cp:revision>
  <dcterms:created xsi:type="dcterms:W3CDTF">2022-11-23T01:56:00Z</dcterms:created>
  <dcterms:modified xsi:type="dcterms:W3CDTF">2022-12-04T20:39:00Z</dcterms:modified>
</cp:coreProperties>
</file>