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5453" w14:textId="77777777" w:rsidR="00394AA6" w:rsidRPr="00C8759C" w:rsidRDefault="00394AA6" w:rsidP="00394AA6">
      <w:pPr>
        <w:spacing w:line="360" w:lineRule="auto"/>
        <w:contextualSpacing/>
        <w:jc w:val="both"/>
      </w:pPr>
    </w:p>
    <w:p w14:paraId="20AFD902" w14:textId="77777777" w:rsidR="00394AA6" w:rsidRPr="00C8759C" w:rsidRDefault="00394AA6" w:rsidP="00394AA6">
      <w:pPr>
        <w:spacing w:line="360" w:lineRule="auto"/>
        <w:contextualSpacing/>
        <w:jc w:val="both"/>
      </w:pPr>
    </w:p>
    <w:p w14:paraId="1524E7F0" w14:textId="77777777" w:rsidR="00394AA6" w:rsidRPr="00C8759C" w:rsidRDefault="00394AA6" w:rsidP="00394AA6">
      <w:pPr>
        <w:spacing w:line="360" w:lineRule="auto"/>
        <w:contextualSpacing/>
        <w:jc w:val="both"/>
      </w:pPr>
      <w:r w:rsidRPr="00C8759C">
        <w:rPr>
          <w:noProof/>
        </w:rPr>
        <w:drawing>
          <wp:inline distT="0" distB="0" distL="0" distR="0" wp14:anchorId="386B1BF3" wp14:editId="001C03D6">
            <wp:extent cx="3225800" cy="4381500"/>
            <wp:effectExtent l="0" t="0" r="0" b="0"/>
            <wp:docPr id="1595846283" name="Picture 2" descr="A collage of images of green and purple sp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846283" name="Picture 2" descr="A collage of images of green and purple spots&#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25800" cy="4381500"/>
                    </a:xfrm>
                    <a:prstGeom prst="rect">
                      <a:avLst/>
                    </a:prstGeom>
                  </pic:spPr>
                </pic:pic>
              </a:graphicData>
            </a:graphic>
          </wp:inline>
        </w:drawing>
      </w:r>
    </w:p>
    <w:p w14:paraId="43E29D3B" w14:textId="77777777" w:rsidR="00394AA6" w:rsidRPr="00C8759C" w:rsidRDefault="00394AA6" w:rsidP="00394AA6">
      <w:pPr>
        <w:pStyle w:val="Heading1"/>
        <w:spacing w:line="240" w:lineRule="auto"/>
        <w:contextualSpacing/>
        <w:rPr>
          <w:b w:val="0"/>
          <w:szCs w:val="24"/>
        </w:rPr>
      </w:pPr>
      <w:r w:rsidRPr="00C8759C">
        <w:rPr>
          <w:bCs w:val="0"/>
          <w:szCs w:val="24"/>
        </w:rPr>
        <w:t xml:space="preserve">Figure S1.  </w:t>
      </w:r>
      <w:r w:rsidRPr="00C8759C">
        <w:rPr>
          <w:szCs w:val="24"/>
        </w:rPr>
        <w:t>Long-term imaging of tumor-vessel interactions in blood-tumor barrier model.</w:t>
      </w:r>
    </w:p>
    <w:p w14:paraId="67B6BF5E" w14:textId="77777777" w:rsidR="00394AA6" w:rsidRPr="00C8759C" w:rsidRDefault="00394AA6" w:rsidP="00394AA6">
      <w:pPr>
        <w:pStyle w:val="Heading1"/>
        <w:spacing w:line="240" w:lineRule="auto"/>
        <w:contextualSpacing/>
        <w:rPr>
          <w:b w:val="0"/>
          <w:szCs w:val="24"/>
        </w:rPr>
      </w:pPr>
      <w:r w:rsidRPr="00C8759C">
        <w:rPr>
          <w:b w:val="0"/>
          <w:szCs w:val="24"/>
        </w:rPr>
        <w:t xml:space="preserve">(a) Representative images of the BTB model over 14 days. At late time points, cancer cell growth resulted in contact with the glass slide at the bottom of the microfluidic device thereby obstructing imaging. </w:t>
      </w:r>
    </w:p>
    <w:p w14:paraId="68D8584E" w14:textId="77777777" w:rsidR="00394AA6" w:rsidRPr="00C8759C" w:rsidRDefault="00394AA6" w:rsidP="00394AA6">
      <w:pPr>
        <w:pStyle w:val="Heading1"/>
        <w:spacing w:line="240" w:lineRule="auto"/>
        <w:contextualSpacing/>
        <w:rPr>
          <w:b w:val="0"/>
          <w:szCs w:val="24"/>
        </w:rPr>
      </w:pPr>
      <w:r w:rsidRPr="00C8759C">
        <w:rPr>
          <w:b w:val="0"/>
          <w:szCs w:val="24"/>
        </w:rPr>
        <w:t xml:space="preserve">(b) Representative image of complete co-option of channels with cancer cells at day 14.  </w:t>
      </w:r>
      <w:r w:rsidRPr="00C8759C">
        <w:rPr>
          <w:b w:val="0"/>
          <w:bCs w:val="0"/>
        </w:rPr>
        <w:t>iBMECs (magenta) and JIMT-1-BR (green).</w:t>
      </w:r>
      <w:r w:rsidRPr="00C8759C">
        <w:rPr>
          <w:bCs w:val="0"/>
        </w:rPr>
        <w:t xml:space="preserve">  </w:t>
      </w:r>
    </w:p>
    <w:p w14:paraId="4EC09C66" w14:textId="77777777" w:rsidR="00394AA6" w:rsidRPr="00C8759C" w:rsidRDefault="00394AA6" w:rsidP="00394AA6">
      <w:pPr>
        <w:spacing w:line="360" w:lineRule="auto"/>
        <w:contextualSpacing/>
        <w:jc w:val="both"/>
      </w:pPr>
    </w:p>
    <w:p w14:paraId="4E3CDCC1" w14:textId="77777777" w:rsidR="00394AA6" w:rsidRPr="00C8759C" w:rsidRDefault="00394AA6" w:rsidP="00394AA6">
      <w:pPr>
        <w:spacing w:line="360" w:lineRule="auto"/>
        <w:contextualSpacing/>
        <w:jc w:val="both"/>
        <w:rPr>
          <w:i/>
          <w:iCs/>
        </w:rPr>
      </w:pPr>
    </w:p>
    <w:p w14:paraId="0FEDC0F1" w14:textId="77777777" w:rsidR="00394AA6" w:rsidRPr="00C8759C" w:rsidRDefault="00394AA6" w:rsidP="00394AA6">
      <w:pPr>
        <w:spacing w:line="360" w:lineRule="auto"/>
        <w:contextualSpacing/>
        <w:jc w:val="both"/>
        <w:rPr>
          <w:i/>
          <w:iCs/>
        </w:rPr>
      </w:pPr>
    </w:p>
    <w:p w14:paraId="2F0F9573" w14:textId="77777777" w:rsidR="00394AA6" w:rsidRPr="00C8759C" w:rsidRDefault="00394AA6" w:rsidP="00394AA6">
      <w:pPr>
        <w:contextualSpacing/>
        <w:jc w:val="both"/>
        <w:rPr>
          <w:b/>
        </w:rPr>
      </w:pPr>
    </w:p>
    <w:p w14:paraId="03E52397" w14:textId="77777777" w:rsidR="00394AA6" w:rsidRPr="00C8759C" w:rsidRDefault="00394AA6" w:rsidP="00394AA6">
      <w:pPr>
        <w:contextualSpacing/>
        <w:jc w:val="both"/>
        <w:rPr>
          <w:b/>
        </w:rPr>
      </w:pPr>
    </w:p>
    <w:p w14:paraId="0892FDEC" w14:textId="77777777" w:rsidR="00394AA6" w:rsidRPr="00C8759C" w:rsidRDefault="00394AA6" w:rsidP="00394AA6">
      <w:pPr>
        <w:contextualSpacing/>
        <w:jc w:val="both"/>
        <w:rPr>
          <w:b/>
        </w:rPr>
      </w:pPr>
      <w:r w:rsidRPr="00C8759C">
        <w:rPr>
          <w:b/>
          <w:noProof/>
        </w:rPr>
        <w:lastRenderedPageBreak/>
        <w:drawing>
          <wp:inline distT="0" distB="0" distL="0" distR="0" wp14:anchorId="4DCBD1F4" wp14:editId="1F4253BD">
            <wp:extent cx="5943600" cy="6069965"/>
            <wp:effectExtent l="0" t="0" r="0" b="635"/>
            <wp:docPr id="707762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62626" name="Picture 7077626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6069965"/>
                    </a:xfrm>
                    <a:prstGeom prst="rect">
                      <a:avLst/>
                    </a:prstGeom>
                  </pic:spPr>
                </pic:pic>
              </a:graphicData>
            </a:graphic>
          </wp:inline>
        </w:drawing>
      </w:r>
    </w:p>
    <w:p w14:paraId="0A2404B4" w14:textId="77777777" w:rsidR="00394AA6" w:rsidRPr="003E1881" w:rsidRDefault="00394AA6" w:rsidP="00394AA6">
      <w:pPr>
        <w:contextualSpacing/>
        <w:jc w:val="both"/>
        <w:rPr>
          <w:rFonts w:ascii="Times New Roman" w:hAnsi="Times New Roman" w:cs="Times New Roman"/>
          <w:b/>
          <w:sz w:val="24"/>
          <w:szCs w:val="24"/>
        </w:rPr>
      </w:pPr>
    </w:p>
    <w:p w14:paraId="22D5292F" w14:textId="77777777" w:rsidR="00394AA6" w:rsidRPr="003E1881" w:rsidRDefault="00394AA6" w:rsidP="00394AA6">
      <w:pPr>
        <w:contextualSpacing/>
        <w:jc w:val="both"/>
        <w:rPr>
          <w:rFonts w:ascii="Times New Roman" w:hAnsi="Times New Roman" w:cs="Times New Roman"/>
          <w:sz w:val="24"/>
          <w:szCs w:val="24"/>
        </w:rPr>
      </w:pPr>
      <w:r w:rsidRPr="003E1881">
        <w:rPr>
          <w:rFonts w:ascii="Times New Roman" w:hAnsi="Times New Roman" w:cs="Times New Roman"/>
          <w:b/>
          <w:sz w:val="24"/>
          <w:szCs w:val="24"/>
        </w:rPr>
        <w:t>Figure S2. Supplemental images of microvessel permeability and IgG accumulation.</w:t>
      </w:r>
      <w:r w:rsidRPr="003E1881">
        <w:rPr>
          <w:rFonts w:ascii="Times New Roman" w:hAnsi="Times New Roman" w:cs="Times New Roman"/>
          <w:sz w:val="24"/>
          <w:szCs w:val="24"/>
        </w:rPr>
        <w:t xml:space="preserve"> </w:t>
      </w:r>
    </w:p>
    <w:p w14:paraId="6699C7F7" w14:textId="77777777" w:rsidR="00394AA6" w:rsidRPr="003E1881" w:rsidRDefault="00394AA6" w:rsidP="00394AA6">
      <w:pPr>
        <w:contextualSpacing/>
        <w:jc w:val="both"/>
        <w:rPr>
          <w:rFonts w:ascii="Times New Roman" w:hAnsi="Times New Roman" w:cs="Times New Roman"/>
          <w:bCs/>
          <w:sz w:val="24"/>
          <w:szCs w:val="24"/>
        </w:rPr>
      </w:pPr>
      <w:r w:rsidRPr="003E1881">
        <w:rPr>
          <w:rFonts w:ascii="Times New Roman" w:hAnsi="Times New Roman" w:cs="Times New Roman"/>
          <w:bCs/>
          <w:sz w:val="24"/>
          <w:szCs w:val="24"/>
        </w:rPr>
        <w:t xml:space="preserve">(a) Representative time course images of a permeability experiment for BBB and BTB microvessels.  Dotted line shows the boundary between ECM and microvessel lumen.  Arrows indicate sites of focal leaks along the length of a BTB microvessel at 20 minutes.  </w:t>
      </w:r>
    </w:p>
    <w:p w14:paraId="34992B0B" w14:textId="77777777" w:rsidR="00394AA6" w:rsidRPr="003E1881" w:rsidRDefault="00394AA6" w:rsidP="00394AA6">
      <w:pPr>
        <w:contextualSpacing/>
        <w:jc w:val="both"/>
        <w:rPr>
          <w:rFonts w:ascii="Times New Roman" w:hAnsi="Times New Roman" w:cs="Times New Roman"/>
          <w:bCs/>
          <w:sz w:val="24"/>
          <w:szCs w:val="24"/>
        </w:rPr>
      </w:pPr>
      <w:r w:rsidRPr="003E1881">
        <w:rPr>
          <w:rFonts w:ascii="Times New Roman" w:hAnsi="Times New Roman" w:cs="Times New Roman"/>
          <w:bCs/>
          <w:sz w:val="24"/>
          <w:szCs w:val="24"/>
        </w:rPr>
        <w:t>(b) Day 2 and 4 fluorescence images of non-specific IgG (blue) and anti-HER2 IgG (magenta) accumulation.  At baseline, Cascade blue delineates the cancer spheroids, but the signal does not accumulate over time.  Over time, anti-HER2 IgG accumulates in the endothelium and spheroids, but not ECM.  Representative ROIs used for quantification are shown in inset of the image.</w:t>
      </w:r>
    </w:p>
    <w:p w14:paraId="73151671" w14:textId="77777777" w:rsidR="00394AA6" w:rsidRPr="00C8759C" w:rsidRDefault="00394AA6" w:rsidP="00394AA6">
      <w:pPr>
        <w:spacing w:line="360" w:lineRule="auto"/>
        <w:contextualSpacing/>
        <w:jc w:val="both"/>
        <w:rPr>
          <w:i/>
          <w:iCs/>
        </w:rPr>
      </w:pPr>
    </w:p>
    <w:p w14:paraId="0B0AD7E7" w14:textId="77777777" w:rsidR="00394AA6" w:rsidRPr="00C8759C" w:rsidRDefault="00394AA6" w:rsidP="00394AA6">
      <w:pPr>
        <w:contextualSpacing/>
        <w:jc w:val="both"/>
      </w:pPr>
    </w:p>
    <w:p w14:paraId="3A096D4B" w14:textId="77777777" w:rsidR="00394AA6" w:rsidRPr="00C8759C" w:rsidRDefault="00394AA6" w:rsidP="00394AA6">
      <w:pPr>
        <w:jc w:val="center"/>
      </w:pPr>
      <w:r w:rsidRPr="00C8759C">
        <w:rPr>
          <w:noProof/>
        </w:rPr>
        <w:lastRenderedPageBreak/>
        <w:drawing>
          <wp:inline distT="0" distB="0" distL="0" distR="0" wp14:anchorId="4E933035" wp14:editId="7FAD4415">
            <wp:extent cx="3636889" cy="5322277"/>
            <wp:effectExtent l="0" t="0" r="0" b="0"/>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6" cstate="print">
                      <a:extLst>
                        <a:ext uri="{28A0092B-C50C-407E-A947-70E740481C1C}">
                          <a14:useLocalDpi xmlns:a14="http://schemas.microsoft.com/office/drawing/2010/main"/>
                        </a:ext>
                      </a:extLst>
                    </a:blip>
                    <a:stretch>
                      <a:fillRect/>
                    </a:stretch>
                  </pic:blipFill>
                  <pic:spPr>
                    <a:xfrm>
                      <a:off x="0" y="0"/>
                      <a:ext cx="3640897" cy="5328143"/>
                    </a:xfrm>
                    <a:prstGeom prst="rect">
                      <a:avLst/>
                    </a:prstGeom>
                  </pic:spPr>
                </pic:pic>
              </a:graphicData>
            </a:graphic>
          </wp:inline>
        </w:drawing>
      </w:r>
    </w:p>
    <w:p w14:paraId="16B2AED0" w14:textId="77777777" w:rsidR="00394AA6" w:rsidRPr="00C8759C" w:rsidRDefault="00394AA6" w:rsidP="00394AA6"/>
    <w:p w14:paraId="5FE92FDC" w14:textId="77777777" w:rsidR="00394AA6" w:rsidRPr="00C8759C" w:rsidRDefault="00394AA6" w:rsidP="00394AA6">
      <w:pPr>
        <w:pStyle w:val="Heading1"/>
        <w:spacing w:line="240" w:lineRule="auto"/>
        <w:contextualSpacing/>
        <w:rPr>
          <w:b w:val="0"/>
          <w:szCs w:val="24"/>
        </w:rPr>
      </w:pPr>
      <w:r w:rsidRPr="00C8759C">
        <w:rPr>
          <w:bCs w:val="0"/>
          <w:szCs w:val="24"/>
        </w:rPr>
        <w:t xml:space="preserve">Figure S3. </w:t>
      </w:r>
      <w:r w:rsidRPr="00C8759C">
        <w:rPr>
          <w:szCs w:val="24"/>
        </w:rPr>
        <w:t>Details of RNA sequencing results.</w:t>
      </w:r>
      <w:r w:rsidRPr="00C8759C">
        <w:rPr>
          <w:b w:val="0"/>
          <w:szCs w:val="24"/>
        </w:rPr>
        <w:t xml:space="preserve"> </w:t>
      </w:r>
    </w:p>
    <w:p w14:paraId="0FDE0402" w14:textId="77777777" w:rsidR="00394AA6" w:rsidRPr="00C8759C" w:rsidRDefault="00394AA6" w:rsidP="00394AA6">
      <w:pPr>
        <w:pStyle w:val="Heading1"/>
        <w:spacing w:line="240" w:lineRule="auto"/>
        <w:contextualSpacing/>
        <w:rPr>
          <w:b w:val="0"/>
          <w:szCs w:val="24"/>
        </w:rPr>
      </w:pPr>
      <w:r w:rsidRPr="00C8759C">
        <w:rPr>
          <w:b w:val="0"/>
          <w:szCs w:val="24"/>
        </w:rPr>
        <w:t xml:space="preserve">(a) Principal component analysis (PCA) of all samples.  </w:t>
      </w:r>
    </w:p>
    <w:p w14:paraId="534C8895" w14:textId="77777777" w:rsidR="00394AA6" w:rsidRPr="00C8759C" w:rsidRDefault="00394AA6" w:rsidP="00394AA6">
      <w:pPr>
        <w:pStyle w:val="Heading1"/>
        <w:spacing w:line="240" w:lineRule="auto"/>
        <w:contextualSpacing/>
        <w:rPr>
          <w:b w:val="0"/>
          <w:iCs/>
          <w:szCs w:val="24"/>
        </w:rPr>
      </w:pPr>
      <w:r w:rsidRPr="00C8759C">
        <w:rPr>
          <w:b w:val="0"/>
          <w:iCs/>
          <w:szCs w:val="24"/>
        </w:rPr>
        <w:t>(b) Heatmap of log</w:t>
      </w:r>
      <w:r w:rsidRPr="00C8759C">
        <w:rPr>
          <w:b w:val="0"/>
          <w:iCs/>
          <w:szCs w:val="24"/>
          <w:vertAlign w:val="subscript"/>
        </w:rPr>
        <w:t>2</w:t>
      </w:r>
      <w:r w:rsidRPr="00C8759C">
        <w:rPr>
          <w:b w:val="0"/>
          <w:iCs/>
          <w:szCs w:val="24"/>
        </w:rPr>
        <w:t xml:space="preserve">FC of endothelial, epithelial, cancer, and macrophage transcripts in iBMECs.  The first three heatmaps compare BTB to BBB microvessels, while the last compares BTB to BTB + macrophage microvessels.  DEGs are labeled with asterisks.  </w:t>
      </w:r>
    </w:p>
    <w:p w14:paraId="3A209D63" w14:textId="77777777" w:rsidR="00394AA6" w:rsidRPr="00C8759C" w:rsidRDefault="00394AA6" w:rsidP="00394AA6">
      <w:pPr>
        <w:pStyle w:val="Heading1"/>
        <w:spacing w:line="240" w:lineRule="auto"/>
        <w:contextualSpacing/>
        <w:rPr>
          <w:b w:val="0"/>
          <w:szCs w:val="24"/>
        </w:rPr>
      </w:pPr>
      <w:r w:rsidRPr="00C8759C">
        <w:rPr>
          <w:b w:val="0"/>
          <w:szCs w:val="24"/>
        </w:rPr>
        <w:t>(c) Transcript abundance measurements of genes validated using semi-quantitative immunofluorescence (see Fig. 5b).</w:t>
      </w:r>
    </w:p>
    <w:p w14:paraId="1042AFF7" w14:textId="77777777" w:rsidR="00394AA6" w:rsidRPr="00C8759C" w:rsidRDefault="00394AA6" w:rsidP="00394AA6">
      <w:pPr>
        <w:widowControl w:val="0"/>
        <w:spacing w:line="360" w:lineRule="auto"/>
        <w:jc w:val="both"/>
        <w:rPr>
          <w:b/>
        </w:rPr>
      </w:pPr>
      <w:r w:rsidRPr="00C8759C">
        <w:rPr>
          <w:b/>
          <w:noProof/>
        </w:rPr>
        <w:lastRenderedPageBreak/>
        <w:drawing>
          <wp:inline distT="0" distB="0" distL="0" distR="0" wp14:anchorId="3519C9DF" wp14:editId="39624DBF">
            <wp:extent cx="5943600" cy="3593465"/>
            <wp:effectExtent l="0" t="0" r="0" b="635"/>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7" cstate="print">
                      <a:extLst>
                        <a:ext uri="{28A0092B-C50C-407E-A947-70E740481C1C}">
                          <a14:useLocalDpi xmlns:a14="http://schemas.microsoft.com/office/drawing/2010/main"/>
                        </a:ext>
                      </a:extLst>
                    </a:blip>
                    <a:stretch>
                      <a:fillRect/>
                    </a:stretch>
                  </pic:blipFill>
                  <pic:spPr>
                    <a:xfrm>
                      <a:off x="0" y="0"/>
                      <a:ext cx="5943600" cy="3593465"/>
                    </a:xfrm>
                    <a:prstGeom prst="rect">
                      <a:avLst/>
                    </a:prstGeom>
                  </pic:spPr>
                </pic:pic>
              </a:graphicData>
            </a:graphic>
          </wp:inline>
        </w:drawing>
      </w:r>
    </w:p>
    <w:p w14:paraId="696557C4" w14:textId="77777777" w:rsidR="00394AA6" w:rsidRPr="00C8759C" w:rsidRDefault="00394AA6" w:rsidP="00394AA6">
      <w:pPr>
        <w:pStyle w:val="Heading1"/>
        <w:spacing w:line="240" w:lineRule="auto"/>
        <w:contextualSpacing/>
        <w:rPr>
          <w:bCs w:val="0"/>
          <w:szCs w:val="24"/>
        </w:rPr>
      </w:pPr>
      <w:r w:rsidRPr="00C8759C">
        <w:rPr>
          <w:bCs w:val="0"/>
          <w:szCs w:val="24"/>
        </w:rPr>
        <w:t>Figure S4.</w:t>
      </w:r>
      <w:r w:rsidRPr="00C8759C">
        <w:rPr>
          <w:b w:val="0"/>
          <w:szCs w:val="24"/>
        </w:rPr>
        <w:t xml:space="preserve"> </w:t>
      </w:r>
      <w:r w:rsidRPr="00C8759C">
        <w:rPr>
          <w:bCs w:val="0"/>
          <w:szCs w:val="24"/>
        </w:rPr>
        <w:t>Complete</w:t>
      </w:r>
      <w:r w:rsidRPr="00C8759C">
        <w:rPr>
          <w:szCs w:val="24"/>
        </w:rPr>
        <w:t xml:space="preserve"> gene set enrichment analysis (GSEA) of </w:t>
      </w:r>
      <w:r w:rsidRPr="00C8759C">
        <w:rPr>
          <w:szCs w:val="28"/>
        </w:rPr>
        <w:t>Molecular Signatures Database (</w:t>
      </w:r>
      <w:proofErr w:type="spellStart"/>
      <w:r w:rsidRPr="00C8759C">
        <w:rPr>
          <w:szCs w:val="28"/>
        </w:rPr>
        <w:t>MSigDB</w:t>
      </w:r>
      <w:proofErr w:type="spellEnd"/>
      <w:r w:rsidRPr="00C8759C">
        <w:rPr>
          <w:szCs w:val="28"/>
        </w:rPr>
        <w:t>) hallmark gene sets</w:t>
      </w:r>
      <w:r w:rsidRPr="00C8759C">
        <w:rPr>
          <w:szCs w:val="24"/>
        </w:rPr>
        <w:t>.</w:t>
      </w:r>
      <w:r w:rsidRPr="00C8759C">
        <w:rPr>
          <w:b w:val="0"/>
          <w:szCs w:val="24"/>
        </w:rPr>
        <w:t xml:space="preserve">  (a) Normalized enrichment scores (NES) comparing BBB to BTB microvessels.  (b) NES comparing BTB to BTB + macrophage microvessels.</w:t>
      </w:r>
    </w:p>
    <w:p w14:paraId="6FE4ED84" w14:textId="77777777" w:rsidR="00394AA6" w:rsidRPr="00C8759C" w:rsidRDefault="00394AA6" w:rsidP="00394AA6">
      <w:pPr>
        <w:pStyle w:val="Figurecaptions"/>
        <w:rPr>
          <w:rFonts w:ascii="Times New Roman" w:hAnsi="Times New Roman"/>
          <w:color w:val="auto"/>
        </w:rPr>
      </w:pPr>
    </w:p>
    <w:p w14:paraId="3C78CFB3" w14:textId="77777777" w:rsidR="00394AA6" w:rsidRPr="00C8759C" w:rsidRDefault="00394AA6" w:rsidP="00394AA6">
      <w:pPr>
        <w:spacing w:line="360" w:lineRule="auto"/>
        <w:ind w:firstLine="360"/>
        <w:contextualSpacing/>
        <w:jc w:val="both"/>
      </w:pPr>
    </w:p>
    <w:p w14:paraId="01C4CB7D" w14:textId="77777777" w:rsidR="00394AA6" w:rsidRPr="00C8759C" w:rsidRDefault="00394AA6" w:rsidP="00394AA6">
      <w:pPr>
        <w:pStyle w:val="Heading1"/>
        <w:spacing w:line="240" w:lineRule="auto"/>
        <w:contextualSpacing/>
        <w:rPr>
          <w:bCs w:val="0"/>
          <w:szCs w:val="24"/>
        </w:rPr>
      </w:pPr>
    </w:p>
    <w:p w14:paraId="75BF3C7E" w14:textId="77777777" w:rsidR="00394AA6" w:rsidRPr="00C8759C" w:rsidRDefault="00394AA6" w:rsidP="00394AA6">
      <w:pPr>
        <w:pStyle w:val="Heading1"/>
        <w:spacing w:line="240" w:lineRule="auto"/>
        <w:contextualSpacing/>
        <w:jc w:val="center"/>
        <w:rPr>
          <w:bCs w:val="0"/>
          <w:szCs w:val="24"/>
        </w:rPr>
      </w:pPr>
      <w:r w:rsidRPr="00C8759C">
        <w:rPr>
          <w:bCs w:val="0"/>
          <w:noProof/>
          <w:szCs w:val="24"/>
        </w:rPr>
        <w:lastRenderedPageBreak/>
        <w:drawing>
          <wp:inline distT="0" distB="0" distL="0" distR="0" wp14:anchorId="0B4D7B25" wp14:editId="3679FD5A">
            <wp:extent cx="4826000" cy="3517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 cstate="print">
                      <a:extLst>
                        <a:ext uri="{28A0092B-C50C-407E-A947-70E740481C1C}">
                          <a14:useLocalDpi xmlns:a14="http://schemas.microsoft.com/office/drawing/2010/main"/>
                        </a:ext>
                      </a:extLst>
                    </a:blip>
                    <a:stretch>
                      <a:fillRect/>
                    </a:stretch>
                  </pic:blipFill>
                  <pic:spPr>
                    <a:xfrm>
                      <a:off x="0" y="0"/>
                      <a:ext cx="4826000" cy="3517900"/>
                    </a:xfrm>
                    <a:prstGeom prst="rect">
                      <a:avLst/>
                    </a:prstGeom>
                  </pic:spPr>
                </pic:pic>
              </a:graphicData>
            </a:graphic>
          </wp:inline>
        </w:drawing>
      </w:r>
    </w:p>
    <w:p w14:paraId="4480B5EC" w14:textId="77777777" w:rsidR="00394AA6" w:rsidRPr="00C8759C" w:rsidRDefault="00394AA6" w:rsidP="00394AA6">
      <w:pPr>
        <w:pStyle w:val="Heading1"/>
        <w:spacing w:line="240" w:lineRule="auto"/>
        <w:contextualSpacing/>
        <w:rPr>
          <w:bCs w:val="0"/>
          <w:szCs w:val="24"/>
        </w:rPr>
      </w:pPr>
    </w:p>
    <w:p w14:paraId="18CFEACA" w14:textId="77777777" w:rsidR="00394AA6" w:rsidRPr="00C8759C" w:rsidRDefault="00394AA6" w:rsidP="00394AA6">
      <w:pPr>
        <w:pStyle w:val="Heading1"/>
        <w:spacing w:line="240" w:lineRule="auto"/>
        <w:contextualSpacing/>
        <w:rPr>
          <w:b w:val="0"/>
          <w:szCs w:val="24"/>
        </w:rPr>
      </w:pPr>
      <w:r w:rsidRPr="00C8759C">
        <w:rPr>
          <w:bCs w:val="0"/>
          <w:szCs w:val="24"/>
        </w:rPr>
        <w:t xml:space="preserve">Figure S5.  Exploring chemical microenvironmental regulation of the </w:t>
      </w:r>
      <w:proofErr w:type="gramStart"/>
      <w:r w:rsidRPr="00C8759C">
        <w:rPr>
          <w:bCs w:val="0"/>
          <w:szCs w:val="24"/>
        </w:rPr>
        <w:t>BTB.</w:t>
      </w:r>
      <w:r w:rsidRPr="00C8759C">
        <w:rPr>
          <w:szCs w:val="24"/>
        </w:rPr>
        <w:t>.</w:t>
      </w:r>
      <w:proofErr w:type="gramEnd"/>
    </w:p>
    <w:p w14:paraId="7B6F08DE" w14:textId="77777777" w:rsidR="00394AA6" w:rsidRPr="00C8759C" w:rsidRDefault="00394AA6" w:rsidP="00394AA6">
      <w:pPr>
        <w:pStyle w:val="Heading1"/>
        <w:spacing w:line="240" w:lineRule="auto"/>
        <w:contextualSpacing/>
        <w:rPr>
          <w:b w:val="0"/>
          <w:bCs w:val="0"/>
          <w:szCs w:val="24"/>
        </w:rPr>
      </w:pPr>
      <w:r w:rsidRPr="00C8759C">
        <w:rPr>
          <w:b w:val="0"/>
          <w:bCs w:val="0"/>
          <w:szCs w:val="24"/>
        </w:rPr>
        <w:t>(a) Schematic of 2D Transwell experiments.  iBMECs were cultured on a porous membrane and either exposed to microvessel-conditioned media or cancer spheroids in the basolateral chamber.  Transendothelial electrical resistance (TEER) is measured daily.</w:t>
      </w:r>
    </w:p>
    <w:p w14:paraId="6DB42368" w14:textId="77777777" w:rsidR="00394AA6" w:rsidRPr="00C8759C" w:rsidRDefault="00394AA6" w:rsidP="00394AA6">
      <w:pPr>
        <w:pStyle w:val="Heading1"/>
        <w:spacing w:line="240" w:lineRule="auto"/>
        <w:contextualSpacing/>
        <w:rPr>
          <w:b w:val="0"/>
          <w:bCs w:val="0"/>
          <w:szCs w:val="24"/>
        </w:rPr>
      </w:pPr>
      <w:r w:rsidRPr="00C8759C">
        <w:rPr>
          <w:b w:val="0"/>
          <w:bCs w:val="0"/>
          <w:szCs w:val="24"/>
        </w:rPr>
        <w:t>(b) BBB and BTB-conditioned media does not alter average TEER of iBMECs over six days of exposure (</w:t>
      </w:r>
      <w:r w:rsidRPr="00C8759C">
        <w:rPr>
          <w:b w:val="0"/>
          <w:bCs w:val="0"/>
          <w:i/>
          <w:iCs/>
          <w:szCs w:val="24"/>
        </w:rPr>
        <w:t xml:space="preserve">n </w:t>
      </w:r>
      <w:r w:rsidRPr="00C8759C">
        <w:rPr>
          <w:b w:val="0"/>
          <w:bCs w:val="0"/>
          <w:szCs w:val="24"/>
        </w:rPr>
        <w:t xml:space="preserve">= 4 – 5 biological replicates).  </w:t>
      </w:r>
    </w:p>
    <w:p w14:paraId="32BF493D" w14:textId="77777777" w:rsidR="00394AA6" w:rsidRPr="00C8759C" w:rsidRDefault="00394AA6" w:rsidP="00394AA6">
      <w:pPr>
        <w:pStyle w:val="Heading1"/>
        <w:spacing w:line="240" w:lineRule="auto"/>
        <w:contextualSpacing/>
        <w:rPr>
          <w:b w:val="0"/>
          <w:bCs w:val="0"/>
          <w:szCs w:val="24"/>
        </w:rPr>
      </w:pPr>
      <w:r w:rsidRPr="00C8759C">
        <w:rPr>
          <w:b w:val="0"/>
          <w:bCs w:val="0"/>
          <w:szCs w:val="24"/>
        </w:rPr>
        <w:t>(c) The presence of cancer cells in the basolateral chamber increases average the TEER of iBMECs (</w:t>
      </w:r>
      <w:r w:rsidRPr="00C8759C">
        <w:rPr>
          <w:b w:val="0"/>
          <w:bCs w:val="0"/>
          <w:i/>
          <w:iCs/>
          <w:szCs w:val="24"/>
        </w:rPr>
        <w:t xml:space="preserve">n </w:t>
      </w:r>
      <w:r w:rsidRPr="00C8759C">
        <w:rPr>
          <w:b w:val="0"/>
          <w:bCs w:val="0"/>
          <w:szCs w:val="24"/>
        </w:rPr>
        <w:t>= 3 biological replicates).</w:t>
      </w:r>
    </w:p>
    <w:p w14:paraId="6F6977C2" w14:textId="77777777" w:rsidR="00394AA6" w:rsidRPr="00C8759C" w:rsidRDefault="00394AA6" w:rsidP="00394AA6">
      <w:pPr>
        <w:pStyle w:val="Heading1"/>
        <w:spacing w:line="240" w:lineRule="auto"/>
        <w:contextualSpacing/>
        <w:rPr>
          <w:b w:val="0"/>
          <w:bCs w:val="0"/>
          <w:szCs w:val="24"/>
        </w:rPr>
      </w:pPr>
      <w:r w:rsidRPr="00C8759C">
        <w:rPr>
          <w:b w:val="0"/>
          <w:bCs w:val="0"/>
          <w:szCs w:val="24"/>
        </w:rPr>
        <w:t>(d) Quantification of spheroid fluorescence between 2D and 3D models.  Fold change (FC) represents fluorescence on day 6 compared to day 1 (</w:t>
      </w:r>
      <w:r w:rsidRPr="00C8759C">
        <w:rPr>
          <w:b w:val="0"/>
          <w:bCs w:val="0"/>
          <w:i/>
          <w:iCs/>
          <w:szCs w:val="24"/>
        </w:rPr>
        <w:t xml:space="preserve">n </w:t>
      </w:r>
      <w:r w:rsidRPr="00C8759C">
        <w:rPr>
          <w:b w:val="0"/>
          <w:bCs w:val="0"/>
          <w:szCs w:val="24"/>
        </w:rPr>
        <w:t xml:space="preserve">= 3 and 6 biological replicates, respectively, where individual values represent average fold change across all spheroids in a Transwell or 3D microvessel).  </w:t>
      </w:r>
    </w:p>
    <w:p w14:paraId="3C243C12" w14:textId="16D00B97" w:rsidR="00394AA6" w:rsidRPr="00C8759C" w:rsidRDefault="00394AA6" w:rsidP="00394AA6">
      <w:pPr>
        <w:pStyle w:val="Heading1"/>
        <w:spacing w:line="240" w:lineRule="auto"/>
        <w:contextualSpacing/>
        <w:rPr>
          <w:b w:val="0"/>
          <w:szCs w:val="24"/>
        </w:rPr>
      </w:pPr>
      <w:r w:rsidRPr="00C8759C">
        <w:rPr>
          <w:b w:val="0"/>
          <w:bCs w:val="0"/>
          <w:szCs w:val="24"/>
        </w:rPr>
        <w:t>(e)</w:t>
      </w:r>
      <w:r w:rsidRPr="00C8759C">
        <w:rPr>
          <w:b w:val="0"/>
          <w:szCs w:val="24"/>
        </w:rPr>
        <w:t xml:space="preserve"> ELISA results across six analytes </w:t>
      </w:r>
      <w:r w:rsidRPr="00C8759C">
        <w:rPr>
          <w:b w:val="0"/>
          <w:bCs w:val="0"/>
          <w:szCs w:val="24"/>
        </w:rPr>
        <w:t>(</w:t>
      </w:r>
      <w:r w:rsidRPr="00C8759C">
        <w:rPr>
          <w:b w:val="0"/>
          <w:bCs w:val="0"/>
          <w:i/>
          <w:iCs/>
          <w:szCs w:val="24"/>
        </w:rPr>
        <w:t xml:space="preserve">n </w:t>
      </w:r>
      <w:r w:rsidRPr="00C8759C">
        <w:rPr>
          <w:b w:val="0"/>
          <w:bCs w:val="0"/>
          <w:szCs w:val="24"/>
        </w:rPr>
        <w:t>= 5 perfusates from BBB and BTB microvessels at day 2).</w:t>
      </w:r>
      <w:r w:rsidRPr="00C8759C">
        <w:rPr>
          <w:szCs w:val="24"/>
        </w:rPr>
        <w:t xml:space="preserve">  </w:t>
      </w:r>
      <w:r w:rsidRPr="00C8759C">
        <w:rPr>
          <w:b w:val="0"/>
          <w:bCs w:val="0"/>
          <w:szCs w:val="24"/>
        </w:rPr>
        <w:t>Dotted black lines show values obtained from fresh media not conditioned in microvessels.</w:t>
      </w:r>
    </w:p>
    <w:p w14:paraId="55215C46" w14:textId="77777777" w:rsidR="00394AA6" w:rsidRPr="00C8759C" w:rsidRDefault="00394AA6" w:rsidP="00394AA6">
      <w:pPr>
        <w:pStyle w:val="Heading1"/>
        <w:spacing w:line="240" w:lineRule="auto"/>
        <w:contextualSpacing/>
        <w:rPr>
          <w:b w:val="0"/>
          <w:szCs w:val="24"/>
        </w:rPr>
      </w:pPr>
      <w:r w:rsidRPr="00C8759C">
        <w:rPr>
          <w:b w:val="0"/>
          <w:bCs w:val="0"/>
        </w:rPr>
        <w:t xml:space="preserve">Data are presented as mean ± SD.  * </w:t>
      </w:r>
      <w:r w:rsidRPr="00C8759C">
        <w:rPr>
          <w:b w:val="0"/>
          <w:bCs w:val="0"/>
          <w:i/>
          <w:iCs/>
        </w:rPr>
        <w:t xml:space="preserve">p </w:t>
      </w:r>
      <w:r w:rsidRPr="00C8759C">
        <w:rPr>
          <w:b w:val="0"/>
          <w:bCs w:val="0"/>
        </w:rPr>
        <w:t>&lt; 0.0</w:t>
      </w:r>
      <w:r w:rsidRPr="00C8759C">
        <w:rPr>
          <w:b w:val="0"/>
          <w:bCs w:val="0"/>
          <w:noProof/>
        </w:rPr>
        <w:t>5</w:t>
      </w:r>
      <w:r w:rsidRPr="00C8759C">
        <w:rPr>
          <w:b w:val="0"/>
          <w:bCs w:val="0"/>
        </w:rPr>
        <w:t>.</w:t>
      </w:r>
    </w:p>
    <w:p w14:paraId="7BDDCC2F" w14:textId="77777777" w:rsidR="00394AA6" w:rsidRPr="00C8759C" w:rsidRDefault="00394AA6" w:rsidP="00394AA6">
      <w:pPr>
        <w:pStyle w:val="Heading1"/>
        <w:spacing w:line="240" w:lineRule="auto"/>
        <w:contextualSpacing/>
        <w:rPr>
          <w:b w:val="0"/>
          <w:bCs w:val="0"/>
          <w:szCs w:val="24"/>
        </w:rPr>
      </w:pPr>
    </w:p>
    <w:p w14:paraId="06EF105A" w14:textId="77777777" w:rsidR="00394AA6" w:rsidRPr="00C8759C" w:rsidRDefault="00394AA6" w:rsidP="00394AA6">
      <w:pPr>
        <w:spacing w:line="360" w:lineRule="auto"/>
        <w:contextualSpacing/>
        <w:jc w:val="both"/>
        <w:rPr>
          <w:i/>
          <w:iCs/>
        </w:rPr>
      </w:pPr>
    </w:p>
    <w:p w14:paraId="1C53081E" w14:textId="77777777" w:rsidR="004C0EE0" w:rsidRPr="00C8759C" w:rsidRDefault="004C0EE0"/>
    <w:sectPr w:rsidR="004C0EE0" w:rsidRPr="00C8759C" w:rsidSect="00C87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AA6"/>
    <w:rsid w:val="00001B65"/>
    <w:rsid w:val="00003624"/>
    <w:rsid w:val="00004543"/>
    <w:rsid w:val="0001276B"/>
    <w:rsid w:val="000147F7"/>
    <w:rsid w:val="00014F46"/>
    <w:rsid w:val="00027F51"/>
    <w:rsid w:val="00030B3C"/>
    <w:rsid w:val="00033361"/>
    <w:rsid w:val="000366C7"/>
    <w:rsid w:val="0004058C"/>
    <w:rsid w:val="0004231A"/>
    <w:rsid w:val="0004296F"/>
    <w:rsid w:val="000449A7"/>
    <w:rsid w:val="00052C41"/>
    <w:rsid w:val="00057AC9"/>
    <w:rsid w:val="00057D51"/>
    <w:rsid w:val="00063272"/>
    <w:rsid w:val="00063AF7"/>
    <w:rsid w:val="0006700D"/>
    <w:rsid w:val="000711FB"/>
    <w:rsid w:val="0008571E"/>
    <w:rsid w:val="0009776C"/>
    <w:rsid w:val="000A3101"/>
    <w:rsid w:val="000B4611"/>
    <w:rsid w:val="000B69B3"/>
    <w:rsid w:val="000D0DCA"/>
    <w:rsid w:val="000D11B3"/>
    <w:rsid w:val="000D3AAD"/>
    <w:rsid w:val="000E1F1B"/>
    <w:rsid w:val="000E37BA"/>
    <w:rsid w:val="0010478B"/>
    <w:rsid w:val="0011076A"/>
    <w:rsid w:val="00111C04"/>
    <w:rsid w:val="00113B66"/>
    <w:rsid w:val="001161C6"/>
    <w:rsid w:val="00117435"/>
    <w:rsid w:val="00120A89"/>
    <w:rsid w:val="0012656B"/>
    <w:rsid w:val="0012685C"/>
    <w:rsid w:val="001272EE"/>
    <w:rsid w:val="00127CDA"/>
    <w:rsid w:val="00130BC7"/>
    <w:rsid w:val="0014065B"/>
    <w:rsid w:val="0014560D"/>
    <w:rsid w:val="001516D6"/>
    <w:rsid w:val="00154301"/>
    <w:rsid w:val="00154BE2"/>
    <w:rsid w:val="001573B8"/>
    <w:rsid w:val="00161783"/>
    <w:rsid w:val="0016182E"/>
    <w:rsid w:val="00161FA2"/>
    <w:rsid w:val="00164007"/>
    <w:rsid w:val="0016471B"/>
    <w:rsid w:val="00170E71"/>
    <w:rsid w:val="00180208"/>
    <w:rsid w:val="00181527"/>
    <w:rsid w:val="001848DF"/>
    <w:rsid w:val="001858DD"/>
    <w:rsid w:val="001963CF"/>
    <w:rsid w:val="001A093A"/>
    <w:rsid w:val="001A14C6"/>
    <w:rsid w:val="001B2AD7"/>
    <w:rsid w:val="001B49F1"/>
    <w:rsid w:val="001B6DBE"/>
    <w:rsid w:val="001C7AE8"/>
    <w:rsid w:val="001D3E12"/>
    <w:rsid w:val="001E0217"/>
    <w:rsid w:val="001F2D1F"/>
    <w:rsid w:val="001F3DE8"/>
    <w:rsid w:val="001F426B"/>
    <w:rsid w:val="0020162A"/>
    <w:rsid w:val="00203BCC"/>
    <w:rsid w:val="00204B1F"/>
    <w:rsid w:val="00206126"/>
    <w:rsid w:val="00212AB1"/>
    <w:rsid w:val="00214ABD"/>
    <w:rsid w:val="00224430"/>
    <w:rsid w:val="00225B66"/>
    <w:rsid w:val="00226920"/>
    <w:rsid w:val="00227BDF"/>
    <w:rsid w:val="00247216"/>
    <w:rsid w:val="00250AF1"/>
    <w:rsid w:val="00275CF1"/>
    <w:rsid w:val="00285B45"/>
    <w:rsid w:val="00295140"/>
    <w:rsid w:val="00295788"/>
    <w:rsid w:val="002963BB"/>
    <w:rsid w:val="002A214A"/>
    <w:rsid w:val="002A23FE"/>
    <w:rsid w:val="002B18C9"/>
    <w:rsid w:val="002B5533"/>
    <w:rsid w:val="002B7805"/>
    <w:rsid w:val="002C26C8"/>
    <w:rsid w:val="002C2949"/>
    <w:rsid w:val="002C4215"/>
    <w:rsid w:val="002D1D8A"/>
    <w:rsid w:val="002D2651"/>
    <w:rsid w:val="002D74C1"/>
    <w:rsid w:val="002E15ED"/>
    <w:rsid w:val="002E5452"/>
    <w:rsid w:val="002E5EEE"/>
    <w:rsid w:val="002E7CA6"/>
    <w:rsid w:val="002F3CA0"/>
    <w:rsid w:val="003007E8"/>
    <w:rsid w:val="00304ADB"/>
    <w:rsid w:val="00314D6D"/>
    <w:rsid w:val="0032136D"/>
    <w:rsid w:val="0032249D"/>
    <w:rsid w:val="00330F6A"/>
    <w:rsid w:val="00334A52"/>
    <w:rsid w:val="00341F1B"/>
    <w:rsid w:val="003500CF"/>
    <w:rsid w:val="00351683"/>
    <w:rsid w:val="00356F64"/>
    <w:rsid w:val="00357C16"/>
    <w:rsid w:val="00360D6C"/>
    <w:rsid w:val="0037013A"/>
    <w:rsid w:val="003709D9"/>
    <w:rsid w:val="00372C20"/>
    <w:rsid w:val="003763A1"/>
    <w:rsid w:val="00384E3F"/>
    <w:rsid w:val="00385FA9"/>
    <w:rsid w:val="00386EDA"/>
    <w:rsid w:val="003919C6"/>
    <w:rsid w:val="00394AA6"/>
    <w:rsid w:val="003A03A8"/>
    <w:rsid w:val="003A0DDE"/>
    <w:rsid w:val="003A3F86"/>
    <w:rsid w:val="003A7AFA"/>
    <w:rsid w:val="003B57DC"/>
    <w:rsid w:val="003B5E8A"/>
    <w:rsid w:val="003C259E"/>
    <w:rsid w:val="003C2DAB"/>
    <w:rsid w:val="003C2E29"/>
    <w:rsid w:val="003C3757"/>
    <w:rsid w:val="003C4D8C"/>
    <w:rsid w:val="003C5830"/>
    <w:rsid w:val="003D1586"/>
    <w:rsid w:val="003E1881"/>
    <w:rsid w:val="003E37E8"/>
    <w:rsid w:val="003F0C6A"/>
    <w:rsid w:val="003F3E2A"/>
    <w:rsid w:val="0040069D"/>
    <w:rsid w:val="0040137C"/>
    <w:rsid w:val="0040188C"/>
    <w:rsid w:val="004022A5"/>
    <w:rsid w:val="0040477C"/>
    <w:rsid w:val="00412467"/>
    <w:rsid w:val="004148D5"/>
    <w:rsid w:val="0041786F"/>
    <w:rsid w:val="004200EE"/>
    <w:rsid w:val="00422321"/>
    <w:rsid w:val="00422E84"/>
    <w:rsid w:val="00425977"/>
    <w:rsid w:val="00427774"/>
    <w:rsid w:val="0044413B"/>
    <w:rsid w:val="00444D22"/>
    <w:rsid w:val="00445184"/>
    <w:rsid w:val="00445EF8"/>
    <w:rsid w:val="00454561"/>
    <w:rsid w:val="00456AA2"/>
    <w:rsid w:val="004654A0"/>
    <w:rsid w:val="00472605"/>
    <w:rsid w:val="00473893"/>
    <w:rsid w:val="00473E57"/>
    <w:rsid w:val="004759E3"/>
    <w:rsid w:val="00477554"/>
    <w:rsid w:val="00480890"/>
    <w:rsid w:val="004821D6"/>
    <w:rsid w:val="00486307"/>
    <w:rsid w:val="00495246"/>
    <w:rsid w:val="00496755"/>
    <w:rsid w:val="00496E48"/>
    <w:rsid w:val="004A2133"/>
    <w:rsid w:val="004B2695"/>
    <w:rsid w:val="004B551C"/>
    <w:rsid w:val="004B5A8A"/>
    <w:rsid w:val="004B5F07"/>
    <w:rsid w:val="004C0EE0"/>
    <w:rsid w:val="004D26B0"/>
    <w:rsid w:val="004D5245"/>
    <w:rsid w:val="004E0B87"/>
    <w:rsid w:val="004E1E9F"/>
    <w:rsid w:val="004E2968"/>
    <w:rsid w:val="004F406E"/>
    <w:rsid w:val="005044D1"/>
    <w:rsid w:val="00505E95"/>
    <w:rsid w:val="00520801"/>
    <w:rsid w:val="005208A5"/>
    <w:rsid w:val="00522779"/>
    <w:rsid w:val="0053251B"/>
    <w:rsid w:val="00544814"/>
    <w:rsid w:val="005460F0"/>
    <w:rsid w:val="00552E34"/>
    <w:rsid w:val="00574F7D"/>
    <w:rsid w:val="00583071"/>
    <w:rsid w:val="0058356A"/>
    <w:rsid w:val="005921AE"/>
    <w:rsid w:val="00594494"/>
    <w:rsid w:val="005A4CEC"/>
    <w:rsid w:val="005A7584"/>
    <w:rsid w:val="005B0B1B"/>
    <w:rsid w:val="005B5EB6"/>
    <w:rsid w:val="005C0ACD"/>
    <w:rsid w:val="005C1E91"/>
    <w:rsid w:val="005C27A1"/>
    <w:rsid w:val="005D3AE8"/>
    <w:rsid w:val="005D4A45"/>
    <w:rsid w:val="005E669C"/>
    <w:rsid w:val="005E6EDA"/>
    <w:rsid w:val="005F08AF"/>
    <w:rsid w:val="005F137E"/>
    <w:rsid w:val="005F25C7"/>
    <w:rsid w:val="00602D76"/>
    <w:rsid w:val="00604A55"/>
    <w:rsid w:val="00607458"/>
    <w:rsid w:val="0061048A"/>
    <w:rsid w:val="00614C35"/>
    <w:rsid w:val="00621651"/>
    <w:rsid w:val="00621727"/>
    <w:rsid w:val="00624612"/>
    <w:rsid w:val="00624F00"/>
    <w:rsid w:val="00627639"/>
    <w:rsid w:val="006278D9"/>
    <w:rsid w:val="006349C0"/>
    <w:rsid w:val="006373B1"/>
    <w:rsid w:val="00655CAD"/>
    <w:rsid w:val="006634B4"/>
    <w:rsid w:val="00666FA3"/>
    <w:rsid w:val="0067077F"/>
    <w:rsid w:val="00670A58"/>
    <w:rsid w:val="00677190"/>
    <w:rsid w:val="00681AAB"/>
    <w:rsid w:val="006826F9"/>
    <w:rsid w:val="00691BBD"/>
    <w:rsid w:val="006945DC"/>
    <w:rsid w:val="006967B3"/>
    <w:rsid w:val="00697C9C"/>
    <w:rsid w:val="006A0AF8"/>
    <w:rsid w:val="006B7BEA"/>
    <w:rsid w:val="006C11D0"/>
    <w:rsid w:val="006D053A"/>
    <w:rsid w:val="006D30C1"/>
    <w:rsid w:val="006D3A27"/>
    <w:rsid w:val="006E0E5C"/>
    <w:rsid w:val="006E6A83"/>
    <w:rsid w:val="00700439"/>
    <w:rsid w:val="0070184A"/>
    <w:rsid w:val="00704459"/>
    <w:rsid w:val="00705716"/>
    <w:rsid w:val="00715DE5"/>
    <w:rsid w:val="007171F2"/>
    <w:rsid w:val="0072679E"/>
    <w:rsid w:val="0072792B"/>
    <w:rsid w:val="007322A0"/>
    <w:rsid w:val="00740017"/>
    <w:rsid w:val="00741F67"/>
    <w:rsid w:val="00744B50"/>
    <w:rsid w:val="0075345B"/>
    <w:rsid w:val="007564C8"/>
    <w:rsid w:val="00756EE4"/>
    <w:rsid w:val="00756FE7"/>
    <w:rsid w:val="007621BF"/>
    <w:rsid w:val="0076648D"/>
    <w:rsid w:val="00766CAF"/>
    <w:rsid w:val="007705D9"/>
    <w:rsid w:val="00770BF7"/>
    <w:rsid w:val="00783AF1"/>
    <w:rsid w:val="00786BA8"/>
    <w:rsid w:val="00793654"/>
    <w:rsid w:val="0079746A"/>
    <w:rsid w:val="007A0B62"/>
    <w:rsid w:val="007A32DD"/>
    <w:rsid w:val="007A60AD"/>
    <w:rsid w:val="007A60E4"/>
    <w:rsid w:val="007B3F1C"/>
    <w:rsid w:val="007B784D"/>
    <w:rsid w:val="007C2C8A"/>
    <w:rsid w:val="007C3CF2"/>
    <w:rsid w:val="007C7857"/>
    <w:rsid w:val="007E0FE7"/>
    <w:rsid w:val="007E1033"/>
    <w:rsid w:val="007E2A5B"/>
    <w:rsid w:val="00804142"/>
    <w:rsid w:val="008120E3"/>
    <w:rsid w:val="00820D53"/>
    <w:rsid w:val="00832AF4"/>
    <w:rsid w:val="00841611"/>
    <w:rsid w:val="00845D92"/>
    <w:rsid w:val="008471C7"/>
    <w:rsid w:val="008505BA"/>
    <w:rsid w:val="00861CA1"/>
    <w:rsid w:val="00872286"/>
    <w:rsid w:val="00880CC7"/>
    <w:rsid w:val="0088484D"/>
    <w:rsid w:val="00892A91"/>
    <w:rsid w:val="00896A10"/>
    <w:rsid w:val="008A1A16"/>
    <w:rsid w:val="008A7EF6"/>
    <w:rsid w:val="008B2E42"/>
    <w:rsid w:val="008B5985"/>
    <w:rsid w:val="008B67F2"/>
    <w:rsid w:val="008B6813"/>
    <w:rsid w:val="008D6734"/>
    <w:rsid w:val="008E7EDD"/>
    <w:rsid w:val="008F077E"/>
    <w:rsid w:val="008F2321"/>
    <w:rsid w:val="009053AE"/>
    <w:rsid w:val="00911839"/>
    <w:rsid w:val="00913BC6"/>
    <w:rsid w:val="00922622"/>
    <w:rsid w:val="00924916"/>
    <w:rsid w:val="00930CBC"/>
    <w:rsid w:val="0093498B"/>
    <w:rsid w:val="009468E2"/>
    <w:rsid w:val="009542C4"/>
    <w:rsid w:val="009676E3"/>
    <w:rsid w:val="00971172"/>
    <w:rsid w:val="00973A51"/>
    <w:rsid w:val="00975595"/>
    <w:rsid w:val="00982E38"/>
    <w:rsid w:val="00991FFB"/>
    <w:rsid w:val="00993795"/>
    <w:rsid w:val="009965D0"/>
    <w:rsid w:val="009A022D"/>
    <w:rsid w:val="009A1110"/>
    <w:rsid w:val="009B0EA0"/>
    <w:rsid w:val="009B12DF"/>
    <w:rsid w:val="009B6DF7"/>
    <w:rsid w:val="009C19B1"/>
    <w:rsid w:val="009C61C2"/>
    <w:rsid w:val="009D4D57"/>
    <w:rsid w:val="009E4922"/>
    <w:rsid w:val="009E4DB8"/>
    <w:rsid w:val="009F7868"/>
    <w:rsid w:val="00A00683"/>
    <w:rsid w:val="00A0587C"/>
    <w:rsid w:val="00A12587"/>
    <w:rsid w:val="00A138D1"/>
    <w:rsid w:val="00A22493"/>
    <w:rsid w:val="00A22592"/>
    <w:rsid w:val="00A25FB2"/>
    <w:rsid w:val="00A27828"/>
    <w:rsid w:val="00A31BBF"/>
    <w:rsid w:val="00A33A09"/>
    <w:rsid w:val="00A405CD"/>
    <w:rsid w:val="00A42A69"/>
    <w:rsid w:val="00A438D4"/>
    <w:rsid w:val="00A4622E"/>
    <w:rsid w:val="00A46EAB"/>
    <w:rsid w:val="00A54A91"/>
    <w:rsid w:val="00A5538F"/>
    <w:rsid w:val="00A56375"/>
    <w:rsid w:val="00A5783F"/>
    <w:rsid w:val="00A64A5B"/>
    <w:rsid w:val="00A72F4C"/>
    <w:rsid w:val="00A74765"/>
    <w:rsid w:val="00A81453"/>
    <w:rsid w:val="00A86395"/>
    <w:rsid w:val="00A908E0"/>
    <w:rsid w:val="00AA204D"/>
    <w:rsid w:val="00AA5627"/>
    <w:rsid w:val="00AA58F7"/>
    <w:rsid w:val="00AB17B3"/>
    <w:rsid w:val="00AB4772"/>
    <w:rsid w:val="00AB6033"/>
    <w:rsid w:val="00AC554F"/>
    <w:rsid w:val="00AD7184"/>
    <w:rsid w:val="00AE2459"/>
    <w:rsid w:val="00AE25F8"/>
    <w:rsid w:val="00AE26C8"/>
    <w:rsid w:val="00AE64F7"/>
    <w:rsid w:val="00AF4A58"/>
    <w:rsid w:val="00B000DF"/>
    <w:rsid w:val="00B03D95"/>
    <w:rsid w:val="00B10A3C"/>
    <w:rsid w:val="00B1258B"/>
    <w:rsid w:val="00B13840"/>
    <w:rsid w:val="00B13DA8"/>
    <w:rsid w:val="00B21F4B"/>
    <w:rsid w:val="00B30809"/>
    <w:rsid w:val="00B309DE"/>
    <w:rsid w:val="00B334DF"/>
    <w:rsid w:val="00B342F7"/>
    <w:rsid w:val="00B351AB"/>
    <w:rsid w:val="00B367CF"/>
    <w:rsid w:val="00B36851"/>
    <w:rsid w:val="00B40BF0"/>
    <w:rsid w:val="00B41FAA"/>
    <w:rsid w:val="00B42158"/>
    <w:rsid w:val="00B44C51"/>
    <w:rsid w:val="00B44CF6"/>
    <w:rsid w:val="00B57FF1"/>
    <w:rsid w:val="00B610B8"/>
    <w:rsid w:val="00B65A30"/>
    <w:rsid w:val="00B65BA9"/>
    <w:rsid w:val="00B66AB3"/>
    <w:rsid w:val="00B674AD"/>
    <w:rsid w:val="00B71AA3"/>
    <w:rsid w:val="00B8098C"/>
    <w:rsid w:val="00B85534"/>
    <w:rsid w:val="00B918D6"/>
    <w:rsid w:val="00B91FAA"/>
    <w:rsid w:val="00B92678"/>
    <w:rsid w:val="00B93669"/>
    <w:rsid w:val="00BA2D31"/>
    <w:rsid w:val="00BA2E9F"/>
    <w:rsid w:val="00BB216E"/>
    <w:rsid w:val="00BB2B19"/>
    <w:rsid w:val="00BC3397"/>
    <w:rsid w:val="00BC5A5C"/>
    <w:rsid w:val="00BC5CCE"/>
    <w:rsid w:val="00BC65AA"/>
    <w:rsid w:val="00BE0F64"/>
    <w:rsid w:val="00BE45E0"/>
    <w:rsid w:val="00BE5B9B"/>
    <w:rsid w:val="00BF3D35"/>
    <w:rsid w:val="00C07D69"/>
    <w:rsid w:val="00C135BE"/>
    <w:rsid w:val="00C165C9"/>
    <w:rsid w:val="00C20D45"/>
    <w:rsid w:val="00C25C31"/>
    <w:rsid w:val="00C263E5"/>
    <w:rsid w:val="00C307C6"/>
    <w:rsid w:val="00C3703E"/>
    <w:rsid w:val="00C44E66"/>
    <w:rsid w:val="00C50C1C"/>
    <w:rsid w:val="00C6673E"/>
    <w:rsid w:val="00C705D5"/>
    <w:rsid w:val="00C74621"/>
    <w:rsid w:val="00C75415"/>
    <w:rsid w:val="00C8174E"/>
    <w:rsid w:val="00C8759C"/>
    <w:rsid w:val="00C93D5C"/>
    <w:rsid w:val="00CA15D8"/>
    <w:rsid w:val="00CA3D46"/>
    <w:rsid w:val="00CB28A8"/>
    <w:rsid w:val="00CB3987"/>
    <w:rsid w:val="00CB4132"/>
    <w:rsid w:val="00CB5384"/>
    <w:rsid w:val="00CB603E"/>
    <w:rsid w:val="00CC05A2"/>
    <w:rsid w:val="00CC6F50"/>
    <w:rsid w:val="00CD395E"/>
    <w:rsid w:val="00CE1871"/>
    <w:rsid w:val="00CE34E0"/>
    <w:rsid w:val="00CE7B21"/>
    <w:rsid w:val="00CF03B0"/>
    <w:rsid w:val="00CF4FD3"/>
    <w:rsid w:val="00CF6C73"/>
    <w:rsid w:val="00D005B8"/>
    <w:rsid w:val="00D07907"/>
    <w:rsid w:val="00D11CC1"/>
    <w:rsid w:val="00D22854"/>
    <w:rsid w:val="00D234B3"/>
    <w:rsid w:val="00D23DA0"/>
    <w:rsid w:val="00D24A2D"/>
    <w:rsid w:val="00D25A72"/>
    <w:rsid w:val="00D31E6D"/>
    <w:rsid w:val="00D3314E"/>
    <w:rsid w:val="00D46BBD"/>
    <w:rsid w:val="00D47508"/>
    <w:rsid w:val="00D47D2F"/>
    <w:rsid w:val="00D65FB0"/>
    <w:rsid w:val="00D66DE5"/>
    <w:rsid w:val="00D67250"/>
    <w:rsid w:val="00D74602"/>
    <w:rsid w:val="00D771A0"/>
    <w:rsid w:val="00D815E7"/>
    <w:rsid w:val="00D87132"/>
    <w:rsid w:val="00D94E2B"/>
    <w:rsid w:val="00DA4048"/>
    <w:rsid w:val="00DA7568"/>
    <w:rsid w:val="00DC0474"/>
    <w:rsid w:val="00DC1193"/>
    <w:rsid w:val="00DC2BB5"/>
    <w:rsid w:val="00DC6BE0"/>
    <w:rsid w:val="00DF1ABB"/>
    <w:rsid w:val="00DF5CB8"/>
    <w:rsid w:val="00DF6B1D"/>
    <w:rsid w:val="00E11C05"/>
    <w:rsid w:val="00E1417D"/>
    <w:rsid w:val="00E305CA"/>
    <w:rsid w:val="00E34DD5"/>
    <w:rsid w:val="00E35D08"/>
    <w:rsid w:val="00E36264"/>
    <w:rsid w:val="00E407C6"/>
    <w:rsid w:val="00E415B9"/>
    <w:rsid w:val="00E450FD"/>
    <w:rsid w:val="00E45378"/>
    <w:rsid w:val="00E45948"/>
    <w:rsid w:val="00E46F8B"/>
    <w:rsid w:val="00E52550"/>
    <w:rsid w:val="00E575D6"/>
    <w:rsid w:val="00E713DB"/>
    <w:rsid w:val="00E721F9"/>
    <w:rsid w:val="00E72C57"/>
    <w:rsid w:val="00E75F03"/>
    <w:rsid w:val="00E859E8"/>
    <w:rsid w:val="00EB25F1"/>
    <w:rsid w:val="00EB63FB"/>
    <w:rsid w:val="00EC31B4"/>
    <w:rsid w:val="00EC6079"/>
    <w:rsid w:val="00EC68DC"/>
    <w:rsid w:val="00EC69AA"/>
    <w:rsid w:val="00EC794C"/>
    <w:rsid w:val="00ED2D65"/>
    <w:rsid w:val="00ED4297"/>
    <w:rsid w:val="00ED5B90"/>
    <w:rsid w:val="00ED7104"/>
    <w:rsid w:val="00EE0BD7"/>
    <w:rsid w:val="00EE51F2"/>
    <w:rsid w:val="00EE72C8"/>
    <w:rsid w:val="00EF2100"/>
    <w:rsid w:val="00F0261E"/>
    <w:rsid w:val="00F03173"/>
    <w:rsid w:val="00F31DE1"/>
    <w:rsid w:val="00F33A63"/>
    <w:rsid w:val="00F34881"/>
    <w:rsid w:val="00F43809"/>
    <w:rsid w:val="00F50A01"/>
    <w:rsid w:val="00F52B9C"/>
    <w:rsid w:val="00F5627B"/>
    <w:rsid w:val="00F66303"/>
    <w:rsid w:val="00F76461"/>
    <w:rsid w:val="00F81A9D"/>
    <w:rsid w:val="00F8401B"/>
    <w:rsid w:val="00F84394"/>
    <w:rsid w:val="00F84CCF"/>
    <w:rsid w:val="00F9012F"/>
    <w:rsid w:val="00F910DB"/>
    <w:rsid w:val="00F97E14"/>
    <w:rsid w:val="00FA4A22"/>
    <w:rsid w:val="00FB59F6"/>
    <w:rsid w:val="00FC463B"/>
    <w:rsid w:val="00FE0B91"/>
    <w:rsid w:val="00FE5658"/>
    <w:rsid w:val="00FE7CC8"/>
    <w:rsid w:val="00FF014E"/>
    <w:rsid w:val="00FF2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50EDC"/>
  <w15:chartTrackingRefBased/>
  <w15:docId w15:val="{B6546497-D0AE-4891-9B0B-FCA0FAA9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4AA6"/>
    <w:pPr>
      <w:spacing w:after="0" w:line="360" w:lineRule="auto"/>
      <w:outlineLvl w:val="0"/>
    </w:pPr>
    <w:rPr>
      <w:rFonts w:ascii="Times New Roman" w:eastAsia="Times New Roman" w:hAnsi="Times New Roman" w:cs="Times New Roman"/>
      <w:b/>
      <w:bCs/>
      <w:kern w:val="36"/>
      <w:sz w:val="24"/>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AA6"/>
    <w:rPr>
      <w:rFonts w:ascii="Times New Roman" w:eastAsia="Times New Roman" w:hAnsi="Times New Roman" w:cs="Times New Roman"/>
      <w:b/>
      <w:bCs/>
      <w:kern w:val="36"/>
      <w:sz w:val="24"/>
      <w:szCs w:val="48"/>
    </w:rPr>
  </w:style>
  <w:style w:type="paragraph" w:customStyle="1" w:styleId="Figurecaptions">
    <w:name w:val="Figure captions"/>
    <w:basedOn w:val="Normal"/>
    <w:qFormat/>
    <w:rsid w:val="00394AA6"/>
    <w:pPr>
      <w:tabs>
        <w:tab w:val="left" w:pos="360"/>
      </w:tabs>
      <w:spacing w:after="60" w:line="240" w:lineRule="auto"/>
      <w:jc w:val="both"/>
    </w:pPr>
    <w:rPr>
      <w:rFonts w:ascii="Times" w:hAnsi="Times"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450</Words>
  <Characters>2566</Characters>
  <Application>Microsoft Office Word</Application>
  <DocSecurity>0</DocSecurity>
  <Lines>21</Lines>
  <Paragraphs>6</Paragraphs>
  <ScaleCrop>false</ScaleCrop>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Revathi Thangaraj</dc:creator>
  <cp:keywords/>
  <dc:description/>
  <cp:lastModifiedBy>Raleigh Linville</cp:lastModifiedBy>
  <cp:revision>3</cp:revision>
  <dcterms:created xsi:type="dcterms:W3CDTF">2023-10-26T04:20:00Z</dcterms:created>
  <dcterms:modified xsi:type="dcterms:W3CDTF">2023-10-28T00:38:00Z</dcterms:modified>
</cp:coreProperties>
</file>