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F6081" w14:textId="167FF885" w:rsidR="00D76C57" w:rsidRPr="00B32052" w:rsidRDefault="002D7BC6" w:rsidP="002D7BC6">
      <w:pPr>
        <w:jc w:val="both"/>
        <w:rPr>
          <w:b/>
          <w:bCs/>
          <w:sz w:val="24"/>
          <w:szCs w:val="24"/>
        </w:rPr>
      </w:pPr>
      <w:r w:rsidRPr="00B32052">
        <w:rPr>
          <w:b/>
          <w:bCs/>
          <w:sz w:val="24"/>
          <w:szCs w:val="24"/>
        </w:rPr>
        <w:t xml:space="preserve">Supplemental Materials and Methods </w:t>
      </w:r>
    </w:p>
    <w:p w14:paraId="369F6339" w14:textId="33304BD3" w:rsidR="001F2900" w:rsidRPr="00B32052" w:rsidRDefault="001F2900" w:rsidP="002D7BC6">
      <w:pPr>
        <w:spacing w:line="360" w:lineRule="auto"/>
        <w:jc w:val="both"/>
        <w:rPr>
          <w:b/>
          <w:bCs/>
          <w:sz w:val="24"/>
          <w:szCs w:val="24"/>
        </w:rPr>
      </w:pPr>
      <w:r w:rsidRPr="00B32052">
        <w:rPr>
          <w:b/>
          <w:bCs/>
          <w:sz w:val="24"/>
          <w:szCs w:val="24"/>
        </w:rPr>
        <w:t>1</w:t>
      </w:r>
      <w:r w:rsidR="006A2BFE">
        <w:rPr>
          <w:b/>
          <w:bCs/>
          <w:sz w:val="24"/>
          <w:szCs w:val="24"/>
        </w:rPr>
        <w:t>.</w:t>
      </w:r>
      <w:r w:rsidRPr="00B32052">
        <w:rPr>
          <w:b/>
          <w:bCs/>
          <w:sz w:val="24"/>
          <w:szCs w:val="24"/>
        </w:rPr>
        <w:t xml:space="preserve"> Animals</w:t>
      </w:r>
    </w:p>
    <w:p w14:paraId="1BAE61FE" w14:textId="77777777" w:rsidR="001F2900" w:rsidRPr="00B32052" w:rsidRDefault="001F2900" w:rsidP="002D7BC6">
      <w:pPr>
        <w:spacing w:line="480" w:lineRule="auto"/>
        <w:ind w:firstLine="720"/>
        <w:jc w:val="both"/>
        <w:rPr>
          <w:sz w:val="24"/>
          <w:szCs w:val="24"/>
        </w:rPr>
      </w:pPr>
      <w:r w:rsidRPr="00B32052">
        <w:rPr>
          <w:sz w:val="24"/>
          <w:szCs w:val="24"/>
        </w:rPr>
        <w:t xml:space="preserve">The experimental groups of interest included MRL/lpr lupus prone mice and age-and-sex matched congenic control MRL/mpj mice. Additionally, </w:t>
      </w:r>
      <w:r w:rsidRPr="00B32052">
        <w:rPr>
          <w:i/>
          <w:iCs/>
          <w:sz w:val="24"/>
          <w:szCs w:val="24"/>
        </w:rPr>
        <w:t xml:space="preserve">il6 </w:t>
      </w:r>
      <w:r w:rsidRPr="00B32052">
        <w:rPr>
          <w:sz w:val="24"/>
          <w:szCs w:val="24"/>
        </w:rPr>
        <w:t>-/- MRL/lpr (IL-6 KO) mice</w:t>
      </w:r>
      <w:r w:rsidRPr="00B32052">
        <w:rPr>
          <w:noProof/>
          <w:sz w:val="24"/>
          <w:szCs w:val="24"/>
          <w:vertAlign w:val="superscript"/>
        </w:rPr>
        <w:t>31</w:t>
      </w:r>
      <w:r w:rsidRPr="00B32052">
        <w:rPr>
          <w:sz w:val="24"/>
          <w:szCs w:val="24"/>
        </w:rPr>
        <w:t xml:space="preserve"> were studied. The zygosity of </w:t>
      </w:r>
      <w:r w:rsidRPr="00B32052">
        <w:rPr>
          <w:i/>
          <w:iCs/>
          <w:sz w:val="24"/>
          <w:szCs w:val="24"/>
        </w:rPr>
        <w:t>il6</w:t>
      </w:r>
      <w:r w:rsidRPr="00B32052">
        <w:rPr>
          <w:sz w:val="24"/>
          <w:szCs w:val="24"/>
        </w:rPr>
        <w:t xml:space="preserve"> was determined in each weaned mouse by PCR. In our studies, </w:t>
      </w:r>
      <w:r w:rsidRPr="00B32052">
        <w:rPr>
          <w:i/>
          <w:iCs/>
          <w:sz w:val="24"/>
          <w:szCs w:val="24"/>
        </w:rPr>
        <w:t>il6 +/+</w:t>
      </w:r>
      <w:r w:rsidRPr="00B32052">
        <w:rPr>
          <w:sz w:val="24"/>
          <w:szCs w:val="24"/>
        </w:rPr>
        <w:t xml:space="preserve"> homozygous MRL/lpr littermates (IL-6 WT) were used as the comparison group for the IL-6 KO mice.</w:t>
      </w:r>
    </w:p>
    <w:p w14:paraId="0BF2106A" w14:textId="312E956F" w:rsidR="001F2900" w:rsidRPr="00B32052" w:rsidRDefault="001F2900" w:rsidP="001F2900">
      <w:pPr>
        <w:spacing w:line="480" w:lineRule="auto"/>
        <w:ind w:firstLine="720"/>
        <w:jc w:val="both"/>
        <w:rPr>
          <w:sz w:val="24"/>
          <w:szCs w:val="24"/>
        </w:rPr>
      </w:pPr>
      <w:r w:rsidRPr="00B32052">
        <w:rPr>
          <w:sz w:val="24"/>
          <w:szCs w:val="24"/>
        </w:rPr>
        <w:t xml:space="preserve">For each genotype, adult female mice of at least twelve weeks of age were used to generate the CP </w:t>
      </w:r>
      <w:r w:rsidR="00075BE6" w:rsidRPr="00B32052">
        <w:rPr>
          <w:sz w:val="24"/>
          <w:szCs w:val="24"/>
        </w:rPr>
        <w:t>spheroid</w:t>
      </w:r>
      <w:r w:rsidRPr="00B32052">
        <w:rPr>
          <w:sz w:val="24"/>
          <w:szCs w:val="24"/>
        </w:rPr>
        <w:t>s. Standard in MRL/lpr research</w:t>
      </w:r>
      <w:r w:rsidRPr="00B32052">
        <w:rPr>
          <w:noProof/>
          <w:sz w:val="24"/>
          <w:szCs w:val="24"/>
          <w:vertAlign w:val="superscript"/>
        </w:rPr>
        <w:t>32,33</w:t>
      </w:r>
      <w:r w:rsidRPr="00B32052">
        <w:rPr>
          <w:sz w:val="24"/>
          <w:szCs w:val="24"/>
        </w:rPr>
        <w:t>, female mice were exclusively used because lupus-like disease occurs earlier and more severely in female MRL/lpr compared to males</w:t>
      </w:r>
      <w:r w:rsidRPr="00B32052">
        <w:rPr>
          <w:noProof/>
          <w:sz w:val="24"/>
          <w:szCs w:val="24"/>
          <w:vertAlign w:val="superscript"/>
        </w:rPr>
        <w:t>34</w:t>
      </w:r>
      <w:r w:rsidRPr="00B32052">
        <w:rPr>
          <w:sz w:val="24"/>
          <w:szCs w:val="24"/>
        </w:rPr>
        <w:t>. Neuropsychiatric deficits are firmly established in MRL/lpr mice by twelve weeks of age</w:t>
      </w:r>
      <w:r w:rsidRPr="00B32052">
        <w:rPr>
          <w:noProof/>
          <w:sz w:val="24"/>
          <w:szCs w:val="24"/>
          <w:vertAlign w:val="superscript"/>
        </w:rPr>
        <w:t>27,34</w:t>
      </w:r>
      <w:r w:rsidRPr="00B32052">
        <w:rPr>
          <w:sz w:val="24"/>
          <w:szCs w:val="24"/>
        </w:rPr>
        <w:t xml:space="preserve">. </w:t>
      </w:r>
    </w:p>
    <w:p w14:paraId="606C5C64" w14:textId="77777777" w:rsidR="001F2900" w:rsidRPr="00B32052" w:rsidRDefault="001F2900" w:rsidP="001F2900">
      <w:pPr>
        <w:spacing w:line="480" w:lineRule="auto"/>
        <w:ind w:firstLine="720"/>
        <w:jc w:val="both"/>
        <w:rPr>
          <w:sz w:val="24"/>
          <w:szCs w:val="24"/>
        </w:rPr>
      </w:pPr>
      <w:r w:rsidRPr="00B32052">
        <w:rPr>
          <w:sz w:val="24"/>
          <w:szCs w:val="24"/>
        </w:rPr>
        <w:t xml:space="preserve">All animal husbandry and handling protocols were approved by the Institutional Animal Care and Use Committee at the Albert Einstein College of Medicine (AECOM; Bronx, NY). All mice were housed in a specific-pathogen free environment at AECOM. </w:t>
      </w:r>
    </w:p>
    <w:p w14:paraId="382156C6" w14:textId="3EB025DE" w:rsidR="001F2900" w:rsidRPr="00B32052" w:rsidRDefault="001F2900" w:rsidP="001F2900">
      <w:pPr>
        <w:spacing w:line="360" w:lineRule="auto"/>
        <w:jc w:val="both"/>
        <w:rPr>
          <w:b/>
          <w:bCs/>
          <w:sz w:val="24"/>
          <w:szCs w:val="24"/>
        </w:rPr>
      </w:pPr>
      <w:r w:rsidRPr="00B32052">
        <w:rPr>
          <w:b/>
          <w:bCs/>
          <w:sz w:val="24"/>
          <w:szCs w:val="24"/>
        </w:rPr>
        <w:t>2</w:t>
      </w:r>
      <w:r w:rsidR="006A2BFE">
        <w:rPr>
          <w:b/>
          <w:bCs/>
          <w:sz w:val="24"/>
          <w:szCs w:val="24"/>
        </w:rPr>
        <w:t>.</w:t>
      </w:r>
      <w:r w:rsidRPr="00B32052">
        <w:rPr>
          <w:b/>
          <w:bCs/>
          <w:sz w:val="24"/>
          <w:szCs w:val="24"/>
        </w:rPr>
        <w:t xml:space="preserve"> </w:t>
      </w:r>
      <w:r w:rsidR="00075BE6" w:rsidRPr="00B32052">
        <w:rPr>
          <w:b/>
          <w:bCs/>
          <w:sz w:val="24"/>
          <w:szCs w:val="24"/>
        </w:rPr>
        <w:t>Spheroid</w:t>
      </w:r>
      <w:r w:rsidRPr="00B32052">
        <w:rPr>
          <w:b/>
          <w:bCs/>
          <w:sz w:val="24"/>
          <w:szCs w:val="24"/>
        </w:rPr>
        <w:t xml:space="preserve"> synthesis</w:t>
      </w:r>
    </w:p>
    <w:p w14:paraId="720AB9BA" w14:textId="66616B8F" w:rsidR="001F2900" w:rsidRPr="00B32052" w:rsidRDefault="001F2900" w:rsidP="001F2900">
      <w:pPr>
        <w:spacing w:line="480" w:lineRule="auto"/>
        <w:ind w:firstLine="720"/>
        <w:jc w:val="both"/>
        <w:rPr>
          <w:sz w:val="24"/>
          <w:szCs w:val="24"/>
        </w:rPr>
      </w:pPr>
      <w:r w:rsidRPr="00B32052">
        <w:rPr>
          <w:sz w:val="24"/>
          <w:szCs w:val="24"/>
        </w:rPr>
        <w:t xml:space="preserve">A protocol published by Petersen et al. in 2020 described the generation of </w:t>
      </w:r>
      <w:r w:rsidR="00075BE6" w:rsidRPr="00B32052">
        <w:rPr>
          <w:sz w:val="24"/>
          <w:szCs w:val="24"/>
        </w:rPr>
        <w:t>spheroid</w:t>
      </w:r>
      <w:r w:rsidRPr="00B32052">
        <w:rPr>
          <w:sz w:val="24"/>
          <w:szCs w:val="24"/>
        </w:rPr>
        <w:t>s from primary CP cells explanted from adult C57BL/6J mice</w:t>
      </w:r>
      <w:r w:rsidRPr="00B32052">
        <w:rPr>
          <w:noProof/>
          <w:sz w:val="24"/>
          <w:szCs w:val="24"/>
          <w:vertAlign w:val="superscript"/>
        </w:rPr>
        <w:t>30</w:t>
      </w:r>
      <w:r w:rsidRPr="00B32052">
        <w:rPr>
          <w:sz w:val="24"/>
          <w:szCs w:val="24"/>
        </w:rPr>
        <w:t xml:space="preserve">. We adapted this protocol to the study of NPSLE. We micro-dissected and pooled CP tissue from the lateral and fourth ventricles of multiple mice and further mechanically dissociated, plated, and cultured the explanted tissue for two weeks (Figure 1A). In preparation for microscopy studies, explant CP tissue was plated and cultured in Matrigel domes (Corning, Glendale, AZ; Cat# 354230) on an eight well chambered microscopy slide ("µ-slide"; Ibidi, Fitchburg, </w:t>
      </w:r>
      <w:r w:rsidRPr="00B32052">
        <w:rPr>
          <w:sz w:val="24"/>
          <w:szCs w:val="24"/>
        </w:rPr>
        <w:lastRenderedPageBreak/>
        <w:t xml:space="preserve">WI; Cat# 80826). For each genotype condition, CP was pooled and plated at a ratio of two mice per four wells. A single well contained dozens of individual </w:t>
      </w:r>
      <w:r w:rsidR="00075BE6" w:rsidRPr="00B32052">
        <w:rPr>
          <w:sz w:val="24"/>
          <w:szCs w:val="24"/>
        </w:rPr>
        <w:t>spheroid</w:t>
      </w:r>
      <w:r w:rsidRPr="00B32052">
        <w:rPr>
          <w:sz w:val="24"/>
          <w:szCs w:val="24"/>
        </w:rPr>
        <w:t>s belonging to the same genotype.</w:t>
      </w:r>
    </w:p>
    <w:p w14:paraId="2083FF92" w14:textId="72B25202" w:rsidR="001F2900" w:rsidRPr="00B32052" w:rsidRDefault="001F2900" w:rsidP="001F2900">
      <w:pPr>
        <w:spacing w:line="480" w:lineRule="auto"/>
        <w:ind w:firstLine="720"/>
        <w:jc w:val="both"/>
        <w:rPr>
          <w:sz w:val="24"/>
          <w:szCs w:val="24"/>
        </w:rPr>
      </w:pPr>
      <w:r w:rsidRPr="00B32052">
        <w:rPr>
          <w:sz w:val="24"/>
          <w:szCs w:val="24"/>
        </w:rPr>
        <w:t xml:space="preserve">Culture media was comprised of DMEM supplemented with 5% FBS, 10 mM HEPES (Gibco, Waltham, MA; Cat# 15630080), 400 µM L-Glutamine (Sigma, St. Louis, MO; Cat# G7513), 100 µg/mL Primocin (Invivogen, San Diego, CA; Cat# ANTPM1), 1 mg/ml EGF (BioLegend, San Diego, CA; Cat# 585606), 1 mg/ml FGF-10 (BioLegend, San Diego, CA; Cat# 751006), 1 mg/ml IGF-1 (Peprotech, Cranbury, NJ; Cat# 250-19), and B-27 (1:200; Gibco, Waltham, MA; Cat# 17504044). During 14 days of culture, the media was refreshed every other day, 20 µM Ara-c (Sigma, St. Louis, MO; Cat# C1768) was added on day 2, and FBS was removed from media on day 12. Cultures were not passaged onto new slides, as two weeks of culture was sufficient to produce viable </w:t>
      </w:r>
      <w:r w:rsidR="00075BE6" w:rsidRPr="00B32052">
        <w:rPr>
          <w:sz w:val="24"/>
          <w:szCs w:val="24"/>
        </w:rPr>
        <w:t>spheroid</w:t>
      </w:r>
      <w:r w:rsidRPr="00B32052">
        <w:rPr>
          <w:sz w:val="24"/>
          <w:szCs w:val="24"/>
        </w:rPr>
        <w:t xml:space="preserve">s for subsequent tracer studies. </w:t>
      </w:r>
    </w:p>
    <w:p w14:paraId="02F04634" w14:textId="1EB88E2A" w:rsidR="001F2900" w:rsidRPr="00B32052" w:rsidRDefault="001F2900" w:rsidP="001F2900">
      <w:pPr>
        <w:spacing w:line="360" w:lineRule="auto"/>
        <w:jc w:val="both"/>
        <w:rPr>
          <w:b/>
          <w:bCs/>
          <w:sz w:val="24"/>
          <w:szCs w:val="24"/>
        </w:rPr>
      </w:pPr>
      <w:r w:rsidRPr="00B32052">
        <w:rPr>
          <w:b/>
          <w:bCs/>
          <w:sz w:val="24"/>
          <w:szCs w:val="24"/>
        </w:rPr>
        <w:t>3</w:t>
      </w:r>
      <w:r w:rsidR="006A2BFE">
        <w:rPr>
          <w:b/>
          <w:bCs/>
          <w:sz w:val="24"/>
          <w:szCs w:val="24"/>
        </w:rPr>
        <w:t>.</w:t>
      </w:r>
      <w:r w:rsidRPr="00B32052">
        <w:rPr>
          <w:b/>
          <w:bCs/>
          <w:sz w:val="24"/>
          <w:szCs w:val="24"/>
        </w:rPr>
        <w:t xml:space="preserve"> Quantification of gene expression </w:t>
      </w:r>
    </w:p>
    <w:p w14:paraId="5089B361" w14:textId="5AE55083" w:rsidR="00CF68F7" w:rsidRPr="00B32052" w:rsidRDefault="001F2900" w:rsidP="001F2900">
      <w:pPr>
        <w:spacing w:line="480" w:lineRule="auto"/>
        <w:ind w:firstLine="720"/>
        <w:jc w:val="both"/>
        <w:rPr>
          <w:sz w:val="24"/>
          <w:szCs w:val="24"/>
        </w:rPr>
      </w:pPr>
      <w:r w:rsidRPr="00B32052">
        <w:rPr>
          <w:sz w:val="24"/>
          <w:szCs w:val="24"/>
        </w:rPr>
        <w:t>Gene expression was measured using real-time quantitative polymerase chain reaction (qPCR) analysis following RNA isolation, cDNA synthesis, and qPCR protocols previously published</w:t>
      </w:r>
      <w:r w:rsidRPr="00B32052">
        <w:rPr>
          <w:noProof/>
          <w:sz w:val="24"/>
          <w:szCs w:val="24"/>
          <w:vertAlign w:val="superscript"/>
        </w:rPr>
        <w:t>30,35</w:t>
      </w:r>
      <w:r w:rsidRPr="00B32052">
        <w:rPr>
          <w:sz w:val="24"/>
          <w:szCs w:val="24"/>
        </w:rPr>
        <w:t xml:space="preserve">. After qPCR, the delta-delta CT ("ΔΔCT") method was used to quantify expression (housekeeping: </w:t>
      </w:r>
      <w:r w:rsidRPr="00B32052">
        <w:rPr>
          <w:i/>
          <w:iCs/>
          <w:sz w:val="24"/>
          <w:szCs w:val="24"/>
        </w:rPr>
        <w:t>ywhaz</w:t>
      </w:r>
      <w:r w:rsidRPr="00B32052">
        <w:rPr>
          <w:sz w:val="24"/>
          <w:szCs w:val="24"/>
        </w:rPr>
        <w:t xml:space="preserve">; reference tissue: spleen (Figure 1H) or cortex (Figure 6A)). Sample processing for two-week old </w:t>
      </w:r>
      <w:r w:rsidR="00075BE6" w:rsidRPr="00B32052">
        <w:rPr>
          <w:sz w:val="24"/>
          <w:szCs w:val="24"/>
        </w:rPr>
        <w:t>spheroid</w:t>
      </w:r>
      <w:r w:rsidRPr="00B32052">
        <w:rPr>
          <w:sz w:val="24"/>
          <w:szCs w:val="24"/>
        </w:rPr>
        <w:t xml:space="preserve">s required the separate pooling of several wells of </w:t>
      </w:r>
      <w:r w:rsidR="00075BE6" w:rsidRPr="00B32052">
        <w:rPr>
          <w:sz w:val="24"/>
          <w:szCs w:val="24"/>
        </w:rPr>
        <w:t>spheroid</w:t>
      </w:r>
      <w:r w:rsidRPr="00B32052">
        <w:rPr>
          <w:sz w:val="24"/>
          <w:szCs w:val="24"/>
        </w:rPr>
        <w:t xml:space="preserve">s to achieve sufficient RNA quantity and quality. Gene expression within five </w:t>
      </w:r>
      <w:r w:rsidR="00075BE6" w:rsidRPr="00B32052">
        <w:rPr>
          <w:sz w:val="24"/>
          <w:szCs w:val="24"/>
        </w:rPr>
        <w:t>spheroid</w:t>
      </w:r>
      <w:r w:rsidRPr="00B32052">
        <w:rPr>
          <w:sz w:val="24"/>
          <w:szCs w:val="24"/>
        </w:rPr>
        <w:t xml:space="preserve"> pools was compared to five pools of </w:t>
      </w:r>
      <w:r w:rsidRPr="00B32052">
        <w:rPr>
          <w:i/>
          <w:iCs/>
          <w:sz w:val="24"/>
          <w:szCs w:val="24"/>
        </w:rPr>
        <w:t xml:space="preserve">in vivo </w:t>
      </w:r>
      <w:r w:rsidRPr="00B32052">
        <w:rPr>
          <w:sz w:val="24"/>
          <w:szCs w:val="24"/>
        </w:rPr>
        <w:t>(referring to samples directly collected from live mice)</w:t>
      </w:r>
      <w:r w:rsidRPr="00B32052">
        <w:rPr>
          <w:i/>
          <w:iCs/>
          <w:sz w:val="24"/>
          <w:szCs w:val="24"/>
        </w:rPr>
        <w:t xml:space="preserve"> </w:t>
      </w:r>
      <w:r w:rsidRPr="00B32052">
        <w:rPr>
          <w:sz w:val="24"/>
          <w:szCs w:val="24"/>
        </w:rPr>
        <w:t xml:space="preserve">CP tissue isolated from the same mice from which </w:t>
      </w:r>
      <w:r w:rsidR="00075BE6" w:rsidRPr="00B32052">
        <w:rPr>
          <w:sz w:val="24"/>
          <w:szCs w:val="24"/>
        </w:rPr>
        <w:t>spheroid</w:t>
      </w:r>
      <w:r w:rsidRPr="00B32052">
        <w:rPr>
          <w:sz w:val="24"/>
          <w:szCs w:val="24"/>
        </w:rPr>
        <w:t xml:space="preserve">s were generated. CP samples used for </w:t>
      </w:r>
      <w:r w:rsidRPr="00B32052">
        <w:rPr>
          <w:i/>
          <w:iCs/>
          <w:sz w:val="24"/>
          <w:szCs w:val="24"/>
        </w:rPr>
        <w:t>in vivo</w:t>
      </w:r>
      <w:r w:rsidRPr="00B32052">
        <w:rPr>
          <w:sz w:val="24"/>
          <w:szCs w:val="24"/>
        </w:rPr>
        <w:t xml:space="preserve"> ABC transporter </w:t>
      </w:r>
      <w:r w:rsidRPr="00B32052">
        <w:rPr>
          <w:sz w:val="24"/>
          <w:szCs w:val="24"/>
        </w:rPr>
        <w:lastRenderedPageBreak/>
        <w:t>expression assays were collected from sixteen-week-old female IL-6 KO and IL-6 WT mice.</w:t>
      </w:r>
    </w:p>
    <w:p w14:paraId="6AD1AA16" w14:textId="7A681087" w:rsidR="001F2900" w:rsidRPr="00B32052" w:rsidRDefault="001F2900" w:rsidP="001F2900">
      <w:pPr>
        <w:spacing w:line="360" w:lineRule="auto"/>
        <w:jc w:val="both"/>
        <w:rPr>
          <w:b/>
          <w:bCs/>
          <w:sz w:val="24"/>
          <w:szCs w:val="24"/>
        </w:rPr>
      </w:pPr>
      <w:r w:rsidRPr="00B32052">
        <w:rPr>
          <w:b/>
          <w:bCs/>
          <w:sz w:val="24"/>
          <w:szCs w:val="24"/>
        </w:rPr>
        <w:t>4</w:t>
      </w:r>
      <w:r w:rsidR="006A2BFE">
        <w:rPr>
          <w:b/>
          <w:bCs/>
          <w:sz w:val="24"/>
          <w:szCs w:val="24"/>
        </w:rPr>
        <w:t>.</w:t>
      </w:r>
      <w:r w:rsidRPr="00B32052">
        <w:rPr>
          <w:b/>
          <w:bCs/>
          <w:sz w:val="24"/>
          <w:szCs w:val="24"/>
        </w:rPr>
        <w:t xml:space="preserve"> Immunofluorescent staining</w:t>
      </w:r>
    </w:p>
    <w:p w14:paraId="0876EFED" w14:textId="23CCE39A" w:rsidR="001F2900" w:rsidRPr="00B32052" w:rsidRDefault="001F2900" w:rsidP="001F2900">
      <w:pPr>
        <w:spacing w:line="480" w:lineRule="auto"/>
        <w:ind w:firstLine="720"/>
        <w:jc w:val="both"/>
        <w:rPr>
          <w:sz w:val="24"/>
          <w:szCs w:val="24"/>
        </w:rPr>
      </w:pPr>
      <w:r w:rsidRPr="00B32052">
        <w:rPr>
          <w:sz w:val="24"/>
          <w:szCs w:val="24"/>
        </w:rPr>
        <w:t>Brains were collected, paraffin-embedded, stained, and imaged as previously described</w:t>
      </w:r>
      <w:r w:rsidRPr="00B32052">
        <w:rPr>
          <w:noProof/>
          <w:sz w:val="24"/>
          <w:szCs w:val="24"/>
          <w:vertAlign w:val="superscript"/>
        </w:rPr>
        <w:t>35</w:t>
      </w:r>
      <w:r w:rsidRPr="00B32052">
        <w:rPr>
          <w:sz w:val="24"/>
          <w:szCs w:val="24"/>
        </w:rPr>
        <w:t>. Nuclei were stained using DAPI, and immunofluorescent labelling of the canonical CP marker</w:t>
      </w:r>
      <w:r w:rsidRPr="00B32052">
        <w:rPr>
          <w:noProof/>
          <w:sz w:val="24"/>
          <w:szCs w:val="24"/>
          <w:vertAlign w:val="superscript"/>
        </w:rPr>
        <w:t>36</w:t>
      </w:r>
      <w:r w:rsidRPr="00B32052">
        <w:rPr>
          <w:sz w:val="24"/>
          <w:szCs w:val="24"/>
        </w:rPr>
        <w:t xml:space="preserve"> transthyretin (TTR; chicken</w:t>
      </w:r>
      <w:r w:rsidRPr="00F24381">
        <w:rPr>
          <w:sz w:val="24"/>
          <w:szCs w:val="24"/>
        </w:rPr>
        <w:t>-anti-</w:t>
      </w:r>
      <w:r w:rsidRPr="00B32052">
        <w:rPr>
          <w:sz w:val="24"/>
          <w:szCs w:val="24"/>
        </w:rPr>
        <w:t xml:space="preserve">mouse TTR primary antibody; 1:100; Invitrogen, Waltham, MA; Cat# PA5-20742) was performed. </w:t>
      </w:r>
      <w:r w:rsidR="004B382E" w:rsidRPr="004B382E">
        <w:rPr>
          <w:sz w:val="24"/>
          <w:szCs w:val="24"/>
        </w:rPr>
        <w:t>Separately, the ABC transporter BCRP (rabbit-anti-mouse BCRP primary antibody; Sigma, St. Louis, MO; Cat#ZRB1217; 1:200) was labelled in brain sections from eight IL-6 WT and eight IL-6 KO mice.</w:t>
      </w:r>
      <w:r w:rsidR="004B382E">
        <w:rPr>
          <w:sz w:val="24"/>
          <w:szCs w:val="24"/>
        </w:rPr>
        <w:t xml:space="preserve"> W</w:t>
      </w:r>
      <w:r w:rsidRPr="00B32052">
        <w:rPr>
          <w:sz w:val="24"/>
          <w:szCs w:val="24"/>
        </w:rPr>
        <w:t xml:space="preserve">hole mount immunofluorescent labeling of TTR was performed in </w:t>
      </w:r>
      <w:r w:rsidR="00075BE6" w:rsidRPr="00B32052">
        <w:rPr>
          <w:sz w:val="24"/>
          <w:szCs w:val="24"/>
        </w:rPr>
        <w:t>spheroid</w:t>
      </w:r>
      <w:r w:rsidRPr="00B32052">
        <w:rPr>
          <w:sz w:val="24"/>
          <w:szCs w:val="24"/>
        </w:rPr>
        <w:t>s as described previously</w:t>
      </w:r>
      <w:r w:rsidRPr="00B32052">
        <w:rPr>
          <w:noProof/>
          <w:sz w:val="24"/>
          <w:szCs w:val="24"/>
          <w:vertAlign w:val="superscript"/>
        </w:rPr>
        <w:t>37</w:t>
      </w:r>
      <w:r w:rsidRPr="00B32052">
        <w:rPr>
          <w:sz w:val="24"/>
          <w:szCs w:val="24"/>
        </w:rPr>
        <w:t>, and images were collected using a Nikon CSU-W1 spinning disk confocal microscope. Image processing used NIS-Elements (Nikon) and ImageJ</w:t>
      </w:r>
      <w:r w:rsidRPr="00B32052">
        <w:rPr>
          <w:noProof/>
          <w:sz w:val="24"/>
          <w:szCs w:val="24"/>
          <w:vertAlign w:val="superscript"/>
        </w:rPr>
        <w:t>38</w:t>
      </w:r>
      <w:r w:rsidRPr="00B32052">
        <w:rPr>
          <w:sz w:val="24"/>
          <w:szCs w:val="24"/>
        </w:rPr>
        <w:t xml:space="preserve"> software. </w:t>
      </w:r>
    </w:p>
    <w:p w14:paraId="55DF1A28" w14:textId="06445787" w:rsidR="001F2900" w:rsidRPr="00B32052" w:rsidRDefault="001F2900" w:rsidP="001F2900">
      <w:pPr>
        <w:spacing w:line="360" w:lineRule="auto"/>
        <w:jc w:val="both"/>
        <w:rPr>
          <w:b/>
          <w:bCs/>
          <w:sz w:val="24"/>
          <w:szCs w:val="24"/>
        </w:rPr>
      </w:pPr>
      <w:r w:rsidRPr="00B32052">
        <w:rPr>
          <w:b/>
          <w:bCs/>
          <w:sz w:val="24"/>
          <w:szCs w:val="24"/>
        </w:rPr>
        <w:t>5</w:t>
      </w:r>
      <w:r w:rsidR="006A2BFE">
        <w:rPr>
          <w:b/>
          <w:bCs/>
          <w:sz w:val="24"/>
          <w:szCs w:val="24"/>
        </w:rPr>
        <w:t>.</w:t>
      </w:r>
      <w:r w:rsidRPr="00B32052">
        <w:rPr>
          <w:b/>
          <w:bCs/>
          <w:sz w:val="24"/>
          <w:szCs w:val="24"/>
        </w:rPr>
        <w:t xml:space="preserve"> </w:t>
      </w:r>
      <w:r w:rsidR="00075BE6" w:rsidRPr="00B32052">
        <w:rPr>
          <w:b/>
          <w:bCs/>
          <w:sz w:val="24"/>
          <w:szCs w:val="24"/>
        </w:rPr>
        <w:t>Spheroid</w:t>
      </w:r>
      <w:r w:rsidRPr="00B32052">
        <w:rPr>
          <w:b/>
          <w:bCs/>
          <w:sz w:val="24"/>
          <w:szCs w:val="24"/>
        </w:rPr>
        <w:t xml:space="preserve"> electron microscopy</w:t>
      </w:r>
    </w:p>
    <w:p w14:paraId="6AFB602C" w14:textId="1FCED1A6" w:rsidR="001F2900" w:rsidRDefault="001F2900" w:rsidP="001F2900">
      <w:pPr>
        <w:spacing w:line="480" w:lineRule="auto"/>
        <w:jc w:val="both"/>
        <w:rPr>
          <w:sz w:val="24"/>
          <w:szCs w:val="24"/>
        </w:rPr>
      </w:pPr>
      <w:r w:rsidRPr="00B32052">
        <w:rPr>
          <w:sz w:val="24"/>
          <w:szCs w:val="24"/>
        </w:rPr>
        <w:tab/>
      </w:r>
      <w:r w:rsidR="00075BE6" w:rsidRPr="00B32052">
        <w:rPr>
          <w:sz w:val="24"/>
          <w:szCs w:val="24"/>
        </w:rPr>
        <w:t>Spheroid</w:t>
      </w:r>
      <w:r w:rsidRPr="00B32052">
        <w:rPr>
          <w:sz w:val="24"/>
          <w:szCs w:val="24"/>
        </w:rPr>
        <w:t>s of a single genotype were cultured in single-well glass bottom 35 mm dishes (MatTek, Ashland, MA; Cat# P35G-1.5-14-C) to facilitate preparation for electron microscopy</w:t>
      </w:r>
      <w:r w:rsidRPr="00B32052">
        <w:rPr>
          <w:noProof/>
          <w:sz w:val="24"/>
          <w:szCs w:val="24"/>
          <w:vertAlign w:val="superscript"/>
        </w:rPr>
        <w:t>17</w:t>
      </w:r>
      <w:r w:rsidRPr="00B32052">
        <w:rPr>
          <w:sz w:val="24"/>
          <w:szCs w:val="24"/>
        </w:rPr>
        <w:t xml:space="preserve">. Images were collected using a JEOL 1400 Plus transmission electron microscope. Sections from two </w:t>
      </w:r>
      <w:r w:rsidR="00075BE6" w:rsidRPr="00B32052">
        <w:rPr>
          <w:sz w:val="24"/>
          <w:szCs w:val="24"/>
        </w:rPr>
        <w:t>spheroid</w:t>
      </w:r>
      <w:r w:rsidRPr="00B32052">
        <w:rPr>
          <w:sz w:val="24"/>
          <w:szCs w:val="24"/>
        </w:rPr>
        <w:t xml:space="preserve">s per genotype (IL-6 WT, IL-6 KO, or MRL/mpj) were imaged and blindly evaluated for morphologic features by an experienced electron microscopist (L.C.). Anatomical features considered included positioning of epithelial cells, tight junction integrity, mitochondrial number, nuclear integrity and chromatin state, endocytic pit formation, microvilli density, and ciliation. </w:t>
      </w:r>
    </w:p>
    <w:p w14:paraId="5C4D8520" w14:textId="77777777" w:rsidR="00F24381" w:rsidRPr="00B32052" w:rsidRDefault="00F24381" w:rsidP="001F2900">
      <w:pPr>
        <w:spacing w:line="480" w:lineRule="auto"/>
        <w:jc w:val="both"/>
        <w:rPr>
          <w:sz w:val="24"/>
          <w:szCs w:val="24"/>
        </w:rPr>
      </w:pPr>
    </w:p>
    <w:p w14:paraId="48A56A8D" w14:textId="0E4EE3A8" w:rsidR="001F2900" w:rsidRPr="00B32052" w:rsidRDefault="001F2900" w:rsidP="001F2900">
      <w:pPr>
        <w:spacing w:line="360" w:lineRule="auto"/>
        <w:jc w:val="both"/>
        <w:rPr>
          <w:b/>
          <w:bCs/>
          <w:sz w:val="24"/>
          <w:szCs w:val="24"/>
        </w:rPr>
      </w:pPr>
      <w:r w:rsidRPr="00B32052">
        <w:rPr>
          <w:b/>
          <w:bCs/>
          <w:sz w:val="24"/>
          <w:szCs w:val="24"/>
        </w:rPr>
        <w:lastRenderedPageBreak/>
        <w:t>6</w:t>
      </w:r>
      <w:r w:rsidR="006A2BFE">
        <w:rPr>
          <w:b/>
          <w:bCs/>
          <w:sz w:val="24"/>
          <w:szCs w:val="24"/>
        </w:rPr>
        <w:t>.</w:t>
      </w:r>
      <w:r w:rsidRPr="00B32052">
        <w:rPr>
          <w:b/>
          <w:bCs/>
          <w:sz w:val="24"/>
          <w:szCs w:val="24"/>
        </w:rPr>
        <w:t xml:space="preserve"> IL-6 protein quantification</w:t>
      </w:r>
    </w:p>
    <w:p w14:paraId="0CF572BA" w14:textId="504CBA08" w:rsidR="001F2900" w:rsidRPr="00B32052" w:rsidRDefault="001F2900" w:rsidP="001F2900">
      <w:pPr>
        <w:spacing w:line="480" w:lineRule="auto"/>
        <w:jc w:val="both"/>
        <w:rPr>
          <w:sz w:val="24"/>
          <w:szCs w:val="24"/>
        </w:rPr>
      </w:pPr>
      <w:r w:rsidRPr="00B32052">
        <w:rPr>
          <w:sz w:val="24"/>
          <w:szCs w:val="24"/>
        </w:rPr>
        <w:tab/>
        <w:t xml:space="preserve">We measured IL-6 concentrations in the media of 2-4 wells of mature </w:t>
      </w:r>
      <w:r w:rsidR="00075BE6" w:rsidRPr="00B32052">
        <w:rPr>
          <w:sz w:val="24"/>
          <w:szCs w:val="24"/>
        </w:rPr>
        <w:t>spheroid</w:t>
      </w:r>
      <w:r w:rsidRPr="00B32052">
        <w:rPr>
          <w:sz w:val="24"/>
          <w:szCs w:val="24"/>
        </w:rPr>
        <w:t xml:space="preserve">s per each genotype using the mouse IL-6 Quantikine ELISA kit (R&amp;D Systems; Cat# M6000B). All values were normalized to a separate sample of fresh media (no </w:t>
      </w:r>
      <w:r w:rsidR="00075BE6" w:rsidRPr="00B32052">
        <w:rPr>
          <w:sz w:val="24"/>
          <w:szCs w:val="24"/>
        </w:rPr>
        <w:t>spheroid</w:t>
      </w:r>
      <w:r w:rsidRPr="00B32052">
        <w:rPr>
          <w:sz w:val="24"/>
          <w:szCs w:val="24"/>
        </w:rPr>
        <w:t xml:space="preserve"> blank). A standard ladder was used to generate a linear curve from which concentrations of each sample were calculated. </w:t>
      </w:r>
    </w:p>
    <w:p w14:paraId="3F3EF255" w14:textId="44797C12" w:rsidR="001F2900" w:rsidRPr="00B32052" w:rsidRDefault="001F2900" w:rsidP="001F2900">
      <w:pPr>
        <w:spacing w:line="360" w:lineRule="auto"/>
        <w:jc w:val="both"/>
        <w:rPr>
          <w:b/>
          <w:bCs/>
          <w:sz w:val="24"/>
          <w:szCs w:val="24"/>
        </w:rPr>
      </w:pPr>
      <w:r w:rsidRPr="00B32052">
        <w:rPr>
          <w:b/>
          <w:bCs/>
          <w:sz w:val="24"/>
          <w:szCs w:val="24"/>
        </w:rPr>
        <w:t>7</w:t>
      </w:r>
      <w:r w:rsidR="006A2BFE">
        <w:rPr>
          <w:b/>
          <w:bCs/>
          <w:sz w:val="24"/>
          <w:szCs w:val="24"/>
        </w:rPr>
        <w:t>.</w:t>
      </w:r>
      <w:r w:rsidRPr="00B32052">
        <w:rPr>
          <w:b/>
          <w:bCs/>
          <w:sz w:val="24"/>
          <w:szCs w:val="24"/>
        </w:rPr>
        <w:t xml:space="preserve"> Tracer studies: CSF-like vacuole accumulation</w:t>
      </w:r>
    </w:p>
    <w:p w14:paraId="6CE37986" w14:textId="420FD6D6" w:rsidR="001F2900" w:rsidRPr="00B32052" w:rsidRDefault="001F2900" w:rsidP="001F2900">
      <w:pPr>
        <w:spacing w:line="480" w:lineRule="auto"/>
        <w:jc w:val="both"/>
        <w:rPr>
          <w:b/>
          <w:bCs/>
          <w:sz w:val="24"/>
          <w:szCs w:val="24"/>
        </w:rPr>
      </w:pPr>
      <w:r w:rsidRPr="00B32052">
        <w:rPr>
          <w:b/>
          <w:bCs/>
          <w:sz w:val="24"/>
          <w:szCs w:val="24"/>
        </w:rPr>
        <w:t>7.1 Overview</w:t>
      </w:r>
    </w:p>
    <w:p w14:paraId="6DB9F0EE" w14:textId="60B87C6E" w:rsidR="001F2900" w:rsidRPr="00B32052" w:rsidRDefault="001F2900" w:rsidP="001F2900">
      <w:pPr>
        <w:spacing w:line="480" w:lineRule="auto"/>
        <w:ind w:firstLine="720"/>
        <w:jc w:val="both"/>
        <w:rPr>
          <w:sz w:val="24"/>
          <w:szCs w:val="24"/>
        </w:rPr>
      </w:pPr>
      <w:r w:rsidRPr="00B32052">
        <w:rPr>
          <w:sz w:val="24"/>
          <w:szCs w:val="24"/>
        </w:rPr>
        <w:t xml:space="preserve">Modifying a similar technique described in intestinal </w:t>
      </w:r>
      <w:r w:rsidR="00075BE6" w:rsidRPr="00B32052">
        <w:rPr>
          <w:sz w:val="24"/>
          <w:szCs w:val="24"/>
        </w:rPr>
        <w:t>spheroid</w:t>
      </w:r>
      <w:r w:rsidRPr="00B32052">
        <w:rPr>
          <w:sz w:val="24"/>
          <w:szCs w:val="24"/>
        </w:rPr>
        <w:t>s</w:t>
      </w:r>
      <w:r w:rsidRPr="00B32052">
        <w:rPr>
          <w:noProof/>
          <w:sz w:val="24"/>
          <w:szCs w:val="24"/>
          <w:vertAlign w:val="superscript"/>
        </w:rPr>
        <w:t>37</w:t>
      </w:r>
      <w:r w:rsidRPr="00B32052">
        <w:rPr>
          <w:sz w:val="24"/>
          <w:szCs w:val="24"/>
        </w:rPr>
        <w:t xml:space="preserve">, we devised a tracer clearance experiment for the CP </w:t>
      </w:r>
      <w:r w:rsidR="00075BE6" w:rsidRPr="00B32052">
        <w:rPr>
          <w:sz w:val="24"/>
          <w:szCs w:val="24"/>
        </w:rPr>
        <w:t>spheroid</w:t>
      </w:r>
      <w:r w:rsidRPr="00B32052">
        <w:rPr>
          <w:sz w:val="24"/>
          <w:szCs w:val="24"/>
        </w:rPr>
        <w:t>s (Figure 2A-B). At its core, the experiment leverages knowledge that small molecule tracers will diffuse passively through intact tight junctions</w:t>
      </w:r>
      <w:r w:rsidRPr="00B32052">
        <w:rPr>
          <w:noProof/>
          <w:sz w:val="24"/>
          <w:szCs w:val="24"/>
          <w:vertAlign w:val="superscript"/>
        </w:rPr>
        <w:t>39</w:t>
      </w:r>
      <w:r w:rsidRPr="00B32052">
        <w:rPr>
          <w:sz w:val="24"/>
          <w:szCs w:val="24"/>
        </w:rPr>
        <w:t xml:space="preserve">. Accumulation of small tracers in an </w:t>
      </w:r>
      <w:r w:rsidR="00075BE6" w:rsidRPr="00B32052">
        <w:rPr>
          <w:sz w:val="24"/>
          <w:szCs w:val="24"/>
        </w:rPr>
        <w:t>spheroid</w:t>
      </w:r>
      <w:r w:rsidRPr="00B32052">
        <w:rPr>
          <w:sz w:val="24"/>
          <w:szCs w:val="24"/>
        </w:rPr>
        <w:t xml:space="preserve">'s central vacuole could receive contributions from paracellular diffusion, transcellular secretion, or transcellular clearance. By leveraging the differential accumulation of small and large tracers, we could infer which pathway is most important. Comparable accumulation of large tracers over multiple hours would indicate that paracellular integrity and rates of secretory activity (i.e. vesicular transport) are likely similar between </w:t>
      </w:r>
      <w:r w:rsidR="00075BE6" w:rsidRPr="00B32052">
        <w:rPr>
          <w:sz w:val="24"/>
          <w:szCs w:val="24"/>
        </w:rPr>
        <w:t>spheroid</w:t>
      </w:r>
      <w:r w:rsidRPr="00B32052">
        <w:rPr>
          <w:sz w:val="24"/>
          <w:szCs w:val="24"/>
        </w:rPr>
        <w:t xml:space="preserve"> conditions. Given no apparent large tracer permeability changes, differences in small tracer accumulation, therefore, most likely relate to variations in clearance by the CP epithelium. Tracer accumulation is inversely proportional to clearance; that is, persistently high accumulation reflects low clearance. </w:t>
      </w:r>
    </w:p>
    <w:p w14:paraId="115CBFFE" w14:textId="74B1A77B" w:rsidR="001F2900" w:rsidRPr="00B32052" w:rsidRDefault="001F2900" w:rsidP="001F2900">
      <w:pPr>
        <w:spacing w:line="480" w:lineRule="auto"/>
        <w:jc w:val="both"/>
        <w:rPr>
          <w:b/>
          <w:bCs/>
          <w:sz w:val="24"/>
          <w:szCs w:val="24"/>
        </w:rPr>
      </w:pPr>
      <w:r w:rsidRPr="00B32052">
        <w:rPr>
          <w:b/>
          <w:bCs/>
          <w:sz w:val="24"/>
          <w:szCs w:val="24"/>
        </w:rPr>
        <w:t>7.2 Tracer molecules</w:t>
      </w:r>
    </w:p>
    <w:p w14:paraId="2E3E2B8C" w14:textId="4DAA0E80" w:rsidR="001F2900" w:rsidRPr="00B32052" w:rsidRDefault="001F2900" w:rsidP="00B32052">
      <w:pPr>
        <w:spacing w:line="480" w:lineRule="auto"/>
        <w:ind w:firstLine="720"/>
        <w:jc w:val="both"/>
        <w:rPr>
          <w:sz w:val="24"/>
          <w:szCs w:val="24"/>
        </w:rPr>
      </w:pPr>
      <w:r w:rsidRPr="00B32052">
        <w:rPr>
          <w:sz w:val="24"/>
          <w:szCs w:val="24"/>
        </w:rPr>
        <w:lastRenderedPageBreak/>
        <w:t xml:space="preserve">Multiple tracers were used to assess </w:t>
      </w:r>
      <w:r w:rsidR="00075BE6" w:rsidRPr="00B32052">
        <w:rPr>
          <w:sz w:val="24"/>
          <w:szCs w:val="24"/>
        </w:rPr>
        <w:t>spheroid</w:t>
      </w:r>
      <w:r w:rsidRPr="00B32052">
        <w:rPr>
          <w:sz w:val="24"/>
          <w:szCs w:val="24"/>
        </w:rPr>
        <w:t xml:space="preserve"> clearance functions (Figure 2B-C). Lucifer yellow (LY; 1 mM; Invitrogen, Waltham, MA; Cat# L453) and sodium fluorescein (0.25 mM; Sigma, St. Louis, MO; Cat# 30181) represent small molecule tracers which quickly equilibrate throughout the matrix and culture media</w:t>
      </w:r>
      <w:r w:rsidRPr="00B32052">
        <w:rPr>
          <w:noProof/>
          <w:sz w:val="24"/>
          <w:szCs w:val="24"/>
          <w:vertAlign w:val="superscript"/>
        </w:rPr>
        <w:t>39,40</w:t>
      </w:r>
      <w:r w:rsidRPr="00B32052">
        <w:rPr>
          <w:sz w:val="24"/>
          <w:szCs w:val="24"/>
        </w:rPr>
        <w:t>. Alexa Fluor 488-tagged methotrexate (MTX; 2 µM; Invitrogen, Waltham, MA; Cat# M1198MP) is a small molecule tracer that likely equilibrates more slowly due to its chemical properties</w:t>
      </w:r>
      <w:r w:rsidRPr="00B32052">
        <w:rPr>
          <w:noProof/>
          <w:sz w:val="24"/>
          <w:szCs w:val="24"/>
          <w:vertAlign w:val="superscript"/>
        </w:rPr>
        <w:t>40,41</w:t>
      </w:r>
      <w:r w:rsidRPr="00B32052">
        <w:rPr>
          <w:sz w:val="24"/>
          <w:szCs w:val="24"/>
        </w:rPr>
        <w:t xml:space="preserve">. Ten kDa dextran tagged with Alexa Fluor 647 (dextran; 1 mM; Chondrex, Woodinville, WA; Cat# D22914) is a large molecule tracer that moves very slowly through the matrix and media. The three small tracers can diffuse through intact tight-junctions to enter </w:t>
      </w:r>
      <w:r w:rsidR="00075BE6" w:rsidRPr="00B32052">
        <w:rPr>
          <w:sz w:val="24"/>
          <w:szCs w:val="24"/>
        </w:rPr>
        <w:t>spheroid</w:t>
      </w:r>
      <w:r w:rsidRPr="00B32052">
        <w:rPr>
          <w:sz w:val="24"/>
          <w:szCs w:val="24"/>
        </w:rPr>
        <w:t xml:space="preserve"> vacuoles, while the large tracer should not pass through intact junctional complexes. When imaging tracer accumulation using confocal microscopy, excitation laser power and exposure was adjusted to achieve comparable fluorescence intensity between tracers.</w:t>
      </w:r>
      <w:r w:rsidR="00075BE6" w:rsidRPr="00B32052">
        <w:rPr>
          <w:sz w:val="24"/>
          <w:szCs w:val="24"/>
        </w:rPr>
        <w:t xml:space="preserve"> In a pilot study, we found that spheroid volume did not significantly relate to </w:t>
      </w:r>
      <w:r w:rsidR="00075BE6" w:rsidRPr="00B32052">
        <w:rPr>
          <w:noProof/>
          <w:sz w:val="24"/>
          <w:szCs w:val="24"/>
          <w:lang w:bidi="he-IL"/>
        </w:rPr>
        <w:drawing>
          <wp:anchor distT="0" distB="0" distL="114300" distR="114300" simplePos="0" relativeHeight="251658240" behindDoc="1" locked="0" layoutInCell="1" allowOverlap="1" wp14:anchorId="268105CE" wp14:editId="575175B5">
            <wp:simplePos x="0" y="0"/>
            <wp:positionH relativeFrom="column">
              <wp:posOffset>1785620</wp:posOffset>
            </wp:positionH>
            <wp:positionV relativeFrom="paragraph">
              <wp:posOffset>1661795</wp:posOffset>
            </wp:positionV>
            <wp:extent cx="2547620" cy="2612390"/>
            <wp:effectExtent l="0" t="0" r="5080" b="0"/>
            <wp:wrapTopAndBottom/>
            <wp:docPr id="715728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7620" cy="261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BE6" w:rsidRPr="00B32052">
        <w:rPr>
          <w:sz w:val="24"/>
          <w:szCs w:val="24"/>
        </w:rPr>
        <w:t>LY accumulation in the central vacuole (Supplemental Figure 1).</w:t>
      </w:r>
    </w:p>
    <w:p w14:paraId="11082C2E" w14:textId="25B57D4F" w:rsidR="00075BE6" w:rsidRPr="00B32052" w:rsidRDefault="00075BE6" w:rsidP="001F2900">
      <w:pPr>
        <w:spacing w:line="480" w:lineRule="auto"/>
        <w:jc w:val="both"/>
        <w:rPr>
          <w:sz w:val="24"/>
          <w:szCs w:val="24"/>
        </w:rPr>
      </w:pPr>
      <w:r w:rsidRPr="00B32052">
        <w:rPr>
          <w:b/>
          <w:bCs/>
          <w:sz w:val="24"/>
          <w:szCs w:val="24"/>
        </w:rPr>
        <w:t>Supplemental Figure 1. Relationship between spheroid volume and tracer accumulation.</w:t>
      </w:r>
      <w:r w:rsidRPr="00B32052">
        <w:rPr>
          <w:sz w:val="24"/>
          <w:szCs w:val="24"/>
        </w:rPr>
        <w:t xml:space="preserve"> As a spheroid’s surface area and volume could </w:t>
      </w:r>
      <w:r w:rsidR="00B32052">
        <w:rPr>
          <w:sz w:val="24"/>
          <w:szCs w:val="24"/>
        </w:rPr>
        <w:t xml:space="preserve">potentially </w:t>
      </w:r>
      <w:r w:rsidRPr="00B32052">
        <w:rPr>
          <w:sz w:val="24"/>
          <w:szCs w:val="24"/>
        </w:rPr>
        <w:t xml:space="preserve">influence the </w:t>
      </w:r>
      <w:r w:rsidRPr="00B32052">
        <w:rPr>
          <w:sz w:val="24"/>
          <w:szCs w:val="24"/>
        </w:rPr>
        <w:lastRenderedPageBreak/>
        <w:t>level of exogenous tracer accumulation in the central CSF-like space, we performed a pilot study looking at the correlation between LY accumulation and spheroid size for each of our three genotypes of interest. Results indicated no significant relationship by simple linear regression for IL-6 KO (R</w:t>
      </w:r>
      <w:r w:rsidRPr="00B32052">
        <w:rPr>
          <w:sz w:val="24"/>
          <w:szCs w:val="24"/>
          <w:vertAlign w:val="superscript"/>
        </w:rPr>
        <w:t>2</w:t>
      </w:r>
      <w:r w:rsidRPr="00B32052">
        <w:rPr>
          <w:sz w:val="24"/>
          <w:szCs w:val="24"/>
        </w:rPr>
        <w:t>: 0.007; p=0.834), IL-6 WT (R</w:t>
      </w:r>
      <w:r w:rsidRPr="00B32052">
        <w:rPr>
          <w:sz w:val="24"/>
          <w:szCs w:val="24"/>
          <w:vertAlign w:val="superscript"/>
        </w:rPr>
        <w:t>2</w:t>
      </w:r>
      <w:r w:rsidRPr="00B32052">
        <w:rPr>
          <w:sz w:val="24"/>
          <w:szCs w:val="24"/>
        </w:rPr>
        <w:t>: 0.003; p=0.878), or MRL/Mpj spheroids (R</w:t>
      </w:r>
      <w:r w:rsidRPr="00B32052">
        <w:rPr>
          <w:sz w:val="24"/>
          <w:szCs w:val="24"/>
          <w:vertAlign w:val="superscript"/>
        </w:rPr>
        <w:t>2</w:t>
      </w:r>
      <w:r w:rsidRPr="00B32052">
        <w:rPr>
          <w:sz w:val="24"/>
          <w:szCs w:val="24"/>
        </w:rPr>
        <w:t>: 0.016; p=0.766).</w:t>
      </w:r>
    </w:p>
    <w:p w14:paraId="22195D26" w14:textId="534173E6" w:rsidR="001F2900" w:rsidRPr="00B32052" w:rsidRDefault="001F2900" w:rsidP="001F2900">
      <w:pPr>
        <w:spacing w:line="480" w:lineRule="auto"/>
        <w:jc w:val="both"/>
        <w:rPr>
          <w:b/>
          <w:bCs/>
          <w:sz w:val="24"/>
          <w:szCs w:val="24"/>
        </w:rPr>
      </w:pPr>
      <w:r w:rsidRPr="00B32052">
        <w:rPr>
          <w:b/>
          <w:bCs/>
          <w:sz w:val="24"/>
          <w:szCs w:val="24"/>
        </w:rPr>
        <w:t>7.3 Timelapse confocal microscopy</w:t>
      </w:r>
    </w:p>
    <w:p w14:paraId="421732A0" w14:textId="4E43F8B8" w:rsidR="001F2900" w:rsidRPr="00B32052" w:rsidRDefault="001F2900" w:rsidP="001F2900">
      <w:pPr>
        <w:spacing w:line="480" w:lineRule="auto"/>
        <w:jc w:val="both"/>
        <w:rPr>
          <w:sz w:val="24"/>
          <w:szCs w:val="24"/>
        </w:rPr>
      </w:pPr>
      <w:r w:rsidRPr="00B32052">
        <w:rPr>
          <w:sz w:val="24"/>
          <w:szCs w:val="24"/>
        </w:rPr>
        <w:tab/>
        <w:t>To quantify tracer accumulation over time, a novel serial confocal microscopy technique (Figure 2A) was developed based on one previously published</w:t>
      </w:r>
      <w:r w:rsidRPr="00B32052">
        <w:rPr>
          <w:noProof/>
          <w:sz w:val="24"/>
          <w:szCs w:val="24"/>
          <w:vertAlign w:val="superscript"/>
        </w:rPr>
        <w:t>37</w:t>
      </w:r>
      <w:r w:rsidRPr="00B32052">
        <w:rPr>
          <w:sz w:val="24"/>
          <w:szCs w:val="24"/>
        </w:rPr>
        <w:t xml:space="preserve">. Prior to experiments, x-y-z coordinates of ten </w:t>
      </w:r>
      <w:r w:rsidR="00075BE6" w:rsidRPr="00B32052">
        <w:rPr>
          <w:sz w:val="24"/>
          <w:szCs w:val="24"/>
        </w:rPr>
        <w:t>spheroid</w:t>
      </w:r>
      <w:r w:rsidRPr="00B32052">
        <w:rPr>
          <w:sz w:val="24"/>
          <w:szCs w:val="24"/>
        </w:rPr>
        <w:t xml:space="preserve">s per well were recorded using the Nikon confocal microscope. All </w:t>
      </w:r>
      <w:r w:rsidR="00075BE6" w:rsidRPr="00B32052">
        <w:rPr>
          <w:sz w:val="24"/>
          <w:szCs w:val="24"/>
        </w:rPr>
        <w:t>spheroid</w:t>
      </w:r>
      <w:r w:rsidRPr="00B32052">
        <w:rPr>
          <w:sz w:val="24"/>
          <w:szCs w:val="24"/>
        </w:rPr>
        <w:t xml:space="preserve"> µ-slides were kept in a stage-mounted 37°C incubator during imaging. To buffer against pH shifts (as the microscope's stage could not deliver CO2), 100 µg/mL of HEPES was added to each </w:t>
      </w:r>
      <w:r w:rsidR="00075BE6" w:rsidRPr="00B32052">
        <w:rPr>
          <w:sz w:val="24"/>
          <w:szCs w:val="24"/>
        </w:rPr>
        <w:t>spheroid</w:t>
      </w:r>
      <w:r w:rsidRPr="00B32052">
        <w:rPr>
          <w:sz w:val="24"/>
          <w:szCs w:val="24"/>
        </w:rPr>
        <w:t xml:space="preserve"> well of the µ-slide. No </w:t>
      </w:r>
      <w:r w:rsidR="00075BE6" w:rsidRPr="00B32052">
        <w:rPr>
          <w:sz w:val="24"/>
          <w:szCs w:val="24"/>
        </w:rPr>
        <w:t>spheroid</w:t>
      </w:r>
      <w:r w:rsidRPr="00B32052">
        <w:rPr>
          <w:sz w:val="24"/>
          <w:szCs w:val="24"/>
        </w:rPr>
        <w:t xml:space="preserve">s were kept on the stage longer than two hours; later timepoints required transfer back to a 5% CO2 incubator before imaging. </w:t>
      </w:r>
    </w:p>
    <w:p w14:paraId="0EFE0A55" w14:textId="3B273EA2" w:rsidR="001F2900" w:rsidRPr="00B32052" w:rsidRDefault="001F2900" w:rsidP="001F2900">
      <w:pPr>
        <w:spacing w:line="480" w:lineRule="auto"/>
        <w:ind w:firstLine="720"/>
        <w:jc w:val="both"/>
        <w:rPr>
          <w:sz w:val="24"/>
          <w:szCs w:val="24"/>
        </w:rPr>
      </w:pPr>
      <w:r w:rsidRPr="00B32052">
        <w:rPr>
          <w:sz w:val="24"/>
          <w:szCs w:val="24"/>
        </w:rPr>
        <w:t xml:space="preserve">Once experiments began, single-channel confocal images were collected every 2-5 minutes. Excitation laser properties were kept constant for each </w:t>
      </w:r>
      <w:r w:rsidR="00075BE6" w:rsidRPr="00B32052">
        <w:rPr>
          <w:sz w:val="24"/>
          <w:szCs w:val="24"/>
        </w:rPr>
        <w:t>spheroid</w:t>
      </w:r>
      <w:r w:rsidRPr="00B32052">
        <w:rPr>
          <w:sz w:val="24"/>
          <w:szCs w:val="24"/>
        </w:rPr>
        <w:t xml:space="preserve"> condition and across all timepoints. R software was used to rename image files to blind the assessors to the specific </w:t>
      </w:r>
      <w:r w:rsidR="00075BE6" w:rsidRPr="00B32052">
        <w:rPr>
          <w:sz w:val="24"/>
          <w:szCs w:val="24"/>
        </w:rPr>
        <w:t>spheroid</w:t>
      </w:r>
      <w:r w:rsidRPr="00B32052">
        <w:rPr>
          <w:sz w:val="24"/>
          <w:szCs w:val="24"/>
        </w:rPr>
        <w:t xml:space="preserve"> condition during analysis of the otherwise unaltered grayscale images. Using Image J, mean gray values within six voxels (three interior and three exterior) were measured. The average interior value was divided by the average exterior value to compute tracer accumulation. This ratio was then normalized to the baseline ratio, a timepoint which varied by tracer based on the time it took for the exterior fluorescence intensity to sufficiently increase following addition of the tracer. For each </w:t>
      </w:r>
      <w:r w:rsidRPr="00B32052">
        <w:rPr>
          <w:sz w:val="24"/>
          <w:szCs w:val="24"/>
        </w:rPr>
        <w:lastRenderedPageBreak/>
        <w:t xml:space="preserve">experiment, we uniformly compared change from baseline at the same timepoint between genotypes. As such, the overall trend in tracer accumulation (positive accumulation or negative accumulation over time) is less important, and this trend largely depends on the tracer's speed of diffusion through the matrix surrounding the </w:t>
      </w:r>
      <w:r w:rsidR="00075BE6" w:rsidRPr="00B32052">
        <w:rPr>
          <w:sz w:val="24"/>
          <w:szCs w:val="24"/>
        </w:rPr>
        <w:t>spheroid</w:t>
      </w:r>
      <w:r w:rsidRPr="00B32052">
        <w:rPr>
          <w:sz w:val="24"/>
          <w:szCs w:val="24"/>
        </w:rPr>
        <w:t xml:space="preserve">s. </w:t>
      </w:r>
    </w:p>
    <w:p w14:paraId="42DF0910" w14:textId="6B9A9BC0" w:rsidR="001F2900" w:rsidRPr="00B32052" w:rsidRDefault="001F2900" w:rsidP="001F2900">
      <w:pPr>
        <w:rPr>
          <w:b/>
          <w:bCs/>
          <w:sz w:val="24"/>
          <w:szCs w:val="24"/>
        </w:rPr>
      </w:pPr>
      <w:r w:rsidRPr="00B32052">
        <w:rPr>
          <w:b/>
          <w:bCs/>
          <w:sz w:val="24"/>
          <w:szCs w:val="24"/>
        </w:rPr>
        <w:t xml:space="preserve">7.4 LY accumulation in IL-6 WT </w:t>
      </w:r>
      <w:r w:rsidR="00075BE6" w:rsidRPr="00B32052">
        <w:rPr>
          <w:b/>
          <w:bCs/>
          <w:sz w:val="24"/>
          <w:szCs w:val="24"/>
        </w:rPr>
        <w:t>spheroid</w:t>
      </w:r>
      <w:r w:rsidRPr="00B32052">
        <w:rPr>
          <w:b/>
          <w:bCs/>
          <w:sz w:val="24"/>
          <w:szCs w:val="24"/>
        </w:rPr>
        <w:t>s following supplemental IL-6 exposure</w:t>
      </w:r>
    </w:p>
    <w:p w14:paraId="016B8EC5" w14:textId="6E38B6CF" w:rsidR="001F2900" w:rsidRPr="00B32052" w:rsidRDefault="001F2900" w:rsidP="001F2900">
      <w:pPr>
        <w:spacing w:line="480" w:lineRule="auto"/>
        <w:ind w:firstLine="720"/>
        <w:jc w:val="both"/>
        <w:rPr>
          <w:sz w:val="24"/>
          <w:szCs w:val="24"/>
        </w:rPr>
      </w:pPr>
      <w:r w:rsidRPr="00B32052">
        <w:rPr>
          <w:sz w:val="24"/>
          <w:szCs w:val="24"/>
        </w:rPr>
        <w:t xml:space="preserve">To test IL-6's ability to induce additional clearance defects, IL-6 WT </w:t>
      </w:r>
      <w:r w:rsidR="00075BE6" w:rsidRPr="00B32052">
        <w:rPr>
          <w:sz w:val="24"/>
          <w:szCs w:val="24"/>
        </w:rPr>
        <w:t>spheroid</w:t>
      </w:r>
      <w:r w:rsidRPr="00B32052">
        <w:rPr>
          <w:sz w:val="24"/>
          <w:szCs w:val="24"/>
        </w:rPr>
        <w:t>s were exposed to a single dose of recombinant murine IL-6 (10 ng/mL; Biolegend, San Diego, CA; Cat# 575709), egtazic acid (EGTA; 2mM; Sigma, St. Louis, MO; Cat# 03777), or PBS of equal volume. EGTA chelates calcium and is widely used to disrupt tight junctions</w:t>
      </w:r>
      <w:r w:rsidRPr="00B32052">
        <w:rPr>
          <w:noProof/>
          <w:sz w:val="24"/>
          <w:szCs w:val="24"/>
          <w:vertAlign w:val="superscript"/>
        </w:rPr>
        <w:t>42</w:t>
      </w:r>
      <w:r w:rsidRPr="00B32052">
        <w:rPr>
          <w:sz w:val="24"/>
          <w:szCs w:val="24"/>
        </w:rPr>
        <w:t xml:space="preserve">; therefore, it served as the positive control, while PBS was the negative control. In this experiment, one dose of IL-6, EGTA, or PBS was given following equilibration of the LY tracer throughout the matrix external to </w:t>
      </w:r>
      <w:r w:rsidR="00075BE6" w:rsidRPr="00B32052">
        <w:rPr>
          <w:sz w:val="24"/>
          <w:szCs w:val="24"/>
        </w:rPr>
        <w:t>spheroid</w:t>
      </w:r>
      <w:r w:rsidRPr="00B32052">
        <w:rPr>
          <w:sz w:val="24"/>
          <w:szCs w:val="24"/>
        </w:rPr>
        <w:t>s so that timelapse confocal microscopy (section 7.3) could detect rapid disturbances in steady state clearance.</w:t>
      </w:r>
    </w:p>
    <w:p w14:paraId="36E9D63D" w14:textId="10CA0775" w:rsidR="001F2900" w:rsidRPr="00B32052" w:rsidRDefault="001F2900" w:rsidP="001F2900">
      <w:pPr>
        <w:spacing w:line="480" w:lineRule="auto"/>
        <w:jc w:val="both"/>
        <w:rPr>
          <w:b/>
          <w:bCs/>
          <w:sz w:val="24"/>
          <w:szCs w:val="24"/>
        </w:rPr>
      </w:pPr>
      <w:r w:rsidRPr="00B32052">
        <w:rPr>
          <w:b/>
          <w:bCs/>
          <w:sz w:val="24"/>
          <w:szCs w:val="24"/>
        </w:rPr>
        <w:t xml:space="preserve">7.5 Tracer accumulation in IL-6-inhibited </w:t>
      </w:r>
      <w:r w:rsidR="00075BE6" w:rsidRPr="00B32052">
        <w:rPr>
          <w:b/>
          <w:bCs/>
          <w:sz w:val="24"/>
          <w:szCs w:val="24"/>
        </w:rPr>
        <w:t>spheroid</w:t>
      </w:r>
      <w:r w:rsidRPr="00B32052">
        <w:rPr>
          <w:b/>
          <w:bCs/>
          <w:sz w:val="24"/>
          <w:szCs w:val="24"/>
        </w:rPr>
        <w:t xml:space="preserve">s </w:t>
      </w:r>
    </w:p>
    <w:p w14:paraId="43CCA1BD" w14:textId="26095CC3" w:rsidR="001F2900" w:rsidRPr="00B32052" w:rsidRDefault="001F2900" w:rsidP="001F2900">
      <w:pPr>
        <w:spacing w:line="480" w:lineRule="auto"/>
        <w:jc w:val="both"/>
        <w:rPr>
          <w:sz w:val="24"/>
          <w:szCs w:val="24"/>
        </w:rPr>
      </w:pPr>
      <w:r w:rsidRPr="00B32052">
        <w:rPr>
          <w:sz w:val="24"/>
          <w:szCs w:val="24"/>
        </w:rPr>
        <w:tab/>
        <w:t xml:space="preserve">To completely abrogate any possible effect of IL-6, IL-6 KO MRL/lpr mice were used to generate CP </w:t>
      </w:r>
      <w:r w:rsidR="00075BE6" w:rsidRPr="00B32052">
        <w:rPr>
          <w:sz w:val="24"/>
          <w:szCs w:val="24"/>
        </w:rPr>
        <w:t>spheroid</w:t>
      </w:r>
      <w:r w:rsidRPr="00B32052">
        <w:rPr>
          <w:sz w:val="24"/>
          <w:szCs w:val="24"/>
        </w:rPr>
        <w:t xml:space="preserve">s and were compared to those identically derived from the IL-6 WT MRL/lpr strain. Separately, IL-6 signaling was suppressed in IL-6 WT </w:t>
      </w:r>
      <w:r w:rsidR="00075BE6" w:rsidRPr="00B32052">
        <w:rPr>
          <w:sz w:val="24"/>
          <w:szCs w:val="24"/>
        </w:rPr>
        <w:t>spheroid</w:t>
      </w:r>
      <w:r w:rsidRPr="00B32052">
        <w:rPr>
          <w:sz w:val="24"/>
          <w:szCs w:val="24"/>
        </w:rPr>
        <w:t xml:space="preserve">s by a 12-hour pre-incubation with 1 µg/mL of an anti-IL-6-receptor (anti-IL-6-R) antibody (BioXCell, Lebanon, NH; Cat# BE0047) previously shown to inhibit IL-6 signaling </w:t>
      </w:r>
      <w:r w:rsidRPr="00B32052">
        <w:rPr>
          <w:i/>
          <w:iCs/>
          <w:sz w:val="24"/>
          <w:szCs w:val="24"/>
        </w:rPr>
        <w:t>in vitro</w:t>
      </w:r>
      <w:r w:rsidRPr="00B32052">
        <w:rPr>
          <w:noProof/>
          <w:sz w:val="24"/>
          <w:szCs w:val="24"/>
          <w:vertAlign w:val="superscript"/>
        </w:rPr>
        <w:t>43</w:t>
      </w:r>
      <w:r w:rsidRPr="00B32052">
        <w:rPr>
          <w:sz w:val="24"/>
          <w:szCs w:val="24"/>
        </w:rPr>
        <w:t xml:space="preserve">. Control </w:t>
      </w:r>
      <w:r w:rsidR="00075BE6" w:rsidRPr="00B32052">
        <w:rPr>
          <w:sz w:val="24"/>
          <w:szCs w:val="24"/>
        </w:rPr>
        <w:t>spheroid</w:t>
      </w:r>
      <w:r w:rsidRPr="00B32052">
        <w:rPr>
          <w:sz w:val="24"/>
          <w:szCs w:val="24"/>
        </w:rPr>
        <w:t xml:space="preserve">s were incubated with the manufacturer-recommended </w:t>
      </w:r>
      <w:r w:rsidR="00CD4841" w:rsidRPr="00B32052">
        <w:rPr>
          <w:sz w:val="24"/>
          <w:szCs w:val="24"/>
        </w:rPr>
        <w:t xml:space="preserve">IgG2 </w:t>
      </w:r>
      <w:r w:rsidRPr="00B32052">
        <w:rPr>
          <w:sz w:val="24"/>
          <w:szCs w:val="24"/>
        </w:rPr>
        <w:t>isotype control antibody (1 µg/mL; BioXCell, Lebanon, NH; Cat# BE0090). In these IL-6 KO or receptor-blocked experiments, timelapse confocal microscopy (section 7.3) began when LY, MTX, sodium fluorescein, or dextran was added.</w:t>
      </w:r>
    </w:p>
    <w:p w14:paraId="1C659B0A" w14:textId="05F1A441" w:rsidR="001F2900" w:rsidRPr="00B32052" w:rsidRDefault="001F2900" w:rsidP="001F2900">
      <w:pPr>
        <w:spacing w:line="360" w:lineRule="auto"/>
        <w:jc w:val="both"/>
        <w:rPr>
          <w:b/>
          <w:bCs/>
          <w:sz w:val="24"/>
          <w:szCs w:val="24"/>
        </w:rPr>
      </w:pPr>
      <w:r w:rsidRPr="00B32052">
        <w:rPr>
          <w:b/>
          <w:bCs/>
          <w:sz w:val="24"/>
          <w:szCs w:val="24"/>
        </w:rPr>
        <w:lastRenderedPageBreak/>
        <w:t>8</w:t>
      </w:r>
      <w:r w:rsidR="006A2BFE">
        <w:rPr>
          <w:b/>
          <w:bCs/>
          <w:sz w:val="24"/>
          <w:szCs w:val="24"/>
        </w:rPr>
        <w:t>.</w:t>
      </w:r>
      <w:r w:rsidRPr="00B32052">
        <w:rPr>
          <w:b/>
          <w:bCs/>
          <w:sz w:val="24"/>
          <w:szCs w:val="24"/>
        </w:rPr>
        <w:t xml:space="preserve"> Tracer studies: Intra-cellular accumulation due to perturbed ABC transporter function</w:t>
      </w:r>
    </w:p>
    <w:p w14:paraId="00F99E23" w14:textId="490C0DBE" w:rsidR="001F2900" w:rsidRPr="00B32052" w:rsidRDefault="001F2900" w:rsidP="001F2900">
      <w:pPr>
        <w:spacing w:line="480" w:lineRule="auto"/>
        <w:jc w:val="both"/>
        <w:rPr>
          <w:b/>
          <w:bCs/>
          <w:sz w:val="24"/>
          <w:szCs w:val="24"/>
        </w:rPr>
      </w:pPr>
      <w:r w:rsidRPr="00B32052">
        <w:rPr>
          <w:b/>
          <w:bCs/>
          <w:sz w:val="24"/>
          <w:szCs w:val="24"/>
        </w:rPr>
        <w:t>8.1 Overview</w:t>
      </w:r>
    </w:p>
    <w:p w14:paraId="03344D7B" w14:textId="50387A8F" w:rsidR="001F2900" w:rsidRPr="00B32052" w:rsidRDefault="001F2900" w:rsidP="001F2900">
      <w:pPr>
        <w:spacing w:line="480" w:lineRule="auto"/>
        <w:ind w:firstLine="720"/>
        <w:jc w:val="both"/>
        <w:rPr>
          <w:sz w:val="24"/>
          <w:szCs w:val="24"/>
        </w:rPr>
      </w:pPr>
      <w:r w:rsidRPr="00B32052">
        <w:rPr>
          <w:sz w:val="24"/>
          <w:szCs w:val="24"/>
        </w:rPr>
        <w:t xml:space="preserve">To specifically interrogate ABC transporter function in CP </w:t>
      </w:r>
      <w:r w:rsidR="00075BE6" w:rsidRPr="00B32052">
        <w:rPr>
          <w:sz w:val="24"/>
          <w:szCs w:val="24"/>
        </w:rPr>
        <w:t>spheroid</w:t>
      </w:r>
      <w:r w:rsidRPr="00B32052">
        <w:rPr>
          <w:sz w:val="24"/>
          <w:szCs w:val="24"/>
        </w:rPr>
        <w:t xml:space="preserve">s, additional experiments used the EFFLUX-ID Green multi-drug resistance assay kit (Enzo Life Sciences, Farmingdale, NY; Cat# 51029K100). The tracer fluorescein diacetate (FD; 5 µM) is roughly the same size as the other small molecule tracers, around 500 Daltons. As depicted in Figure 5A, this tracer is hydrophobic outside of cells and moves freely into the cytoplasm through the membrane. Once inside, FD is acted upon by cytoplasmic enzymes and becomes both fluorescent and hydrophilic. The only pathway out of the cell is then to be cleared by ABC transporters. All three types, P-gp, MRP1, and BCRP, can efflux FD. Brighter cells reflect decreased ABC clearance. </w:t>
      </w:r>
    </w:p>
    <w:p w14:paraId="2743DD7C" w14:textId="6E78039E" w:rsidR="001F2900" w:rsidRPr="00B32052" w:rsidRDefault="001F2900" w:rsidP="001F2900">
      <w:pPr>
        <w:spacing w:line="480" w:lineRule="auto"/>
        <w:jc w:val="both"/>
        <w:rPr>
          <w:b/>
          <w:bCs/>
          <w:sz w:val="24"/>
          <w:szCs w:val="24"/>
        </w:rPr>
      </w:pPr>
      <w:r w:rsidRPr="00B32052">
        <w:rPr>
          <w:b/>
          <w:bCs/>
          <w:sz w:val="24"/>
          <w:szCs w:val="24"/>
        </w:rPr>
        <w:t>8.2 ABC transporter inhibitors</w:t>
      </w:r>
    </w:p>
    <w:p w14:paraId="719494B7" w14:textId="7503CF11" w:rsidR="001F2900" w:rsidRDefault="001F2900" w:rsidP="001F2900">
      <w:pPr>
        <w:spacing w:line="480" w:lineRule="auto"/>
        <w:ind w:firstLine="720"/>
        <w:jc w:val="both"/>
        <w:rPr>
          <w:sz w:val="24"/>
          <w:szCs w:val="24"/>
        </w:rPr>
      </w:pPr>
      <w:r w:rsidRPr="00B32052">
        <w:rPr>
          <w:sz w:val="24"/>
          <w:szCs w:val="24"/>
        </w:rPr>
        <w:t xml:space="preserve">A series of specific inhibitors (EFFLUX-ID kit) were used to blocked FD efflux through each transporter. Verapamil (25 µM; P-gp inhibitor), MK571 (55 µM; MRP1 inhibitor), and Novobiocin (100 µM; BCRP inhibitor) were added separately to individual wells of </w:t>
      </w:r>
      <w:r w:rsidR="00075BE6" w:rsidRPr="00B32052">
        <w:rPr>
          <w:sz w:val="24"/>
          <w:szCs w:val="24"/>
        </w:rPr>
        <w:t>spheroid</w:t>
      </w:r>
      <w:r w:rsidRPr="00B32052">
        <w:rPr>
          <w:sz w:val="24"/>
          <w:szCs w:val="24"/>
        </w:rPr>
        <w:t xml:space="preserve">s according to manufacturer recommendations. Each inhibitor was dissolved in DMSO, while an equal volume of DMSO alone served as the negative control. First, baseline ABC clearance of FD was compared between IL-6 KO and IL-6 WT </w:t>
      </w:r>
      <w:r w:rsidR="00075BE6" w:rsidRPr="00B32052">
        <w:rPr>
          <w:sz w:val="24"/>
          <w:szCs w:val="24"/>
        </w:rPr>
        <w:t>spheroid</w:t>
      </w:r>
      <w:r w:rsidRPr="00B32052">
        <w:rPr>
          <w:sz w:val="24"/>
          <w:szCs w:val="24"/>
        </w:rPr>
        <w:t xml:space="preserve">s, and then we assessed the ability of MK571 or Novobiocin to phenocopy IL-6-mediated effects in IL-6 KO </w:t>
      </w:r>
      <w:r w:rsidR="00075BE6" w:rsidRPr="00B32052">
        <w:rPr>
          <w:sz w:val="24"/>
          <w:szCs w:val="24"/>
        </w:rPr>
        <w:t>spheroid</w:t>
      </w:r>
      <w:r w:rsidRPr="00B32052">
        <w:rPr>
          <w:sz w:val="24"/>
          <w:szCs w:val="24"/>
        </w:rPr>
        <w:t>s.</w:t>
      </w:r>
    </w:p>
    <w:p w14:paraId="2E2BAD52" w14:textId="77777777" w:rsidR="00F24381" w:rsidRPr="00B32052" w:rsidRDefault="00F24381" w:rsidP="001F2900">
      <w:pPr>
        <w:spacing w:line="480" w:lineRule="auto"/>
        <w:ind w:firstLine="720"/>
        <w:jc w:val="both"/>
        <w:rPr>
          <w:sz w:val="24"/>
          <w:szCs w:val="24"/>
        </w:rPr>
      </w:pPr>
    </w:p>
    <w:p w14:paraId="6C1A19D4" w14:textId="0D2FBD30" w:rsidR="001F2900" w:rsidRPr="00B32052" w:rsidRDefault="001F2900" w:rsidP="001F2900">
      <w:pPr>
        <w:spacing w:line="480" w:lineRule="auto"/>
        <w:jc w:val="both"/>
        <w:rPr>
          <w:b/>
          <w:bCs/>
          <w:sz w:val="24"/>
          <w:szCs w:val="24"/>
        </w:rPr>
      </w:pPr>
      <w:r w:rsidRPr="00B32052">
        <w:rPr>
          <w:b/>
          <w:bCs/>
          <w:sz w:val="24"/>
          <w:szCs w:val="24"/>
        </w:rPr>
        <w:lastRenderedPageBreak/>
        <w:t>8.3 Experimental timeline and analysis</w:t>
      </w:r>
    </w:p>
    <w:p w14:paraId="405DC2D7" w14:textId="63707612" w:rsidR="001F2900" w:rsidRPr="00B32052" w:rsidRDefault="001F2900" w:rsidP="001F2900">
      <w:pPr>
        <w:spacing w:line="480" w:lineRule="auto"/>
        <w:jc w:val="both"/>
        <w:rPr>
          <w:sz w:val="24"/>
          <w:szCs w:val="24"/>
        </w:rPr>
      </w:pPr>
      <w:r w:rsidRPr="00B32052">
        <w:rPr>
          <w:sz w:val="24"/>
          <w:szCs w:val="24"/>
        </w:rPr>
        <w:tab/>
        <w:t xml:space="preserve">On the day of the experiment, µ-slides of </w:t>
      </w:r>
      <w:r w:rsidR="00075BE6" w:rsidRPr="00B32052">
        <w:rPr>
          <w:sz w:val="24"/>
          <w:szCs w:val="24"/>
        </w:rPr>
        <w:t>spheroid</w:t>
      </w:r>
      <w:r w:rsidRPr="00B32052">
        <w:rPr>
          <w:sz w:val="24"/>
          <w:szCs w:val="24"/>
        </w:rPr>
        <w:t xml:space="preserve">s were incubated with inhibitors or the corresponding control for two hours. Then, FD was added, and after ninety minutes the </w:t>
      </w:r>
      <w:r w:rsidR="00075BE6" w:rsidRPr="00B32052">
        <w:rPr>
          <w:sz w:val="24"/>
          <w:szCs w:val="24"/>
        </w:rPr>
        <w:t>spheroid</w:t>
      </w:r>
      <w:r w:rsidRPr="00B32052">
        <w:rPr>
          <w:sz w:val="24"/>
          <w:szCs w:val="24"/>
        </w:rPr>
        <w:t xml:space="preserve">s were moved to the confocal microscope for single timepoint image collection. Unlike our other tracers, timelapse imaging was not performed for FD. This tracer enters the cytoplasm rapidly, so we did not expect a time course to be helpful. Additionally, the inhibitors used were not expected to increase their effectiveness over time, so a single image timepoint would suffice, as also recommended by the EFFLUX-ID kit manufacturer. Images were anonymized as described in section 7.3. Image J was used to measure the mean gray value of the cytoplasmic compartment of the brightest cell body. This value was divided by the mean gray value in the nearby space exterior to the </w:t>
      </w:r>
      <w:r w:rsidR="00075BE6" w:rsidRPr="00B32052">
        <w:rPr>
          <w:sz w:val="24"/>
          <w:szCs w:val="24"/>
        </w:rPr>
        <w:t>spheroid</w:t>
      </w:r>
      <w:r w:rsidRPr="00B32052">
        <w:rPr>
          <w:sz w:val="24"/>
          <w:szCs w:val="24"/>
        </w:rPr>
        <w:t xml:space="preserve">. This ratio reflected intracellular FD accumulation. </w:t>
      </w:r>
    </w:p>
    <w:p w14:paraId="4FEAE952" w14:textId="34DBE51B" w:rsidR="001F2900" w:rsidRPr="00B32052" w:rsidRDefault="001F2900" w:rsidP="001F2900">
      <w:pPr>
        <w:spacing w:line="360" w:lineRule="auto"/>
        <w:jc w:val="both"/>
        <w:rPr>
          <w:b/>
          <w:bCs/>
          <w:sz w:val="24"/>
          <w:szCs w:val="24"/>
        </w:rPr>
      </w:pPr>
      <w:r w:rsidRPr="00B32052">
        <w:rPr>
          <w:b/>
          <w:bCs/>
          <w:sz w:val="24"/>
          <w:szCs w:val="24"/>
        </w:rPr>
        <w:t>9</w:t>
      </w:r>
      <w:r w:rsidR="006A2BFE">
        <w:rPr>
          <w:b/>
          <w:bCs/>
          <w:sz w:val="24"/>
          <w:szCs w:val="24"/>
        </w:rPr>
        <w:t>.</w:t>
      </w:r>
      <w:r w:rsidRPr="00B32052">
        <w:rPr>
          <w:b/>
          <w:bCs/>
          <w:sz w:val="24"/>
          <w:szCs w:val="24"/>
        </w:rPr>
        <w:t xml:space="preserve"> Statistics</w:t>
      </w:r>
    </w:p>
    <w:p w14:paraId="0205D37F" w14:textId="5F840715" w:rsidR="001F2900" w:rsidRPr="00B32052" w:rsidRDefault="001F2900" w:rsidP="00F24381">
      <w:pPr>
        <w:spacing w:line="480" w:lineRule="auto"/>
        <w:jc w:val="both"/>
        <w:rPr>
          <w:sz w:val="24"/>
          <w:szCs w:val="24"/>
        </w:rPr>
      </w:pPr>
      <w:r w:rsidRPr="00B32052">
        <w:rPr>
          <w:sz w:val="24"/>
          <w:szCs w:val="24"/>
        </w:rPr>
        <w:tab/>
        <w:t xml:space="preserve">The Jarque-Bera method assessed normality in all data, then appropriate two-tail parametric (Students T-test) or non-parametric (Mann Whitney U test) means-based comparisons were used (p &lt; 0.05 is significant). The 1.5*IQR technique was used to identify outlier values. The ten imaged </w:t>
      </w:r>
      <w:r w:rsidR="00075BE6" w:rsidRPr="00B32052">
        <w:rPr>
          <w:sz w:val="24"/>
          <w:szCs w:val="24"/>
        </w:rPr>
        <w:t>spheroid</w:t>
      </w:r>
      <w:r w:rsidRPr="00B32052">
        <w:rPr>
          <w:sz w:val="24"/>
          <w:szCs w:val="24"/>
        </w:rPr>
        <w:t>s in each well of a µ-slide were biological replicates, while two wells being of the same genotype or treatment were technical replicates. Data presented from all LY, sodium fluorescein, and dextran experiments included at least two technical replicates. The MTX and FD experiments contained one technical replicate, as their results replicated already observed effects of IL-6 on LY. GraphPad Prism 9 and Microsoft Excel were used to perform all statistical analyses and produce all graphs</w:t>
      </w:r>
      <w:r w:rsidR="00F24381">
        <w:rPr>
          <w:sz w:val="24"/>
          <w:szCs w:val="24"/>
        </w:rPr>
        <w:t xml:space="preserve">. </w:t>
      </w:r>
      <w:bookmarkStart w:id="0" w:name="_GoBack"/>
      <w:bookmarkEnd w:id="0"/>
    </w:p>
    <w:sectPr w:rsidR="001F2900" w:rsidRPr="00B32052" w:rsidSect="00CF68F7">
      <w:footerReference w:type="default" r:id="rId7"/>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79B32" w14:textId="77777777" w:rsidR="00D007B2" w:rsidRDefault="00D007B2" w:rsidP="00E52B59">
      <w:pPr>
        <w:spacing w:after="0" w:line="240" w:lineRule="auto"/>
      </w:pPr>
      <w:r>
        <w:separator/>
      </w:r>
    </w:p>
  </w:endnote>
  <w:endnote w:type="continuationSeparator" w:id="0">
    <w:p w14:paraId="26E66B0E" w14:textId="77777777" w:rsidR="00D007B2" w:rsidRDefault="00D007B2" w:rsidP="00E5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356175"/>
      <w:docPartObj>
        <w:docPartGallery w:val="Page Numbers (Bottom of Page)"/>
        <w:docPartUnique/>
      </w:docPartObj>
    </w:sdtPr>
    <w:sdtEndPr/>
    <w:sdtContent>
      <w:p w14:paraId="06CDB626" w14:textId="14866509" w:rsidR="00E52B59" w:rsidRDefault="00E52B59">
        <w:pPr>
          <w:pStyle w:val="Footer"/>
          <w:jc w:val="right"/>
        </w:pPr>
        <w:r>
          <w:fldChar w:fldCharType="begin"/>
        </w:r>
        <w:r>
          <w:instrText xml:space="preserve"> PAGE   \* MERGEFORMAT </w:instrText>
        </w:r>
        <w:r>
          <w:fldChar w:fldCharType="separate"/>
        </w:r>
        <w:r w:rsidR="00F24381">
          <w:rPr>
            <w:noProof/>
          </w:rPr>
          <w:t>7</w:t>
        </w:r>
        <w:r>
          <w:rPr>
            <w:noProof/>
          </w:rPr>
          <w:fldChar w:fldCharType="end"/>
        </w:r>
      </w:p>
    </w:sdtContent>
  </w:sdt>
  <w:p w14:paraId="58887D10" w14:textId="77777777" w:rsidR="00E52B59" w:rsidRDefault="00E52B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A0463" w14:textId="77777777" w:rsidR="00D007B2" w:rsidRDefault="00D007B2" w:rsidP="00E52B59">
      <w:pPr>
        <w:spacing w:after="0" w:line="240" w:lineRule="auto"/>
      </w:pPr>
      <w:r>
        <w:separator/>
      </w:r>
    </w:p>
  </w:footnote>
  <w:footnote w:type="continuationSeparator" w:id="0">
    <w:p w14:paraId="4B83C0B6" w14:textId="77777777" w:rsidR="00D007B2" w:rsidRDefault="00D007B2" w:rsidP="00E52B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A1MDayNDQwNjY2MjBS0lEKTi0uzszPAykwqgUAaVKx4CwAAAA="/>
  </w:docVars>
  <w:rsids>
    <w:rsidRoot w:val="00D36A2A"/>
    <w:rsid w:val="00075BE6"/>
    <w:rsid w:val="000D7E7F"/>
    <w:rsid w:val="00197727"/>
    <w:rsid w:val="001F1FB2"/>
    <w:rsid w:val="001F2900"/>
    <w:rsid w:val="002B7957"/>
    <w:rsid w:val="002C3D49"/>
    <w:rsid w:val="002D7BC6"/>
    <w:rsid w:val="003538D6"/>
    <w:rsid w:val="00371C88"/>
    <w:rsid w:val="003F122E"/>
    <w:rsid w:val="004851A5"/>
    <w:rsid w:val="004B382E"/>
    <w:rsid w:val="005C0E7E"/>
    <w:rsid w:val="005F460F"/>
    <w:rsid w:val="006A2BFE"/>
    <w:rsid w:val="007755D7"/>
    <w:rsid w:val="00797DB0"/>
    <w:rsid w:val="007D2020"/>
    <w:rsid w:val="008330A2"/>
    <w:rsid w:val="008374A1"/>
    <w:rsid w:val="009139FA"/>
    <w:rsid w:val="00985C86"/>
    <w:rsid w:val="00986AD0"/>
    <w:rsid w:val="009A381C"/>
    <w:rsid w:val="00A514CA"/>
    <w:rsid w:val="00A819C6"/>
    <w:rsid w:val="00B21E4E"/>
    <w:rsid w:val="00B32052"/>
    <w:rsid w:val="00C20616"/>
    <w:rsid w:val="00C235FB"/>
    <w:rsid w:val="00C23C8F"/>
    <w:rsid w:val="00C27002"/>
    <w:rsid w:val="00CD4841"/>
    <w:rsid w:val="00CF68F7"/>
    <w:rsid w:val="00D007B2"/>
    <w:rsid w:val="00D30903"/>
    <w:rsid w:val="00D317C8"/>
    <w:rsid w:val="00D36A2A"/>
    <w:rsid w:val="00D76C57"/>
    <w:rsid w:val="00D81495"/>
    <w:rsid w:val="00E52B59"/>
    <w:rsid w:val="00F24381"/>
    <w:rsid w:val="00F546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D95B"/>
  <w15:chartTrackingRefBased/>
  <w15:docId w15:val="{F0A41B38-3625-412D-A652-BB4B60B2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333333"/>
        <w:kern w:val="2"/>
        <w:sz w:val="22"/>
        <w:szCs w:val="1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A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A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6A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6A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6A2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6A2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6A2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A2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A2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6A2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6A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6A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6A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6A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6A2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36A2A"/>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36A2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A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6A2A"/>
    <w:pPr>
      <w:spacing w:before="160"/>
      <w:jc w:val="center"/>
    </w:pPr>
    <w:rPr>
      <w:i/>
      <w:iCs/>
      <w:color w:val="404040" w:themeColor="text1" w:themeTint="BF"/>
    </w:rPr>
  </w:style>
  <w:style w:type="character" w:customStyle="1" w:styleId="QuoteChar">
    <w:name w:val="Quote Char"/>
    <w:basedOn w:val="DefaultParagraphFont"/>
    <w:link w:val="Quote"/>
    <w:uiPriority w:val="29"/>
    <w:rsid w:val="00D36A2A"/>
    <w:rPr>
      <w:i/>
      <w:iCs/>
      <w:color w:val="404040" w:themeColor="text1" w:themeTint="BF"/>
    </w:rPr>
  </w:style>
  <w:style w:type="paragraph" w:styleId="ListParagraph">
    <w:name w:val="List Paragraph"/>
    <w:basedOn w:val="Normal"/>
    <w:uiPriority w:val="34"/>
    <w:qFormat/>
    <w:rsid w:val="00D36A2A"/>
    <w:pPr>
      <w:ind w:left="720"/>
      <w:contextualSpacing/>
    </w:pPr>
  </w:style>
  <w:style w:type="character" w:styleId="IntenseEmphasis">
    <w:name w:val="Intense Emphasis"/>
    <w:basedOn w:val="DefaultParagraphFont"/>
    <w:uiPriority w:val="21"/>
    <w:qFormat/>
    <w:rsid w:val="00D36A2A"/>
    <w:rPr>
      <w:i/>
      <w:iCs/>
      <w:color w:val="0F4761" w:themeColor="accent1" w:themeShade="BF"/>
    </w:rPr>
  </w:style>
  <w:style w:type="paragraph" w:styleId="IntenseQuote">
    <w:name w:val="Intense Quote"/>
    <w:basedOn w:val="Normal"/>
    <w:next w:val="Normal"/>
    <w:link w:val="IntenseQuoteChar"/>
    <w:uiPriority w:val="30"/>
    <w:qFormat/>
    <w:rsid w:val="00D3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A2A"/>
    <w:rPr>
      <w:i/>
      <w:iCs/>
      <w:color w:val="0F4761" w:themeColor="accent1" w:themeShade="BF"/>
    </w:rPr>
  </w:style>
  <w:style w:type="character" w:styleId="IntenseReference">
    <w:name w:val="Intense Reference"/>
    <w:basedOn w:val="DefaultParagraphFont"/>
    <w:uiPriority w:val="32"/>
    <w:qFormat/>
    <w:rsid w:val="00D36A2A"/>
    <w:rPr>
      <w:b/>
      <w:bCs/>
      <w:smallCaps/>
      <w:color w:val="0F4761" w:themeColor="accent1" w:themeShade="BF"/>
      <w:spacing w:val="5"/>
    </w:rPr>
  </w:style>
  <w:style w:type="paragraph" w:customStyle="1" w:styleId="HeaderA">
    <w:name w:val="Header A"/>
    <w:basedOn w:val="Normal"/>
    <w:link w:val="HeaderAChar"/>
    <w:qFormat/>
    <w:rsid w:val="001F2900"/>
    <w:pPr>
      <w:spacing w:line="360" w:lineRule="auto"/>
      <w:jc w:val="both"/>
    </w:pPr>
    <w:rPr>
      <w:rFonts w:ascii="Times New Roman" w:hAnsi="Times New Roman" w:cs="Times New Roman"/>
      <w:b/>
      <w:bCs/>
      <w:sz w:val="36"/>
      <w:szCs w:val="36"/>
    </w:rPr>
  </w:style>
  <w:style w:type="character" w:customStyle="1" w:styleId="HeaderAChar">
    <w:name w:val="Header A Char"/>
    <w:basedOn w:val="DefaultParagraphFont"/>
    <w:link w:val="HeaderA"/>
    <w:rsid w:val="001F2900"/>
    <w:rPr>
      <w:rFonts w:ascii="Times New Roman" w:hAnsi="Times New Roman" w:cs="Times New Roman"/>
      <w:b/>
      <w:bCs/>
      <w:sz w:val="36"/>
      <w:szCs w:val="36"/>
    </w:rPr>
  </w:style>
  <w:style w:type="paragraph" w:styleId="Header">
    <w:name w:val="header"/>
    <w:basedOn w:val="Normal"/>
    <w:link w:val="HeaderChar"/>
    <w:uiPriority w:val="99"/>
    <w:unhideWhenUsed/>
    <w:rsid w:val="00E52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B59"/>
  </w:style>
  <w:style w:type="paragraph" w:styleId="Footer">
    <w:name w:val="footer"/>
    <w:basedOn w:val="Normal"/>
    <w:link w:val="FooterChar"/>
    <w:uiPriority w:val="99"/>
    <w:unhideWhenUsed/>
    <w:rsid w:val="00E52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B59"/>
  </w:style>
  <w:style w:type="character" w:styleId="LineNumber">
    <w:name w:val="line number"/>
    <w:basedOn w:val="DefaultParagraphFont"/>
    <w:uiPriority w:val="99"/>
    <w:semiHidden/>
    <w:unhideWhenUsed/>
    <w:rsid w:val="00CF68F7"/>
  </w:style>
  <w:style w:type="paragraph" w:styleId="Revision">
    <w:name w:val="Revision"/>
    <w:hidden/>
    <w:uiPriority w:val="99"/>
    <w:semiHidden/>
    <w:rsid w:val="00075BE6"/>
    <w:pPr>
      <w:spacing w:after="0" w:line="240" w:lineRule="auto"/>
    </w:pPr>
  </w:style>
  <w:style w:type="paragraph" w:styleId="BalloonText">
    <w:name w:val="Balloon Text"/>
    <w:basedOn w:val="Normal"/>
    <w:link w:val="BalloonTextChar"/>
    <w:uiPriority w:val="99"/>
    <w:semiHidden/>
    <w:unhideWhenUsed/>
    <w:rsid w:val="00B32052"/>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B32052"/>
    <w:rPr>
      <w:rFonts w:ascii="Segoe UI" w:hAnsi="Segoe UI" w:cs="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2473</Words>
  <Characters>12365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Reynolds</dc:creator>
  <cp:keywords/>
  <dc:description/>
  <cp:lastModifiedBy>gmc</cp:lastModifiedBy>
  <cp:revision>3</cp:revision>
  <dcterms:created xsi:type="dcterms:W3CDTF">2024-12-11T10:34:00Z</dcterms:created>
  <dcterms:modified xsi:type="dcterms:W3CDTF">2024-12-11T10:36:00Z</dcterms:modified>
</cp:coreProperties>
</file>