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32" w:rsidRDefault="007A5432" w:rsidP="007A54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S1</w:t>
      </w:r>
    </w:p>
    <w:p w:rsidR="007A5432" w:rsidRDefault="002E4750" w:rsidP="007A543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4110" cy="4656011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1-R2-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112" cy="4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3801" w:rsidRPr="00546DF3" w:rsidRDefault="007A5432" w:rsidP="007A5432">
      <w:pPr>
        <w:spacing w:line="48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546DF3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Fig. </w:t>
      </w:r>
      <w:r w:rsidR="00F5430B" w:rsidRPr="00546DF3">
        <w:rPr>
          <w:rFonts w:ascii="Times New Roman" w:hAnsi="Times New Roman" w:cs="Times New Roman"/>
          <w:b/>
          <w:sz w:val="24"/>
          <w:szCs w:val="24"/>
          <w:highlight w:val="green"/>
        </w:rPr>
        <w:t>S</w:t>
      </w:r>
      <w:r w:rsidRPr="00546DF3">
        <w:rPr>
          <w:rFonts w:ascii="Times New Roman" w:hAnsi="Times New Roman" w:cs="Times New Roman"/>
          <w:b/>
          <w:sz w:val="24"/>
          <w:szCs w:val="24"/>
          <w:highlight w:val="green"/>
        </w:rPr>
        <w:t>1 Dynamic changes of syringomyelia within 12 months.</w:t>
      </w:r>
    </w:p>
    <w:p w:rsidR="007B6CFE" w:rsidRDefault="00873801" w:rsidP="007A54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6DF3">
        <w:rPr>
          <w:rFonts w:ascii="Times New Roman" w:hAnsi="Times New Roman" w:cs="Times New Roman"/>
          <w:sz w:val="24"/>
          <w:szCs w:val="24"/>
          <w:highlight w:val="green"/>
        </w:rPr>
        <w:t xml:space="preserve">A, </w:t>
      </w:r>
      <w:r w:rsidR="007A5432" w:rsidRPr="00546DF3">
        <w:rPr>
          <w:rFonts w:ascii="Times New Roman" w:hAnsi="Times New Roman" w:cs="Times New Roman"/>
          <w:sz w:val="24"/>
          <w:szCs w:val="24"/>
          <w:highlight w:val="green"/>
        </w:rPr>
        <w:t>The sagittal T2-MRI images of the thoracic spinal cord at 3 days, 14 days, 1 month, 2 months, 6 months and 12 months indicated that the syringomyelia gradually enlarged within 2 months and remained stable from 2 months to 12 months. (Illustrative images are from the same rat</w:t>
      </w:r>
      <w:r w:rsidR="007A5432" w:rsidRPr="00F70B34">
        <w:rPr>
          <w:rFonts w:ascii="Times New Roman" w:hAnsi="Times New Roman" w:cs="Times New Roman"/>
          <w:sz w:val="24"/>
          <w:szCs w:val="24"/>
          <w:highlight w:val="green"/>
        </w:rPr>
        <w:t>)</w:t>
      </w:r>
      <w:r w:rsidR="00225867" w:rsidRPr="0059264F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="0059264F" w:rsidRPr="0059264F">
        <w:rPr>
          <w:rFonts w:ascii="Times New Roman" w:hAnsi="Times New Roman" w:cs="Times New Roman"/>
          <w:sz w:val="24"/>
          <w:szCs w:val="24"/>
          <w:highlight w:val="green"/>
        </w:rPr>
        <w:t>Yellow arrows indicate the syrinxes and yellow stars indicate compression which result</w:t>
      </w:r>
      <w:r w:rsidR="00B36B2D">
        <w:rPr>
          <w:rFonts w:ascii="Times New Roman" w:hAnsi="Times New Roman" w:cs="Times New Roman" w:hint="eastAsia"/>
          <w:sz w:val="24"/>
          <w:szCs w:val="24"/>
          <w:highlight w:val="green"/>
        </w:rPr>
        <w:t>s</w:t>
      </w:r>
      <w:r w:rsidR="0059264F" w:rsidRPr="0059264F">
        <w:rPr>
          <w:rFonts w:ascii="Times New Roman" w:hAnsi="Times New Roman" w:cs="Times New Roman"/>
          <w:sz w:val="24"/>
          <w:szCs w:val="24"/>
          <w:highlight w:val="green"/>
        </w:rPr>
        <w:t xml:space="preserve"> in indentation of the spinal cord.</w:t>
      </w:r>
      <w:r w:rsidR="00F70B34">
        <w:rPr>
          <w:rFonts w:ascii="Times New Roman" w:hAnsi="Times New Roman" w:cs="Times New Roman"/>
          <w:sz w:val="24"/>
          <w:szCs w:val="24"/>
        </w:rPr>
        <w:t xml:space="preserve"> </w:t>
      </w:r>
      <w:r w:rsidR="00225867">
        <w:rPr>
          <w:rFonts w:ascii="Times New Roman" w:hAnsi="Times New Roman" w:cs="Times New Roman"/>
          <w:sz w:val="24"/>
          <w:szCs w:val="24"/>
        </w:rPr>
        <w:t>B,</w:t>
      </w:r>
      <w:r w:rsidR="00225867" w:rsidRPr="00225867">
        <w:rPr>
          <w:rFonts w:ascii="Times New Roman" w:hAnsi="Times New Roman" w:cs="Times New Roman"/>
          <w:sz w:val="24"/>
          <w:szCs w:val="24"/>
        </w:rPr>
        <w:t xml:space="preserve"> HE staining of sections of T12 segments of spinal cord in rats at 3 days, 14 days, 2 months, 6 months and 12 months. Similar to MRI results, the size of syringomyelia increased within 2 months, but then remained stable. </w:t>
      </w:r>
      <w:r w:rsidR="00225867">
        <w:rPr>
          <w:rFonts w:ascii="Times New Roman" w:hAnsi="Times New Roman" w:cs="Times New Roman"/>
          <w:sz w:val="24"/>
          <w:szCs w:val="24"/>
        </w:rPr>
        <w:t>C,</w:t>
      </w:r>
      <w:r w:rsidR="00225867" w:rsidRPr="00225867">
        <w:rPr>
          <w:rFonts w:ascii="Times New Roman" w:hAnsi="Times New Roman" w:cs="Times New Roman"/>
          <w:sz w:val="24"/>
          <w:szCs w:val="24"/>
        </w:rPr>
        <w:t xml:space="preserve"> Ratio of central canal diameter to spinal cord diameter in </w:t>
      </w:r>
      <w:r w:rsidR="00225867" w:rsidRPr="00225867">
        <w:rPr>
          <w:rFonts w:ascii="Times New Roman" w:hAnsi="Times New Roman" w:cs="Times New Roman"/>
          <w:sz w:val="24"/>
          <w:szCs w:val="24"/>
        </w:rPr>
        <w:lastRenderedPageBreak/>
        <w:t>MRI scan</w:t>
      </w:r>
      <w:r w:rsidR="00277B41">
        <w:rPr>
          <w:rFonts w:ascii="Times New Roman" w:hAnsi="Times New Roman" w:cs="Times New Roman"/>
          <w:sz w:val="24"/>
          <w:szCs w:val="24"/>
        </w:rPr>
        <w:t>n</w:t>
      </w:r>
      <w:r w:rsidR="00225867" w:rsidRPr="00225867">
        <w:rPr>
          <w:rFonts w:ascii="Times New Roman" w:hAnsi="Times New Roman" w:cs="Times New Roman"/>
          <w:sz w:val="24"/>
          <w:szCs w:val="24"/>
        </w:rPr>
        <w:t xml:space="preserve">ing. </w:t>
      </w:r>
      <w:r w:rsidR="00225867">
        <w:rPr>
          <w:rFonts w:ascii="Times New Roman" w:hAnsi="Times New Roman" w:cs="Times New Roman"/>
          <w:sz w:val="24"/>
          <w:szCs w:val="24"/>
        </w:rPr>
        <w:t>D,</w:t>
      </w:r>
      <w:r w:rsidR="00225867" w:rsidRPr="00225867">
        <w:rPr>
          <w:rFonts w:ascii="Times New Roman" w:hAnsi="Times New Roman" w:cs="Times New Roman"/>
          <w:sz w:val="24"/>
          <w:szCs w:val="24"/>
        </w:rPr>
        <w:t xml:space="preserve"> Ratio of central canal area to spinal cord area in spinal cord sections.</w:t>
      </w:r>
      <w:r w:rsidR="00303D9B">
        <w:rPr>
          <w:rFonts w:ascii="Times New Roman" w:hAnsi="Times New Roman" w:cs="Times New Roman"/>
          <w:sz w:val="24"/>
          <w:szCs w:val="24"/>
        </w:rPr>
        <w:t xml:space="preserve"> Scale bar, 500 </w:t>
      </w:r>
      <w:r w:rsidR="00303D9B" w:rsidRPr="00303D9B">
        <w:rPr>
          <w:rFonts w:ascii="Times New Roman" w:hAnsi="Times New Roman" w:cs="Times New Roman" w:hint="eastAsia"/>
          <w:sz w:val="24"/>
          <w:szCs w:val="24"/>
        </w:rPr>
        <w:t>µ</w:t>
      </w:r>
      <w:r w:rsidR="00303D9B">
        <w:rPr>
          <w:rFonts w:ascii="Times New Roman" w:hAnsi="Times New Roman" w:cs="Times New Roman"/>
          <w:sz w:val="24"/>
          <w:szCs w:val="24"/>
        </w:rPr>
        <w:t>m.</w:t>
      </w:r>
    </w:p>
    <w:p w:rsidR="00F5430B" w:rsidRDefault="00F5430B" w:rsidP="00F543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736600</wp:posOffset>
            </wp:positionV>
            <wp:extent cx="5274310" cy="1422400"/>
            <wp:effectExtent l="0" t="0" r="254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7" b="16325"/>
                    <a:stretch/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S2</w:t>
      </w:r>
    </w:p>
    <w:p w:rsidR="00F5430B" w:rsidRDefault="00F5430B" w:rsidP="007A54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430B" w:rsidRPr="00154771" w:rsidRDefault="00F5430B" w:rsidP="007A543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54771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154771">
        <w:rPr>
          <w:rFonts w:ascii="Times New Roman" w:hAnsi="Times New Roman" w:cs="Times New Roman"/>
          <w:b/>
          <w:sz w:val="24"/>
          <w:szCs w:val="24"/>
        </w:rPr>
        <w:t xml:space="preserve">. S2 TEM </w:t>
      </w:r>
      <w:r w:rsidRPr="00154771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154771">
        <w:rPr>
          <w:rFonts w:ascii="Times New Roman" w:hAnsi="Times New Roman" w:cs="Times New Roman"/>
          <w:b/>
          <w:sz w:val="24"/>
          <w:szCs w:val="24"/>
        </w:rPr>
        <w:t>f cell junction, golgi apparatus and mitochondrion in normal rats.</w:t>
      </w:r>
    </w:p>
    <w:sectPr w:rsidR="00F5430B" w:rsidRPr="00154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D9A" w:rsidRDefault="00D65D9A" w:rsidP="007A5432">
      <w:r>
        <w:separator/>
      </w:r>
    </w:p>
  </w:endnote>
  <w:endnote w:type="continuationSeparator" w:id="0">
    <w:p w:rsidR="00D65D9A" w:rsidRDefault="00D65D9A" w:rsidP="007A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D9A" w:rsidRDefault="00D65D9A" w:rsidP="007A5432">
      <w:r>
        <w:separator/>
      </w:r>
    </w:p>
  </w:footnote>
  <w:footnote w:type="continuationSeparator" w:id="0">
    <w:p w:rsidR="00D65D9A" w:rsidRDefault="00D65D9A" w:rsidP="007A5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BC"/>
    <w:rsid w:val="00100FE1"/>
    <w:rsid w:val="00154771"/>
    <w:rsid w:val="00225867"/>
    <w:rsid w:val="00277B41"/>
    <w:rsid w:val="002E4750"/>
    <w:rsid w:val="00303D9B"/>
    <w:rsid w:val="004665BC"/>
    <w:rsid w:val="00546DF3"/>
    <w:rsid w:val="0059264F"/>
    <w:rsid w:val="00664A1F"/>
    <w:rsid w:val="007A5432"/>
    <w:rsid w:val="00873801"/>
    <w:rsid w:val="008D504D"/>
    <w:rsid w:val="00B36B2D"/>
    <w:rsid w:val="00CA7093"/>
    <w:rsid w:val="00D65D9A"/>
    <w:rsid w:val="00D96484"/>
    <w:rsid w:val="00E14323"/>
    <w:rsid w:val="00E42A54"/>
    <w:rsid w:val="00E67D3C"/>
    <w:rsid w:val="00E9156F"/>
    <w:rsid w:val="00EA4846"/>
    <w:rsid w:val="00F5430B"/>
    <w:rsid w:val="00F7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9409F5-9DDC-4BCD-A537-59E7DCCA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4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LSM</dc:creator>
  <cp:keywords/>
  <dc:description/>
  <cp:lastModifiedBy>LSM</cp:lastModifiedBy>
  <cp:revision>16</cp:revision>
  <dcterms:created xsi:type="dcterms:W3CDTF">2024-02-11T13:23:00Z</dcterms:created>
  <dcterms:modified xsi:type="dcterms:W3CDTF">2025-01-24T00:55:00Z</dcterms:modified>
</cp:coreProperties>
</file>