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58CD9" w14:textId="34DE3A37" w:rsidR="006E6B02" w:rsidRDefault="00A5773A" w:rsidP="00CE45AD">
      <w:pPr>
        <w:spacing w:line="360" w:lineRule="auto"/>
        <w:jc w:val="both"/>
        <w:rPr>
          <w:rFonts w:ascii="Times New Roman" w:hAnsi="Times New Roman" w:cs="Times New Roman"/>
          <w:b/>
        </w:rPr>
      </w:pPr>
      <w:r>
        <w:rPr>
          <w:rFonts w:ascii="Times New Roman" w:hAnsi="Times New Roman" w:cs="Times New Roman"/>
          <w:b/>
        </w:rPr>
        <w:t xml:space="preserve">1. Relationship between GBCA concentration </w:t>
      </w:r>
      <w:r w:rsidR="00112CB5">
        <w:rPr>
          <w:rFonts w:ascii="Times New Roman" w:hAnsi="Times New Roman" w:cs="Times New Roman"/>
          <w:b/>
        </w:rPr>
        <w:t xml:space="preserve">in the fluid </w:t>
      </w:r>
      <w:r>
        <w:rPr>
          <w:rFonts w:ascii="Times New Roman" w:hAnsi="Times New Roman" w:cs="Times New Roman"/>
          <w:b/>
        </w:rPr>
        <w:t xml:space="preserve">estimated from cDSC MRI signal changes and </w:t>
      </w:r>
      <w:r w:rsidR="00382789">
        <w:rPr>
          <w:rFonts w:ascii="Times New Roman" w:hAnsi="Times New Roman" w:cs="Times New Roman"/>
          <w:b/>
        </w:rPr>
        <w:t xml:space="preserve">the </w:t>
      </w:r>
      <w:r>
        <w:rPr>
          <w:rFonts w:ascii="Times New Roman" w:hAnsi="Times New Roman" w:cs="Times New Roman"/>
          <w:b/>
        </w:rPr>
        <w:t>fluid T1 and T2 values</w:t>
      </w:r>
      <w:r w:rsidR="00112CB5">
        <w:rPr>
          <w:rFonts w:ascii="Times New Roman" w:hAnsi="Times New Roman" w:cs="Times New Roman"/>
          <w:b/>
        </w:rPr>
        <w:t xml:space="preserve"> without GBCA</w:t>
      </w:r>
      <w:r w:rsidR="00382789">
        <w:rPr>
          <w:rFonts w:ascii="Times New Roman" w:hAnsi="Times New Roman" w:cs="Times New Roman"/>
          <w:b/>
        </w:rPr>
        <w:t xml:space="preserve"> used in the conversion</w:t>
      </w:r>
    </w:p>
    <w:p w14:paraId="692C8F0D" w14:textId="42090947" w:rsidR="00406F57" w:rsidRDefault="00406F57" w:rsidP="00CE45AD">
      <w:pPr>
        <w:spacing w:line="360" w:lineRule="auto"/>
        <w:jc w:val="both"/>
        <w:rPr>
          <w:rFonts w:ascii="Times New Roman" w:hAnsi="Times New Roman" w:cs="Times New Roman"/>
          <w:b/>
        </w:rPr>
      </w:pPr>
    </w:p>
    <w:p w14:paraId="31C6BEBF" w14:textId="3FBF0CBF" w:rsidR="00A5773A" w:rsidRDefault="00A5773A" w:rsidP="00CE45AD">
      <w:pPr>
        <w:spacing w:line="360" w:lineRule="auto"/>
        <w:jc w:val="both"/>
        <w:rPr>
          <w:rFonts w:ascii="Times New Roman" w:hAnsi="Times New Roman" w:cs="Times New Roman"/>
        </w:rPr>
      </w:pPr>
      <w:r>
        <w:rPr>
          <w:rFonts w:ascii="Times New Roman" w:hAnsi="Times New Roman" w:cs="Times New Roman"/>
        </w:rPr>
        <w:t xml:space="preserve">In order to convert GBCA induced fluid signal changes measured in cDSC MRI to GBCA concentration in the fluid, the T1 and T2 values of fluid </w:t>
      </w:r>
      <w:r w:rsidR="00112CB5">
        <w:rPr>
          <w:rFonts w:ascii="Times New Roman" w:hAnsi="Times New Roman" w:cs="Times New Roman"/>
        </w:rPr>
        <w:t>without GBCA</w:t>
      </w:r>
      <w:r w:rsidR="00267751">
        <w:rPr>
          <w:rFonts w:ascii="Times New Roman" w:hAnsi="Times New Roman" w:cs="Times New Roman"/>
        </w:rPr>
        <w:t xml:space="preserve"> </w:t>
      </w:r>
      <w:r>
        <w:rPr>
          <w:rFonts w:ascii="Times New Roman" w:hAnsi="Times New Roman" w:cs="Times New Roman"/>
        </w:rPr>
        <w:t>need to be determined</w:t>
      </w:r>
      <w:r w:rsidR="00175BA2">
        <w:rPr>
          <w:rFonts w:ascii="Times New Roman" w:hAnsi="Times New Roman" w:cs="Times New Roman" w:hint="eastAsia"/>
        </w:rPr>
        <w:t xml:space="preserve"> </w:t>
      </w:r>
      <w:r w:rsidR="000F2974">
        <w:rPr>
          <w:rFonts w:ascii="Times New Roman" w:hAnsi="Times New Roman" w:cs="Times New Roman"/>
        </w:rPr>
        <w:fldChar w:fldCharType="begin"/>
      </w:r>
      <w:r w:rsidR="000F2974">
        <w:rPr>
          <w:rFonts w:ascii="Times New Roman" w:hAnsi="Times New Roman" w:cs="Times New Roman"/>
        </w:rPr>
        <w:instrText xml:space="preserve"> ADDIN ZOTERO_ITEM CSL_CITATION {"citationID":"jxYpO8cP","properties":{"formattedCitation":"(1)","plainCitation":"(1)","noteIndex":0},"citationItems":[{"id":2,"uris":["http://zotero.org/users/15150794/items/579IILI2"],"itemData":{"id":2,"type":"article-journal","abstract":"Purpose The circulation of cerebrospinal fluid (CSF) is closely associated with many aspects of brain physiology. When gadolinium(Gd)-based contrast is administered intravenously, pre- and post-contrast MR signal changes can often be observed in the CSF at certain locations within the intra-cranial space, mainly due to the lack of a blood-brain barrier in the dural blood vessels. This study aims to develop and systemically optimize MRI sequences that can detect dynamic signal changes in the CSF after Gd administration with a sub-millimeter spatial resolution, a temporal resolution of &lt;10 s, and whole brain coverage. Methods Bloch simulations were performed to determine optimal imaging parameters for maximum CSF contrast before and after Gd injection. Simulations were validated with phantom scans. An optimized turbo-spin-echo (TSE) sequence was performed on healthy volunteers on 3T and 7T. Results Simulation results agreed well with phantom scans. In human scans, dynamic signal changes after Gd injection in the CSF were detected at several locations where cerebral lymphatic vessels were identified in previous studies. The concentration of Gd in CSF in these regions was estimated to be approximately 0.2 mmol/L. Conclusion Dynamic signal changes induced by the distribution of Gd in the CSF can be detected in healthy human subjects with an optimized TSE sequence. The proposed methodology does not rely on any particular theory on CSF circulation. We expect it to be useful for studies on CSF circulation and cerebral lymphatic vessels in the brain.","container-title":"Magnetic Resonance in Medicine","DOI":"10.1002/mrm.28389","ISSN":"1522-2594","issue":"6","language":"en","license":"© 2020 International Society for Magnetic Resonance in Medicine","note":"_eprint: https://onlinelibrary.wiley.com/doi/pdf/10.1002/mrm.28389","page":"3256-3270","source":"Wiley Online Library","title":"Fast whole brain MR imaging of dynamic susceptibility contrast changes in the cerebrospinal fluid (cDSC MRI)","volume":"84","author":[{"family":"Cao","given":"Di"},{"family":"Kang","given":"Ningdong"},{"family":"Pillai","given":"Jay J."},{"family":"Miao","given":"Xinyuan"},{"family":"Paez","given":"Adrian"},{"family":"Xu","given":"Xiang"},{"family":"Xu","given":"Jiadi"},{"family":"Li","given":"Xu"},{"family":"Qin","given":"Qin"},{"family":"Van Zijl","given":"Peter C. M."},{"family":"Barker","given":"Peter"},{"family":"Hua","given":"Jun"}],"issued":{"date-parts":[["2020"]]}}}],"schema":"https://github.com/citation-style-language/schema/raw/master/csl-citation.json"} </w:instrText>
      </w:r>
      <w:r w:rsidR="000F2974">
        <w:rPr>
          <w:rFonts w:ascii="Times New Roman" w:hAnsi="Times New Roman" w:cs="Times New Roman"/>
        </w:rPr>
        <w:fldChar w:fldCharType="separate"/>
      </w:r>
      <w:r w:rsidR="000F2974" w:rsidRPr="000F2974">
        <w:rPr>
          <w:rFonts w:ascii="Times New Roman" w:hAnsi="Times New Roman" w:cs="Times New Roman"/>
        </w:rPr>
        <w:t>(1)</w:t>
      </w:r>
      <w:r w:rsidR="000F2974">
        <w:rPr>
          <w:rFonts w:ascii="Times New Roman" w:hAnsi="Times New Roman" w:cs="Times New Roman"/>
        </w:rPr>
        <w:fldChar w:fldCharType="end"/>
      </w:r>
      <w:r>
        <w:rPr>
          <w:rFonts w:ascii="Times New Roman" w:hAnsi="Times New Roman" w:cs="Times New Roman"/>
        </w:rPr>
        <w:t xml:space="preserve">. For intracranial CSF, literature values are adopted </w:t>
      </w:r>
      <w:r w:rsidR="000F2974" w:rsidRPr="000F2974">
        <w:rPr>
          <w:rFonts w:ascii="Times New Roman" w:hAnsi="Times New Roman" w:cs="Times New Roman"/>
        </w:rPr>
        <w:fldChar w:fldCharType="begin"/>
      </w:r>
      <w:r w:rsidR="000F2974" w:rsidRPr="000F2974">
        <w:rPr>
          <w:rFonts w:ascii="Times New Roman" w:hAnsi="Times New Roman" w:cs="Times New Roman"/>
        </w:rPr>
        <w:instrText xml:space="preserve"> ADDIN ZOTERO_ITEM CSL_CITATION {"citationID":"uzvRELoD","properties":{"formattedCitation":"(1)","plainCitation":"(1)","noteIndex":0},"citationItems":[{"id":2,"uris":["http://zotero.org/users/15150794/items/579IILI2"],"itemData":{"id":2,"type":"article-journal","abstract":"Purpose The circulation of cerebrospinal fluid (CSF) is closely associated with many aspects of brain physiology. When gadolinium(Gd)-based contrast is administered intravenously, pre- and post-contrast MR signal changes can often be observed in the CSF at certain locations within the intra-cranial space, mainly due to the lack of a blood-brain barrier in the dural blood vessels. This study aims to develop and systemically optimize MRI sequences that can detect dynamic signal changes in the CSF after Gd administration with a sub-millimeter spatial resolution, a temporal resolution of &lt;10 s, and whole brain coverage. Methods Bloch simulations were performed to determine optimal imaging parameters for maximum CSF contrast before and after Gd injection. Simulations were validated with phantom scans. An optimized turbo-spin-echo (TSE) sequence was performed on healthy volunteers on 3T and 7T. Results Simulation results agreed well with phantom scans. In human scans, dynamic signal changes after Gd injection in the CSF were detected at several locations where cerebral lymphatic vessels were identified in previous studies. The concentration of Gd in CSF in these regions was estimated to be approximately 0.2 mmol/L. Conclusion Dynamic signal changes induced by the distribution of Gd in the CSF can be detected in healthy human subjects with an optimized TSE sequence. The proposed methodology does not rely on any particular theory on CSF circulation. We expect it to be useful for studies on CSF circulation and cerebral lymphatic vessels in the brain.","container-title":"Magnetic Resonance in Medicine","DOI":"10.1002/mrm.28389","ISSN":"1522-2594","issue":"6","language":"en","license":"© 2020 International Society for Magnetic Resonance in Medicine","note":"_eprint: https://onlinelibrary.wiley.com/doi/pdf/10.1002/mrm.28389","page":"3256-3270","source":"Wiley Online Library","title":"Fast whole brain MR imaging of dynamic susceptibility contrast changes in the cerebrospinal fluid (cDSC MRI)","volume":"84","author":[{"family":"Cao","given":"Di"},{"family":"Kang","given":"Ningdong"},{"family":"Pillai","given":"Jay J."},{"family":"Miao","given":"Xinyuan"},{"family":"Paez","given":"Adrian"},{"family":"Xu","given":"Xiang"},{"family":"Xu","given":"Jiadi"},{"family":"Li","given":"Xu"},{"family":"Qin","given":"Qin"},{"family":"Van Zijl","given":"Peter C. M."},{"family":"Barker","given":"Peter"},{"family":"Hua","given":"Jun"}],"issued":{"date-parts":[["2020"]]}}}],"schema":"https://github.com/citation-style-language/schema/raw/master/csl-citation.json"} </w:instrText>
      </w:r>
      <w:r w:rsidR="000F2974" w:rsidRPr="000F2974">
        <w:rPr>
          <w:rFonts w:ascii="Times New Roman" w:hAnsi="Times New Roman" w:cs="Times New Roman"/>
        </w:rPr>
        <w:fldChar w:fldCharType="separate"/>
      </w:r>
      <w:r w:rsidR="000F2974" w:rsidRPr="000F2974">
        <w:rPr>
          <w:rFonts w:ascii="Times New Roman" w:hAnsi="Times New Roman" w:cs="Times New Roman"/>
        </w:rPr>
        <w:t>(1)</w:t>
      </w:r>
      <w:r w:rsidR="000F2974" w:rsidRPr="000F2974">
        <w:rPr>
          <w:rFonts w:ascii="Times New Roman" w:hAnsi="Times New Roman" w:cs="Times New Roman"/>
        </w:rPr>
        <w:fldChar w:fldCharType="end"/>
      </w:r>
      <w:r w:rsidRPr="000F2974">
        <w:rPr>
          <w:rFonts w:ascii="Times New Roman" w:hAnsi="Times New Roman" w:cs="Times New Roman"/>
        </w:rPr>
        <w:t>.</w:t>
      </w:r>
      <w:r>
        <w:rPr>
          <w:rFonts w:ascii="Times New Roman" w:hAnsi="Times New Roman" w:cs="Times New Roman"/>
        </w:rPr>
        <w:t xml:space="preserve"> However, the T1 and T2 values of CSF-like fluids in the extracranial olfactory regions </w:t>
      </w:r>
      <w:r w:rsidR="007D6628">
        <w:rPr>
          <w:rFonts w:ascii="Times New Roman" w:hAnsi="Times New Roman" w:cs="Times New Roman"/>
        </w:rPr>
        <w:t>(</w:t>
      </w:r>
      <w:r w:rsidR="007D6628" w:rsidRPr="009E791E">
        <w:rPr>
          <w:rFonts w:ascii="Times New Roman" w:hAnsi="Times New Roman" w:cs="Times New Roman"/>
        </w:rPr>
        <w:t>interstitial and lymphatic fluids, nasal glandular and mucosal secretions</w:t>
      </w:r>
      <w:r w:rsidR="007D6628">
        <w:rPr>
          <w:rFonts w:ascii="Times New Roman" w:hAnsi="Times New Roman" w:cs="Times New Roman"/>
        </w:rPr>
        <w:t xml:space="preserve">) </w:t>
      </w:r>
      <w:r>
        <w:rPr>
          <w:rFonts w:ascii="Times New Roman" w:hAnsi="Times New Roman" w:cs="Times New Roman"/>
        </w:rPr>
        <w:t>can be significantly shorter than those of intracranial CSF. Here, simulations are performed using the cDSC MRI equations derived in our previous work</w:t>
      </w:r>
      <w:r w:rsidR="00175BA2">
        <w:rPr>
          <w:rFonts w:ascii="Times New Roman" w:hAnsi="Times New Roman" w:cs="Times New Roman" w:hint="eastAsia"/>
        </w:rPr>
        <w:t xml:space="preserve"> </w:t>
      </w:r>
      <w:r w:rsidR="000F2974">
        <w:rPr>
          <w:rFonts w:ascii="Times New Roman" w:hAnsi="Times New Roman" w:cs="Times New Roman"/>
        </w:rPr>
        <w:fldChar w:fldCharType="begin"/>
      </w:r>
      <w:r w:rsidR="000F2974">
        <w:rPr>
          <w:rFonts w:ascii="Times New Roman" w:hAnsi="Times New Roman" w:cs="Times New Roman"/>
        </w:rPr>
        <w:instrText xml:space="preserve"> ADDIN ZOTERO_ITEM CSL_CITATION {"citationID":"kTUfAOJS","properties":{"formattedCitation":"(1)","plainCitation":"(1)","noteIndex":0},"citationItems":[{"id":2,"uris":["http://zotero.org/users/15150794/items/579IILI2"],"itemData":{"id":2,"type":"article-journal","abstract":"Purpose The circulation of cerebrospinal fluid (CSF) is closely associated with many aspects of brain physiology. When gadolinium(Gd)-based contrast is administered intravenously, pre- and post-contrast MR signal changes can often be observed in the CSF at certain locations within the intra-cranial space, mainly due to the lack of a blood-brain barrier in the dural blood vessels. This study aims to develop and systemically optimize MRI sequences that can detect dynamic signal changes in the CSF after Gd administration with a sub-millimeter spatial resolution, a temporal resolution of &lt;10 s, and whole brain coverage. Methods Bloch simulations were performed to determine optimal imaging parameters for maximum CSF contrast before and after Gd injection. Simulations were validated with phantom scans. An optimized turbo-spin-echo (TSE) sequence was performed on healthy volunteers on 3T and 7T. Results Simulation results agreed well with phantom scans. In human scans, dynamic signal changes after Gd injection in the CSF were detected at several locations where cerebral lymphatic vessels were identified in previous studies. The concentration of Gd in CSF in these regions was estimated to be approximately 0.2 mmol/L. Conclusion Dynamic signal changes induced by the distribution of Gd in the CSF can be detected in healthy human subjects with an optimized TSE sequence. The proposed methodology does not rely on any particular theory on CSF circulation. We expect it to be useful for studies on CSF circulation and cerebral lymphatic vessels in the brain.","container-title":"Magnetic Resonance in Medicine","DOI":"10.1002/mrm.28389","ISSN":"1522-2594","issue":"6","language":"en","license":"© 2020 International Society for Magnetic Resonance in Medicine","note":"_eprint: https://onlinelibrary.wiley.com/doi/pdf/10.1002/mrm.28389","page":"3256-3270","source":"Wiley Online Library","title":"Fast whole brain MR imaging of dynamic susceptibility contrast changes in the cerebrospinal fluid (cDSC MRI)","volume":"84","author":[{"family":"Cao","given":"Di"},{"family":"Kang","given":"Ningdong"},{"family":"Pillai","given":"Jay J."},{"family":"Miao","given":"Xinyuan"},{"family":"Paez","given":"Adrian"},{"family":"Xu","given":"Xiang"},{"family":"Xu","given":"Jiadi"},{"family":"Li","given":"Xu"},{"family":"Qin","given":"Qin"},{"family":"Van Zijl","given":"Peter C. M."},{"family":"Barker","given":"Peter"},{"family":"Hua","given":"Jun"}],"issued":{"date-parts":[["2020"]]}}}],"schema":"https://github.com/citation-style-language/schema/raw/master/csl-citation.json"} </w:instrText>
      </w:r>
      <w:r w:rsidR="000F2974">
        <w:rPr>
          <w:rFonts w:ascii="Times New Roman" w:hAnsi="Times New Roman" w:cs="Times New Roman"/>
        </w:rPr>
        <w:fldChar w:fldCharType="separate"/>
      </w:r>
      <w:r w:rsidR="000F2974" w:rsidRPr="000F2974">
        <w:rPr>
          <w:rFonts w:ascii="Times New Roman" w:hAnsi="Times New Roman" w:cs="Times New Roman"/>
        </w:rPr>
        <w:t>(1)</w:t>
      </w:r>
      <w:r w:rsidR="000F2974">
        <w:rPr>
          <w:rFonts w:ascii="Times New Roman" w:hAnsi="Times New Roman" w:cs="Times New Roman"/>
        </w:rPr>
        <w:fldChar w:fldCharType="end"/>
      </w:r>
      <w:r w:rsidR="006A1E34">
        <w:rPr>
          <w:rFonts w:ascii="Times New Roman" w:hAnsi="Times New Roman" w:cs="Times New Roman" w:hint="eastAsia"/>
        </w:rPr>
        <w:t xml:space="preserve"> </w:t>
      </w:r>
      <w:r w:rsidR="007077C2">
        <w:rPr>
          <w:rFonts w:ascii="Times New Roman" w:hAnsi="Times New Roman" w:cs="Times New Roman"/>
        </w:rPr>
        <w:t xml:space="preserve">and the imaging parameters applied in the current study </w:t>
      </w:r>
      <w:r>
        <w:rPr>
          <w:rFonts w:ascii="Times New Roman" w:hAnsi="Times New Roman" w:cs="Times New Roman"/>
        </w:rPr>
        <w:t xml:space="preserve">to demonstrate the relationship </w:t>
      </w:r>
      <w:r w:rsidRPr="00A5773A">
        <w:rPr>
          <w:rFonts w:ascii="Times New Roman" w:hAnsi="Times New Roman" w:cs="Times New Roman"/>
        </w:rPr>
        <w:t xml:space="preserve">between GBCA concentration </w:t>
      </w:r>
      <w:r w:rsidR="00112CB5">
        <w:rPr>
          <w:rFonts w:ascii="Times New Roman" w:hAnsi="Times New Roman" w:cs="Times New Roman"/>
        </w:rPr>
        <w:t xml:space="preserve">in the fluid </w:t>
      </w:r>
      <w:r w:rsidRPr="00A5773A">
        <w:rPr>
          <w:rFonts w:ascii="Times New Roman" w:hAnsi="Times New Roman" w:cs="Times New Roman"/>
        </w:rPr>
        <w:t xml:space="preserve">estimated from cDSC MRI signal changes and </w:t>
      </w:r>
      <w:r w:rsidR="00382789">
        <w:rPr>
          <w:rFonts w:ascii="Times New Roman" w:hAnsi="Times New Roman" w:cs="Times New Roman"/>
        </w:rPr>
        <w:t xml:space="preserve">the </w:t>
      </w:r>
      <w:r w:rsidRPr="00A5773A">
        <w:rPr>
          <w:rFonts w:ascii="Times New Roman" w:hAnsi="Times New Roman" w:cs="Times New Roman"/>
        </w:rPr>
        <w:t>fluid T1 and T2 values</w:t>
      </w:r>
      <w:r w:rsidR="00382789">
        <w:rPr>
          <w:rFonts w:ascii="Times New Roman" w:hAnsi="Times New Roman" w:cs="Times New Roman"/>
        </w:rPr>
        <w:t xml:space="preserve"> used in the conversion</w:t>
      </w:r>
      <w:r>
        <w:rPr>
          <w:rFonts w:ascii="Times New Roman" w:hAnsi="Times New Roman" w:cs="Times New Roman"/>
        </w:rPr>
        <w:t>.</w:t>
      </w:r>
    </w:p>
    <w:p w14:paraId="29EA05B5" w14:textId="77777777" w:rsidR="00BF4159" w:rsidRDefault="00BF4159" w:rsidP="00CE45AD">
      <w:pPr>
        <w:spacing w:line="360" w:lineRule="auto"/>
        <w:jc w:val="both"/>
        <w:rPr>
          <w:rFonts w:ascii="Times New Roman" w:hAnsi="Times New Roman" w:cs="Times New Roman"/>
          <w:b/>
        </w:rPr>
      </w:pPr>
    </w:p>
    <w:p w14:paraId="3264272F" w14:textId="67ED7FF7" w:rsidR="00A5773A" w:rsidRPr="00A5773A" w:rsidRDefault="00A5773A" w:rsidP="00CE45AD">
      <w:pPr>
        <w:spacing w:line="360" w:lineRule="auto"/>
        <w:jc w:val="both"/>
        <w:rPr>
          <w:rFonts w:ascii="Times New Roman" w:hAnsi="Times New Roman" w:cs="Times New Roman"/>
        </w:rPr>
      </w:pPr>
      <w:r>
        <w:rPr>
          <w:rFonts w:ascii="Times New Roman" w:hAnsi="Times New Roman" w:cs="Times New Roman"/>
          <w:b/>
        </w:rPr>
        <w:t xml:space="preserve">Figure S1 </w:t>
      </w:r>
      <w:r>
        <w:rPr>
          <w:rFonts w:ascii="Times New Roman" w:hAnsi="Times New Roman" w:cs="Times New Roman"/>
        </w:rPr>
        <w:t xml:space="preserve">shows </w:t>
      </w:r>
      <w:r w:rsidR="00BC15AB">
        <w:rPr>
          <w:rFonts w:ascii="Times New Roman" w:hAnsi="Times New Roman" w:cs="Times New Roman"/>
        </w:rPr>
        <w:t xml:space="preserve">the estimated GBCA concentration </w:t>
      </w:r>
      <w:r w:rsidR="00317055">
        <w:rPr>
          <w:rFonts w:ascii="Times New Roman" w:hAnsi="Times New Roman" w:cs="Times New Roman"/>
        </w:rPr>
        <w:t xml:space="preserve">([Gd]) </w:t>
      </w:r>
      <w:r w:rsidR="00BC15AB">
        <w:rPr>
          <w:rFonts w:ascii="Times New Roman" w:hAnsi="Times New Roman" w:cs="Times New Roman"/>
        </w:rPr>
        <w:t>from cDSC signal changes (ΔS/S) as functions of T1 and T2 values of the fluid</w:t>
      </w:r>
      <w:r w:rsidR="00382789">
        <w:rPr>
          <w:rFonts w:ascii="Times New Roman" w:hAnsi="Times New Roman" w:cs="Times New Roman"/>
        </w:rPr>
        <w:t xml:space="preserve"> used in the conversion</w:t>
      </w:r>
      <w:r w:rsidR="00BC15AB">
        <w:rPr>
          <w:rFonts w:ascii="Times New Roman" w:hAnsi="Times New Roman" w:cs="Times New Roman"/>
        </w:rPr>
        <w:t xml:space="preserve">. Four cDSC ΔS/S levels </w:t>
      </w:r>
      <w:r w:rsidR="00FB39FA">
        <w:rPr>
          <w:rFonts w:ascii="Times New Roman" w:hAnsi="Times New Roman" w:cs="Times New Roman"/>
        </w:rPr>
        <w:t xml:space="preserve">(-10%, -20%, -30%, -40%) </w:t>
      </w:r>
      <w:r w:rsidR="003F629A">
        <w:rPr>
          <w:rFonts w:ascii="Times New Roman" w:hAnsi="Times New Roman" w:cs="Times New Roman"/>
        </w:rPr>
        <w:t>corresponding</w:t>
      </w:r>
      <w:r w:rsidR="00112CB5">
        <w:rPr>
          <w:rFonts w:ascii="Times New Roman" w:hAnsi="Times New Roman" w:cs="Times New Roman"/>
        </w:rPr>
        <w:t xml:space="preserve"> to</w:t>
      </w:r>
      <w:r w:rsidR="003F629A">
        <w:rPr>
          <w:rFonts w:ascii="Times New Roman" w:hAnsi="Times New Roman" w:cs="Times New Roman"/>
        </w:rPr>
        <w:t xml:space="preserve"> the range of cDSC ΔS/S measured in our data </w:t>
      </w:r>
      <w:r w:rsidR="00BC15AB">
        <w:rPr>
          <w:rFonts w:ascii="Times New Roman" w:hAnsi="Times New Roman" w:cs="Times New Roman"/>
        </w:rPr>
        <w:t>were simulated.</w:t>
      </w:r>
      <w:r w:rsidR="009E791E">
        <w:rPr>
          <w:rFonts w:ascii="Times New Roman" w:hAnsi="Times New Roman" w:cs="Times New Roman"/>
        </w:rPr>
        <w:t xml:space="preserve"> </w:t>
      </w:r>
      <w:r w:rsidR="00382789">
        <w:rPr>
          <w:rFonts w:ascii="Times New Roman" w:hAnsi="Times New Roman" w:cs="Times New Roman"/>
        </w:rPr>
        <w:t>For a given ΔS/S</w:t>
      </w:r>
      <w:r w:rsidR="00382789" w:rsidRPr="00112CB5">
        <w:rPr>
          <w:rFonts w:ascii="Times New Roman" w:hAnsi="Times New Roman" w:cs="Times New Roman"/>
        </w:rPr>
        <w:t xml:space="preserve"> </w:t>
      </w:r>
      <w:r w:rsidR="00382789">
        <w:rPr>
          <w:rFonts w:ascii="Times New Roman" w:hAnsi="Times New Roman" w:cs="Times New Roman"/>
        </w:rPr>
        <w:t xml:space="preserve">measured </w:t>
      </w:r>
      <w:r w:rsidR="007D6628">
        <w:rPr>
          <w:rFonts w:ascii="Times New Roman" w:hAnsi="Times New Roman" w:cs="Times New Roman"/>
        </w:rPr>
        <w:t>in</w:t>
      </w:r>
      <w:r w:rsidR="00382789">
        <w:rPr>
          <w:rFonts w:ascii="Times New Roman" w:hAnsi="Times New Roman" w:cs="Times New Roman"/>
        </w:rPr>
        <w:t xml:space="preserve"> cDSC MRI, the estimated GBCA concentration increases with the fluid T1 values used in the conversion. This means that </w:t>
      </w:r>
      <w:r w:rsidR="00112CB5" w:rsidRPr="00112CB5">
        <w:rPr>
          <w:rFonts w:ascii="Times New Roman" w:hAnsi="Times New Roman" w:cs="Times New Roman"/>
        </w:rPr>
        <w:t xml:space="preserve">if the T1 of CSF-like fluid is shorter than intracranial CSF T1, the GBCA concentration in </w:t>
      </w:r>
      <w:r w:rsidR="00382789" w:rsidRPr="00112CB5">
        <w:rPr>
          <w:rFonts w:ascii="Times New Roman" w:hAnsi="Times New Roman" w:cs="Times New Roman"/>
        </w:rPr>
        <w:t xml:space="preserve">CSF-like </w:t>
      </w:r>
      <w:r w:rsidR="00112CB5" w:rsidRPr="00112CB5">
        <w:rPr>
          <w:rFonts w:ascii="Times New Roman" w:hAnsi="Times New Roman" w:cs="Times New Roman"/>
        </w:rPr>
        <w:t>fluid can be overestimated using the current algorithm</w:t>
      </w:r>
      <w:r w:rsidR="0078331E">
        <w:rPr>
          <w:rFonts w:ascii="Times New Roman" w:hAnsi="Times New Roman" w:cs="Times New Roman"/>
        </w:rPr>
        <w:t>, which assumes intracranial CSF T1 and T2 for all fluids</w:t>
      </w:r>
      <w:r w:rsidR="00112CB5" w:rsidRPr="00112CB5">
        <w:rPr>
          <w:rFonts w:ascii="Times New Roman" w:hAnsi="Times New Roman" w:cs="Times New Roman"/>
        </w:rPr>
        <w:t>.</w:t>
      </w:r>
      <w:r w:rsidR="007D6628">
        <w:rPr>
          <w:rFonts w:ascii="Times New Roman" w:hAnsi="Times New Roman" w:cs="Times New Roman"/>
        </w:rPr>
        <w:t xml:space="preserve"> The fluid T2 values showed minimal effects on the GBCA concentration estimated from cDSC signal changes. </w:t>
      </w:r>
    </w:p>
    <w:p w14:paraId="173477DA" w14:textId="7B9EE3AF" w:rsidR="0036247E" w:rsidRDefault="0036247E" w:rsidP="0036247E">
      <w:pPr>
        <w:spacing w:line="360" w:lineRule="auto"/>
        <w:jc w:val="both"/>
        <w:rPr>
          <w:rFonts w:ascii="Times New Roman" w:hAnsi="Times New Roman" w:cs="Times New Roman"/>
        </w:rPr>
      </w:pPr>
    </w:p>
    <w:p w14:paraId="2B7AF257" w14:textId="2A0BCEEB" w:rsidR="006F1768" w:rsidRPr="00BA051D" w:rsidRDefault="007E7E88" w:rsidP="006E0E1B">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20DC545" wp14:editId="5268BEBE">
            <wp:extent cx="3514186" cy="5303520"/>
            <wp:effectExtent l="0" t="0" r="0" b="0"/>
            <wp:docPr id="20775320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32025"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44581" cy="5349391"/>
                    </a:xfrm>
                    <a:prstGeom prst="rect">
                      <a:avLst/>
                    </a:prstGeom>
                  </pic:spPr>
                </pic:pic>
              </a:graphicData>
            </a:graphic>
          </wp:inline>
        </w:drawing>
      </w:r>
    </w:p>
    <w:p w14:paraId="32BD7702" w14:textId="4C20DC8B" w:rsidR="003F629A" w:rsidRPr="003F629A" w:rsidRDefault="003F629A" w:rsidP="003F629A">
      <w:pPr>
        <w:spacing w:line="360" w:lineRule="auto"/>
        <w:jc w:val="both"/>
        <w:rPr>
          <w:rFonts w:ascii="Times New Roman" w:hAnsi="Times New Roman" w:cs="Times New Roman"/>
          <w:sz w:val="22"/>
        </w:rPr>
      </w:pPr>
      <w:r w:rsidRPr="003F629A">
        <w:rPr>
          <w:rFonts w:ascii="Times New Roman" w:hAnsi="Times New Roman" w:cs="Times New Roman"/>
          <w:b/>
          <w:sz w:val="22"/>
        </w:rPr>
        <w:t xml:space="preserve">Figure S1: </w:t>
      </w:r>
      <w:r>
        <w:rPr>
          <w:rFonts w:ascii="Times New Roman" w:hAnsi="Times New Roman" w:cs="Times New Roman"/>
          <w:sz w:val="22"/>
        </w:rPr>
        <w:t>Relationship between</w:t>
      </w:r>
      <w:r w:rsidRPr="003F629A">
        <w:rPr>
          <w:rFonts w:ascii="Times New Roman" w:hAnsi="Times New Roman" w:cs="Times New Roman"/>
          <w:sz w:val="22"/>
        </w:rPr>
        <w:t xml:space="preserve"> the estimated GBCA concentrations </w:t>
      </w:r>
      <w:r w:rsidR="00317055">
        <w:rPr>
          <w:rFonts w:ascii="Times New Roman" w:hAnsi="Times New Roman" w:cs="Times New Roman"/>
          <w:sz w:val="22"/>
        </w:rPr>
        <w:t xml:space="preserve">([Gd]) </w:t>
      </w:r>
      <w:r w:rsidR="00112CB5">
        <w:rPr>
          <w:rFonts w:ascii="Times New Roman" w:hAnsi="Times New Roman" w:cs="Times New Roman"/>
          <w:sz w:val="22"/>
        </w:rPr>
        <w:t xml:space="preserve">in the fluid </w:t>
      </w:r>
      <w:r w:rsidRPr="003F629A">
        <w:rPr>
          <w:rFonts w:ascii="Times New Roman" w:hAnsi="Times New Roman" w:cs="Times New Roman"/>
          <w:sz w:val="22"/>
        </w:rPr>
        <w:t xml:space="preserve">from cDSC signal changes (ΔS/S) </w:t>
      </w:r>
      <w:r>
        <w:rPr>
          <w:rFonts w:ascii="Times New Roman" w:hAnsi="Times New Roman" w:cs="Times New Roman"/>
          <w:sz w:val="22"/>
        </w:rPr>
        <w:t>and</w:t>
      </w:r>
      <w:r w:rsidRPr="003F629A">
        <w:rPr>
          <w:rFonts w:ascii="Times New Roman" w:hAnsi="Times New Roman" w:cs="Times New Roman"/>
          <w:sz w:val="22"/>
        </w:rPr>
        <w:t xml:space="preserve"> T1 and T2 values of the fluid. </w:t>
      </w:r>
      <w:r w:rsidRPr="003F629A">
        <w:rPr>
          <w:rFonts w:ascii="Times New Roman" w:hAnsi="Times New Roman" w:cs="Times New Roman"/>
          <w:b/>
          <w:sz w:val="22"/>
        </w:rPr>
        <w:t>(</w:t>
      </w:r>
      <w:proofErr w:type="spellStart"/>
      <w:proofErr w:type="gramStart"/>
      <w:r w:rsidRPr="003F629A">
        <w:rPr>
          <w:rFonts w:ascii="Times New Roman" w:hAnsi="Times New Roman" w:cs="Times New Roman"/>
          <w:b/>
          <w:sz w:val="22"/>
        </w:rPr>
        <w:t>a,b</w:t>
      </w:r>
      <w:proofErr w:type="spellEnd"/>
      <w:proofErr w:type="gramEnd"/>
      <w:r w:rsidRPr="003F629A">
        <w:rPr>
          <w:rFonts w:ascii="Times New Roman" w:hAnsi="Times New Roman" w:cs="Times New Roman"/>
          <w:b/>
          <w:sz w:val="22"/>
        </w:rPr>
        <w:t>)</w:t>
      </w:r>
      <w:r>
        <w:rPr>
          <w:rFonts w:ascii="Times New Roman" w:hAnsi="Times New Roman" w:cs="Times New Roman"/>
          <w:sz w:val="22"/>
        </w:rPr>
        <w:t xml:space="preserve"> </w:t>
      </w:r>
      <w:r w:rsidRPr="003F629A">
        <w:rPr>
          <w:rFonts w:ascii="Times New Roman" w:hAnsi="Times New Roman" w:cs="Times New Roman"/>
          <w:sz w:val="22"/>
        </w:rPr>
        <w:t xml:space="preserve">cDSC ΔS/S </w:t>
      </w:r>
      <w:r>
        <w:rPr>
          <w:rFonts w:ascii="Times New Roman" w:hAnsi="Times New Roman" w:cs="Times New Roman"/>
          <w:sz w:val="22"/>
        </w:rPr>
        <w:t>= -10%;</w:t>
      </w:r>
      <w:r w:rsidRPr="003F629A">
        <w:rPr>
          <w:rFonts w:ascii="Times New Roman" w:hAnsi="Times New Roman" w:cs="Times New Roman"/>
          <w:sz w:val="22"/>
        </w:rPr>
        <w:t xml:space="preserve"> </w:t>
      </w:r>
      <w:r w:rsidRPr="003F629A">
        <w:rPr>
          <w:rFonts w:ascii="Times New Roman" w:hAnsi="Times New Roman" w:cs="Times New Roman"/>
          <w:b/>
          <w:sz w:val="22"/>
        </w:rPr>
        <w:t>(</w:t>
      </w:r>
      <w:proofErr w:type="spellStart"/>
      <w:proofErr w:type="gramStart"/>
      <w:r>
        <w:rPr>
          <w:rFonts w:ascii="Times New Roman" w:hAnsi="Times New Roman" w:cs="Times New Roman"/>
          <w:b/>
          <w:sz w:val="22"/>
        </w:rPr>
        <w:t>c,d</w:t>
      </w:r>
      <w:proofErr w:type="spellEnd"/>
      <w:proofErr w:type="gramEnd"/>
      <w:r w:rsidRPr="003F629A">
        <w:rPr>
          <w:rFonts w:ascii="Times New Roman" w:hAnsi="Times New Roman" w:cs="Times New Roman"/>
          <w:b/>
          <w:sz w:val="22"/>
        </w:rPr>
        <w:t>)</w:t>
      </w:r>
      <w:r>
        <w:rPr>
          <w:rFonts w:ascii="Times New Roman" w:hAnsi="Times New Roman" w:cs="Times New Roman"/>
          <w:sz w:val="22"/>
        </w:rPr>
        <w:t xml:space="preserve"> </w:t>
      </w:r>
      <w:r w:rsidRPr="003F629A">
        <w:rPr>
          <w:rFonts w:ascii="Times New Roman" w:hAnsi="Times New Roman" w:cs="Times New Roman"/>
          <w:sz w:val="22"/>
        </w:rPr>
        <w:t xml:space="preserve">cDSC ΔS/S </w:t>
      </w:r>
      <w:r>
        <w:rPr>
          <w:rFonts w:ascii="Times New Roman" w:hAnsi="Times New Roman" w:cs="Times New Roman"/>
          <w:sz w:val="22"/>
        </w:rPr>
        <w:t xml:space="preserve">= -20%; </w:t>
      </w:r>
      <w:r w:rsidRPr="003F629A">
        <w:rPr>
          <w:rFonts w:ascii="Times New Roman" w:hAnsi="Times New Roman" w:cs="Times New Roman"/>
          <w:b/>
          <w:sz w:val="22"/>
        </w:rPr>
        <w:t>(</w:t>
      </w:r>
      <w:proofErr w:type="spellStart"/>
      <w:proofErr w:type="gramStart"/>
      <w:r>
        <w:rPr>
          <w:rFonts w:ascii="Times New Roman" w:hAnsi="Times New Roman" w:cs="Times New Roman"/>
          <w:b/>
          <w:sz w:val="22"/>
        </w:rPr>
        <w:t>e,f</w:t>
      </w:r>
      <w:proofErr w:type="spellEnd"/>
      <w:proofErr w:type="gramEnd"/>
      <w:r w:rsidRPr="003F629A">
        <w:rPr>
          <w:rFonts w:ascii="Times New Roman" w:hAnsi="Times New Roman" w:cs="Times New Roman"/>
          <w:b/>
          <w:sz w:val="22"/>
        </w:rPr>
        <w:t>)</w:t>
      </w:r>
      <w:r>
        <w:rPr>
          <w:rFonts w:ascii="Times New Roman" w:hAnsi="Times New Roman" w:cs="Times New Roman"/>
          <w:sz w:val="22"/>
        </w:rPr>
        <w:t xml:space="preserve"> </w:t>
      </w:r>
      <w:r w:rsidRPr="003F629A">
        <w:rPr>
          <w:rFonts w:ascii="Times New Roman" w:hAnsi="Times New Roman" w:cs="Times New Roman"/>
          <w:sz w:val="22"/>
        </w:rPr>
        <w:t xml:space="preserve">cDSC ΔS/S </w:t>
      </w:r>
      <w:r>
        <w:rPr>
          <w:rFonts w:ascii="Times New Roman" w:hAnsi="Times New Roman" w:cs="Times New Roman"/>
          <w:sz w:val="22"/>
        </w:rPr>
        <w:t xml:space="preserve">= -30%; </w:t>
      </w:r>
      <w:r w:rsidRPr="003F629A">
        <w:rPr>
          <w:rFonts w:ascii="Times New Roman" w:hAnsi="Times New Roman" w:cs="Times New Roman"/>
          <w:b/>
          <w:sz w:val="22"/>
        </w:rPr>
        <w:t>(</w:t>
      </w:r>
      <w:proofErr w:type="spellStart"/>
      <w:proofErr w:type="gramStart"/>
      <w:r>
        <w:rPr>
          <w:rFonts w:ascii="Times New Roman" w:hAnsi="Times New Roman" w:cs="Times New Roman"/>
          <w:b/>
          <w:sz w:val="22"/>
        </w:rPr>
        <w:t>g,h</w:t>
      </w:r>
      <w:proofErr w:type="spellEnd"/>
      <w:proofErr w:type="gramEnd"/>
      <w:r w:rsidRPr="003F629A">
        <w:rPr>
          <w:rFonts w:ascii="Times New Roman" w:hAnsi="Times New Roman" w:cs="Times New Roman"/>
          <w:b/>
          <w:sz w:val="22"/>
        </w:rPr>
        <w:t>)</w:t>
      </w:r>
      <w:r>
        <w:rPr>
          <w:rFonts w:ascii="Times New Roman" w:hAnsi="Times New Roman" w:cs="Times New Roman"/>
          <w:sz w:val="22"/>
        </w:rPr>
        <w:t xml:space="preserve"> </w:t>
      </w:r>
      <w:r w:rsidRPr="003F629A">
        <w:rPr>
          <w:rFonts w:ascii="Times New Roman" w:hAnsi="Times New Roman" w:cs="Times New Roman"/>
          <w:sz w:val="22"/>
        </w:rPr>
        <w:t xml:space="preserve">cDSC ΔS/S </w:t>
      </w:r>
      <w:r>
        <w:rPr>
          <w:rFonts w:ascii="Times New Roman" w:hAnsi="Times New Roman" w:cs="Times New Roman"/>
          <w:sz w:val="22"/>
        </w:rPr>
        <w:t xml:space="preserve">= -40%. </w:t>
      </w:r>
      <w:r w:rsidR="009E791E">
        <w:rPr>
          <w:rFonts w:ascii="Times New Roman" w:hAnsi="Times New Roman" w:cs="Times New Roman"/>
          <w:sz w:val="22"/>
        </w:rPr>
        <w:t xml:space="preserve">Intracranial CSF T1 = 4310 </w:t>
      </w:r>
      <w:proofErr w:type="spellStart"/>
      <w:r w:rsidR="009E791E">
        <w:rPr>
          <w:rFonts w:ascii="Times New Roman" w:hAnsi="Times New Roman" w:cs="Times New Roman"/>
          <w:sz w:val="22"/>
        </w:rPr>
        <w:t>ms</w:t>
      </w:r>
      <w:proofErr w:type="spellEnd"/>
      <w:r w:rsidR="00112CB5">
        <w:rPr>
          <w:rFonts w:ascii="Times New Roman" w:hAnsi="Times New Roman" w:cs="Times New Roman"/>
          <w:sz w:val="22"/>
        </w:rPr>
        <w:t xml:space="preserve"> and</w:t>
      </w:r>
      <w:r w:rsidR="009E791E">
        <w:rPr>
          <w:rFonts w:ascii="Times New Roman" w:hAnsi="Times New Roman" w:cs="Times New Roman"/>
          <w:sz w:val="22"/>
        </w:rPr>
        <w:t xml:space="preserve"> T2 = 1400 </w:t>
      </w:r>
      <w:proofErr w:type="spellStart"/>
      <w:r w:rsidR="009E791E">
        <w:rPr>
          <w:rFonts w:ascii="Times New Roman" w:hAnsi="Times New Roman" w:cs="Times New Roman"/>
          <w:sz w:val="22"/>
        </w:rPr>
        <w:t>ms</w:t>
      </w:r>
      <w:proofErr w:type="spellEnd"/>
      <w:r w:rsidR="009E791E">
        <w:rPr>
          <w:rFonts w:ascii="Times New Roman" w:hAnsi="Times New Roman" w:cs="Times New Roman"/>
          <w:sz w:val="22"/>
        </w:rPr>
        <w:t xml:space="preserve"> </w:t>
      </w:r>
      <w:r w:rsidR="009E791E" w:rsidRPr="009E791E">
        <w:rPr>
          <w:rFonts w:ascii="Times New Roman" w:hAnsi="Times New Roman" w:cs="Times New Roman"/>
          <w:sz w:val="22"/>
        </w:rPr>
        <w:t xml:space="preserve">at 3T </w:t>
      </w:r>
      <w:r w:rsidR="00CC0517">
        <w:rPr>
          <w:rFonts w:ascii="Times New Roman" w:hAnsi="Times New Roman" w:cs="Times New Roman" w:hint="eastAsia"/>
          <w:sz w:val="22"/>
        </w:rPr>
        <w:t xml:space="preserve">(marked </w:t>
      </w:r>
      <w:r w:rsidR="00112CB5">
        <w:rPr>
          <w:rFonts w:ascii="Times New Roman" w:hAnsi="Times New Roman" w:cs="Times New Roman"/>
          <w:sz w:val="22"/>
        </w:rPr>
        <w:t>with</w:t>
      </w:r>
      <w:r w:rsidR="00112CB5">
        <w:rPr>
          <w:rFonts w:ascii="Times New Roman" w:hAnsi="Times New Roman" w:cs="Times New Roman" w:hint="eastAsia"/>
          <w:sz w:val="22"/>
        </w:rPr>
        <w:t xml:space="preserve"> </w:t>
      </w:r>
      <w:r w:rsidR="00112CB5">
        <w:rPr>
          <w:rFonts w:ascii="Times New Roman" w:hAnsi="Times New Roman" w:cs="Times New Roman"/>
          <w:sz w:val="22"/>
        </w:rPr>
        <w:t>vertical dashed</w:t>
      </w:r>
      <w:r w:rsidR="008B74C8" w:rsidRPr="008B74C8">
        <w:rPr>
          <w:rFonts w:ascii="Times New Roman" w:hAnsi="Times New Roman" w:cs="Times New Roman"/>
          <w:sz w:val="22"/>
        </w:rPr>
        <w:t xml:space="preserve"> line</w:t>
      </w:r>
      <w:r w:rsidR="00112CB5">
        <w:rPr>
          <w:rFonts w:ascii="Times New Roman" w:hAnsi="Times New Roman" w:cs="Times New Roman"/>
          <w:sz w:val="22"/>
        </w:rPr>
        <w:t>s</w:t>
      </w:r>
      <w:r w:rsidR="00CC0517">
        <w:rPr>
          <w:rFonts w:ascii="Times New Roman" w:hAnsi="Times New Roman" w:cs="Times New Roman" w:hint="eastAsia"/>
          <w:sz w:val="22"/>
        </w:rPr>
        <w:t>)</w:t>
      </w:r>
      <w:r w:rsidR="008B74C8">
        <w:rPr>
          <w:rFonts w:ascii="Times New Roman" w:hAnsi="Times New Roman" w:cs="Times New Roman" w:hint="eastAsia"/>
          <w:sz w:val="22"/>
        </w:rPr>
        <w:t xml:space="preserve"> </w:t>
      </w:r>
      <w:r w:rsidR="009E791E">
        <w:rPr>
          <w:rFonts w:ascii="Times New Roman" w:hAnsi="Times New Roman" w:cs="Times New Roman"/>
          <w:sz w:val="22"/>
        </w:rPr>
        <w:t>are adopted from literature</w:t>
      </w:r>
      <w:r w:rsidR="00175BA2">
        <w:rPr>
          <w:rFonts w:ascii="Times New Roman" w:hAnsi="Times New Roman" w:cs="Times New Roman" w:hint="eastAsia"/>
          <w:sz w:val="22"/>
        </w:rPr>
        <w:t xml:space="preserve"> </w:t>
      </w:r>
      <w:r w:rsidR="00D241FA">
        <w:rPr>
          <w:rFonts w:ascii="Times New Roman" w:hAnsi="Times New Roman" w:cs="Times New Roman"/>
          <w:sz w:val="22"/>
        </w:rPr>
        <w:fldChar w:fldCharType="begin"/>
      </w:r>
      <w:r w:rsidR="00D241FA">
        <w:rPr>
          <w:rFonts w:ascii="Times New Roman" w:hAnsi="Times New Roman" w:cs="Times New Roman"/>
          <w:sz w:val="22"/>
        </w:rPr>
        <w:instrText xml:space="preserve"> ADDIN ZOTERO_ITEM CSL_CITATION {"citationID":"4Ef2fiCE","properties":{"formattedCitation":"(1)","plainCitation":"(1)","noteIndex":0},"citationItems":[{"id":2,"uris":["http://zotero.org/users/15150794/items/579IILI2"],"itemData":{"id":2,"type":"article-journal","abstract":"Purpose The circulation of cerebrospinal fluid (CSF) is closely associated with many aspects of brain physiology. When gadolinium(Gd)-based contrast is administered intravenously, pre- and post-contrast MR signal changes can often be observed in the CSF at certain locations within the intra-cranial space, mainly due to the lack of a blood-brain barrier in the dural blood vessels. This study aims to develop and systemically optimize MRI sequences that can detect dynamic signal changes in the CSF after Gd administration with a sub-millimeter spatial resolution, a temporal resolution of &lt;10 s, and whole brain coverage. Methods Bloch simulations were performed to determine optimal imaging parameters for maximum CSF contrast before and after Gd injection. Simulations were validated with phantom scans. An optimized turbo-spin-echo (TSE) sequence was performed on healthy volunteers on 3T and 7T. Results Simulation results agreed well with phantom scans. In human scans, dynamic signal changes after Gd injection in the CSF were detected at several locations where cerebral lymphatic vessels were identified in previous studies. The concentration of Gd in CSF in these regions was estimated to be approximately 0.2 mmol/L. Conclusion Dynamic signal changes induced by the distribution of Gd in the CSF can be detected in healthy human subjects with an optimized TSE sequence. The proposed methodology does not rely on any particular theory on CSF circulation. We expect it to be useful for studies on CSF circulation and cerebral lymphatic vessels in the brain.","container-title":"Magnetic Resonance in Medicine","DOI":"10.1002/mrm.28389","ISSN":"1522-2594","issue":"6","language":"en","license":"© 2020 International Society for Magnetic Resonance in Medicine","note":"_eprint: https://onlinelibrary.wiley.com/doi/pdf/10.1002/mrm.28389","page":"3256-3270","source":"Wiley Online Library","title":"Fast whole brain MR imaging of dynamic susceptibility contrast changes in the cerebrospinal fluid (cDSC MRI)","volume":"84","author":[{"family":"Cao","given":"Di"},{"family":"Kang","given":"Ningdong"},{"family":"Pillai","given":"Jay J."},{"family":"Miao","given":"Xinyuan"},{"family":"Paez","given":"Adrian"},{"family":"Xu","given":"Xiang"},{"family":"Xu","given":"Jiadi"},{"family":"Li","given":"Xu"},{"family":"Qin","given":"Qin"},{"family":"Van Zijl","given":"Peter C. M."},{"family":"Barker","given":"Peter"},{"family":"Hua","given":"Jun"}],"issued":{"date-parts":[["2020"]]}}}],"schema":"https://github.com/citation-style-language/schema/raw/master/csl-citation.json"} </w:instrText>
      </w:r>
      <w:r w:rsidR="00D241FA">
        <w:rPr>
          <w:rFonts w:ascii="Times New Roman" w:hAnsi="Times New Roman" w:cs="Times New Roman"/>
          <w:sz w:val="22"/>
        </w:rPr>
        <w:fldChar w:fldCharType="separate"/>
      </w:r>
      <w:r w:rsidR="00D241FA" w:rsidRPr="00D241FA">
        <w:rPr>
          <w:rFonts w:ascii="Times New Roman" w:hAnsi="Times New Roman" w:cs="Times New Roman"/>
          <w:sz w:val="22"/>
        </w:rPr>
        <w:t>(1)</w:t>
      </w:r>
      <w:r w:rsidR="00D241FA">
        <w:rPr>
          <w:rFonts w:ascii="Times New Roman" w:hAnsi="Times New Roman" w:cs="Times New Roman"/>
          <w:sz w:val="22"/>
        </w:rPr>
        <w:fldChar w:fldCharType="end"/>
      </w:r>
      <w:r w:rsidR="009E791E">
        <w:rPr>
          <w:rFonts w:ascii="Times New Roman" w:hAnsi="Times New Roman" w:cs="Times New Roman"/>
          <w:sz w:val="22"/>
        </w:rPr>
        <w:t>.</w:t>
      </w:r>
      <w:r w:rsidR="009E791E" w:rsidRPr="009E791E">
        <w:t xml:space="preserve"> </w:t>
      </w:r>
      <w:r w:rsidR="009E791E" w:rsidRPr="009E791E">
        <w:rPr>
          <w:rFonts w:ascii="Times New Roman" w:hAnsi="Times New Roman" w:cs="Times New Roman"/>
          <w:sz w:val="22"/>
        </w:rPr>
        <w:t>The T1 and T2 values of CSF-like fluids in the extracranial regions are expected to be shorter.</w:t>
      </w:r>
      <w:r w:rsidR="00507813">
        <w:rPr>
          <w:rFonts w:ascii="Times New Roman" w:hAnsi="Times New Roman" w:cs="Times New Roman"/>
          <w:sz w:val="22"/>
        </w:rPr>
        <w:t xml:space="preserve"> In (</w:t>
      </w:r>
      <w:proofErr w:type="spellStart"/>
      <w:proofErr w:type="gramStart"/>
      <w:r w:rsidR="00507813">
        <w:rPr>
          <w:rFonts w:ascii="Times New Roman" w:hAnsi="Times New Roman" w:cs="Times New Roman"/>
          <w:sz w:val="22"/>
        </w:rPr>
        <w:t>a,c</w:t>
      </w:r>
      <w:proofErr w:type="gramEnd"/>
      <w:r w:rsidR="00507813">
        <w:rPr>
          <w:rFonts w:ascii="Times New Roman" w:hAnsi="Times New Roman" w:cs="Times New Roman"/>
          <w:sz w:val="22"/>
        </w:rPr>
        <w:t>,</w:t>
      </w:r>
      <w:proofErr w:type="gramStart"/>
      <w:r w:rsidR="00507813">
        <w:rPr>
          <w:rFonts w:ascii="Times New Roman" w:hAnsi="Times New Roman" w:cs="Times New Roman"/>
          <w:sz w:val="22"/>
        </w:rPr>
        <w:t>e,g</w:t>
      </w:r>
      <w:proofErr w:type="spellEnd"/>
      <w:proofErr w:type="gramEnd"/>
      <w:r w:rsidR="00507813">
        <w:rPr>
          <w:rFonts w:ascii="Times New Roman" w:hAnsi="Times New Roman" w:cs="Times New Roman"/>
          <w:sz w:val="22"/>
        </w:rPr>
        <w:t>), the fluid T2 value was fixed at intracranial CSF T2 in the simulations. In (</w:t>
      </w:r>
      <w:proofErr w:type="spellStart"/>
      <w:proofErr w:type="gramStart"/>
      <w:r w:rsidR="00507813">
        <w:rPr>
          <w:rFonts w:ascii="Times New Roman" w:hAnsi="Times New Roman" w:cs="Times New Roman"/>
          <w:sz w:val="22"/>
        </w:rPr>
        <w:t>b,d</w:t>
      </w:r>
      <w:proofErr w:type="gramEnd"/>
      <w:r w:rsidR="00507813">
        <w:rPr>
          <w:rFonts w:ascii="Times New Roman" w:hAnsi="Times New Roman" w:cs="Times New Roman"/>
          <w:sz w:val="22"/>
        </w:rPr>
        <w:t>,</w:t>
      </w:r>
      <w:proofErr w:type="gramStart"/>
      <w:r w:rsidR="00507813">
        <w:rPr>
          <w:rFonts w:ascii="Times New Roman" w:hAnsi="Times New Roman" w:cs="Times New Roman"/>
          <w:sz w:val="22"/>
        </w:rPr>
        <w:t>f,h</w:t>
      </w:r>
      <w:proofErr w:type="spellEnd"/>
      <w:proofErr w:type="gramEnd"/>
      <w:r w:rsidR="00507813">
        <w:rPr>
          <w:rFonts w:ascii="Times New Roman" w:hAnsi="Times New Roman" w:cs="Times New Roman"/>
          <w:sz w:val="22"/>
        </w:rPr>
        <w:t>), the fluid T1 value was fixed at intracranial CSF T1 in the simulations.</w:t>
      </w:r>
    </w:p>
    <w:p w14:paraId="0330A074" w14:textId="77777777" w:rsidR="005D44A7" w:rsidRDefault="005D44A7" w:rsidP="00C902D8">
      <w:pPr>
        <w:rPr>
          <w:rFonts w:ascii="Times New Roman" w:hAnsi="Times New Roman" w:cs="Times New Roman"/>
        </w:rPr>
      </w:pPr>
    </w:p>
    <w:p w14:paraId="37ED2E03" w14:textId="77777777" w:rsidR="006F1768" w:rsidRDefault="006F1768">
      <w:pPr>
        <w:rPr>
          <w:rFonts w:ascii="Times New Roman" w:hAnsi="Times New Roman" w:cs="Times New Roman"/>
          <w:b/>
        </w:rPr>
      </w:pPr>
      <w:r>
        <w:rPr>
          <w:rFonts w:ascii="Times New Roman" w:hAnsi="Times New Roman" w:cs="Times New Roman"/>
          <w:b/>
        </w:rPr>
        <w:br w:type="page"/>
      </w:r>
    </w:p>
    <w:p w14:paraId="58E56FF7" w14:textId="6453D0F3" w:rsidR="006F1768" w:rsidRDefault="006F1768" w:rsidP="006F1768">
      <w:pPr>
        <w:spacing w:line="360" w:lineRule="auto"/>
        <w:jc w:val="both"/>
        <w:rPr>
          <w:rFonts w:ascii="Times New Roman" w:hAnsi="Times New Roman" w:cs="Times New Roman"/>
          <w:b/>
        </w:rPr>
      </w:pPr>
      <w:r>
        <w:rPr>
          <w:rFonts w:ascii="Times New Roman" w:hAnsi="Times New Roman" w:cs="Times New Roman"/>
          <w:b/>
        </w:rPr>
        <w:lastRenderedPageBreak/>
        <w:t xml:space="preserve">2. Relationship between the GBCA induced fluid signal changes in </w:t>
      </w:r>
      <w:r w:rsidR="0068651A">
        <w:rPr>
          <w:rFonts w:ascii="Times New Roman" w:hAnsi="Times New Roman" w:cs="Times New Roman"/>
          <w:b/>
        </w:rPr>
        <w:t xml:space="preserve">T1-weighted </w:t>
      </w:r>
      <w:r>
        <w:rPr>
          <w:rFonts w:ascii="Times New Roman" w:hAnsi="Times New Roman" w:cs="Times New Roman"/>
          <w:b/>
        </w:rPr>
        <w:t>MR</w:t>
      </w:r>
      <w:r w:rsidR="00E94B0F">
        <w:rPr>
          <w:rFonts w:ascii="Times New Roman" w:hAnsi="Times New Roman" w:cs="Times New Roman"/>
          <w:b/>
        </w:rPr>
        <w:t xml:space="preserve"> images</w:t>
      </w:r>
      <w:r>
        <w:rPr>
          <w:rFonts w:ascii="Times New Roman" w:hAnsi="Times New Roman" w:cs="Times New Roman"/>
          <w:b/>
        </w:rPr>
        <w:t xml:space="preserve"> and fluid T1 and T2 values</w:t>
      </w:r>
      <w:r w:rsidR="009E791E">
        <w:rPr>
          <w:rFonts w:ascii="Times New Roman" w:hAnsi="Times New Roman" w:cs="Times New Roman"/>
          <w:b/>
        </w:rPr>
        <w:t xml:space="preserve"> without GBCAs</w:t>
      </w:r>
    </w:p>
    <w:p w14:paraId="7505294C" w14:textId="77777777" w:rsidR="006F1768" w:rsidRDefault="006F1768" w:rsidP="006F1768">
      <w:pPr>
        <w:spacing w:line="360" w:lineRule="auto"/>
        <w:jc w:val="both"/>
        <w:rPr>
          <w:rFonts w:ascii="Times New Roman" w:hAnsi="Times New Roman" w:cs="Times New Roman"/>
          <w:b/>
        </w:rPr>
      </w:pPr>
    </w:p>
    <w:p w14:paraId="27F4FBB9" w14:textId="0D4FFE7C" w:rsidR="007077C2" w:rsidRDefault="0068651A" w:rsidP="00C03F48">
      <w:pPr>
        <w:spacing w:line="360" w:lineRule="auto"/>
        <w:jc w:val="both"/>
        <w:rPr>
          <w:rFonts w:ascii="Times New Roman" w:hAnsi="Times New Roman" w:cs="Times New Roman"/>
        </w:rPr>
      </w:pPr>
      <w:r>
        <w:rPr>
          <w:rFonts w:ascii="Times New Roman" w:hAnsi="Times New Roman" w:cs="Times New Roman"/>
        </w:rPr>
        <w:t xml:space="preserve">The T1-weighted Black Blood (T1-BB) MRI sequence was employed as the primary measure in a </w:t>
      </w:r>
      <w:r w:rsidR="004718ED">
        <w:rPr>
          <w:rFonts w:ascii="Times New Roman" w:hAnsi="Times New Roman" w:cs="Times New Roman"/>
        </w:rPr>
        <w:t>seminal work from Me</w:t>
      </w:r>
      <w:r>
        <w:rPr>
          <w:rFonts w:ascii="Times New Roman" w:hAnsi="Times New Roman" w:cs="Times New Roman"/>
        </w:rPr>
        <w:t xml:space="preserve">lin et al </w:t>
      </w:r>
      <w:r w:rsidR="00D241FA">
        <w:rPr>
          <w:rFonts w:ascii="Times New Roman" w:hAnsi="Times New Roman" w:cs="Times New Roman"/>
        </w:rPr>
        <w:fldChar w:fldCharType="begin"/>
      </w:r>
      <w:r w:rsidR="00D241FA">
        <w:rPr>
          <w:rFonts w:ascii="Times New Roman" w:hAnsi="Times New Roman" w:cs="Times New Roman"/>
        </w:rPr>
        <w:instrText xml:space="preserve"> ADDIN ZOTERO_ITEM CSL_CITATION {"citationID":"DO74OKte","properties":{"formattedCitation":"(2)","plainCitation":"(2)","noteIndex":0},"citationItems":[{"id":11,"uris":["http://zotero.org/users/15150794/items/ALWB658G"],"itemData":{"id":11,"type":"article-journal","abstract":"Extra-vascular molecular clearance routes from the brain and cerebrospinal fluid (CSF) remain insufficiently characterized in humans. Animal studies consistently suggest that the cribriform plate and nasal lymphatic vessels are crucial for molecular clearance from CSF. In this study, we aimed to examine human in vivo transport of a CSF tracer from CSF to nasal mucosa. We hypothesised a CSF tracer would enrich in nasal mucosa provided that nasal lymphatic drainage has a significant role in CSF molecular clearance. Consecutive magnetic resonance imaging during 48 h after intrathecal administration of a tracer (gadobutrol) was performed in 24 patients. Despite a strong enrichment of CSF tracer in CSF spaces nearby the cribriform plate, there was no significant enrichment of CSF tracer in nasal mucosa, as measured in superior, medial and inferior turbinates, or in the nasal septum. Therefore, this in vivo study questions the importance of CSF drainage to the human nasal mucosa and emphasizes the need of further human studies.","container-title":"Scientific Reports","DOI":"10.1038/s41598-020-72031-5","ISSN":"2045-2322","issue":"1","journalAbbreviation":"Sci Rep","language":"eng","note":"PMID: 32917953\nPMCID: PMC7486888","page":"14974","source":"PubMed","title":"In vivo assessment of cerebrospinal fluid efflux to nasal mucosa in humans","volume":"10","author":[{"family":"Melin","given":"Erik"},{"family":"Eide","given":"Per Kristian"},{"family":"Ringstad","given":"Geir"}],"issued":{"date-parts":[["2020",9,11]]}}}],"schema":"https://github.com/citation-style-language/schema/raw/master/csl-citation.json"} </w:instrText>
      </w:r>
      <w:r w:rsidR="00D241FA">
        <w:rPr>
          <w:rFonts w:ascii="Times New Roman" w:hAnsi="Times New Roman" w:cs="Times New Roman"/>
        </w:rPr>
        <w:fldChar w:fldCharType="separate"/>
      </w:r>
      <w:r w:rsidR="00D241FA" w:rsidRPr="00D241FA">
        <w:rPr>
          <w:rFonts w:ascii="Times New Roman" w:hAnsi="Times New Roman" w:cs="Times New Roman"/>
        </w:rPr>
        <w:t>(2)</w:t>
      </w:r>
      <w:r w:rsidR="00D241FA">
        <w:rPr>
          <w:rFonts w:ascii="Times New Roman" w:hAnsi="Times New Roman" w:cs="Times New Roman"/>
        </w:rPr>
        <w:fldChar w:fldCharType="end"/>
      </w:r>
      <w:r w:rsidR="00D241FA">
        <w:rPr>
          <w:rFonts w:ascii="Times New Roman" w:hAnsi="Times New Roman" w:cs="Times New Roman" w:hint="eastAsia"/>
        </w:rPr>
        <w:t xml:space="preserve"> </w:t>
      </w:r>
      <w:r w:rsidR="004718ED">
        <w:rPr>
          <w:rFonts w:ascii="Times New Roman" w:hAnsi="Times New Roman" w:cs="Times New Roman"/>
        </w:rPr>
        <w:t>investigating CSF efflux to nasal mucosa in humans using intrathecal GBCA based MRI methods</w:t>
      </w:r>
      <w:r>
        <w:rPr>
          <w:rFonts w:ascii="Times New Roman" w:hAnsi="Times New Roman" w:cs="Times New Roman"/>
        </w:rPr>
        <w:t xml:space="preserve">. </w:t>
      </w:r>
      <w:r w:rsidR="004718ED">
        <w:rPr>
          <w:rFonts w:ascii="Times New Roman" w:hAnsi="Times New Roman" w:cs="Times New Roman"/>
        </w:rPr>
        <w:t xml:space="preserve">They found </w:t>
      </w:r>
      <w:r w:rsidR="00267751">
        <w:rPr>
          <w:rFonts w:ascii="Times New Roman" w:hAnsi="Times New Roman" w:cs="Times New Roman"/>
        </w:rPr>
        <w:t xml:space="preserve">significant </w:t>
      </w:r>
      <w:r w:rsidR="00501319" w:rsidRPr="00501319">
        <w:rPr>
          <w:rFonts w:ascii="Times New Roman" w:hAnsi="Times New Roman" w:cs="Times New Roman"/>
        </w:rPr>
        <w:t xml:space="preserve">GBCA enhancement in the olfactory bulb and straight gyrus regions superior to the cribriform plate, but very limited </w:t>
      </w:r>
      <w:r w:rsidR="00267751" w:rsidRPr="00501319">
        <w:rPr>
          <w:rFonts w:ascii="Times New Roman" w:hAnsi="Times New Roman" w:cs="Times New Roman"/>
        </w:rPr>
        <w:t xml:space="preserve">GBCA enhancement </w:t>
      </w:r>
      <w:r w:rsidR="00501319" w:rsidRPr="00501319">
        <w:rPr>
          <w:rFonts w:ascii="Times New Roman" w:hAnsi="Times New Roman" w:cs="Times New Roman"/>
        </w:rPr>
        <w:t xml:space="preserve">in the nasal mucosa regions inferior </w:t>
      </w:r>
      <w:r w:rsidR="00267751">
        <w:rPr>
          <w:rFonts w:ascii="Times New Roman" w:hAnsi="Times New Roman" w:cs="Times New Roman"/>
        </w:rPr>
        <w:t>to the cribriform plate</w:t>
      </w:r>
      <w:r w:rsidR="004718ED">
        <w:rPr>
          <w:rFonts w:ascii="Times New Roman" w:hAnsi="Times New Roman" w:cs="Times New Roman"/>
        </w:rPr>
        <w:t xml:space="preserve">. </w:t>
      </w:r>
      <w:r w:rsidR="00CF649A" w:rsidRPr="00CF649A">
        <w:rPr>
          <w:rFonts w:ascii="Times New Roman" w:hAnsi="Times New Roman" w:cs="Times New Roman"/>
        </w:rPr>
        <w:t>We hypothesize that, for a given GBCA concentration</w:t>
      </w:r>
      <w:r w:rsidR="00E94B0F">
        <w:rPr>
          <w:rFonts w:ascii="Times New Roman" w:hAnsi="Times New Roman" w:cs="Times New Roman"/>
        </w:rPr>
        <w:t xml:space="preserve"> in the fluid</w:t>
      </w:r>
      <w:r w:rsidR="00CF649A" w:rsidRPr="00CF649A">
        <w:rPr>
          <w:rFonts w:ascii="Times New Roman" w:hAnsi="Times New Roman" w:cs="Times New Roman"/>
        </w:rPr>
        <w:t xml:space="preserve">, the </w:t>
      </w:r>
      <w:r w:rsidR="00E94B0F">
        <w:rPr>
          <w:rFonts w:ascii="Times New Roman" w:hAnsi="Times New Roman" w:cs="Times New Roman"/>
        </w:rPr>
        <w:t>GBCA induced</w:t>
      </w:r>
      <w:r w:rsidR="00E94B0F" w:rsidRPr="00CF649A">
        <w:rPr>
          <w:rFonts w:ascii="Times New Roman" w:hAnsi="Times New Roman" w:cs="Times New Roman"/>
        </w:rPr>
        <w:t xml:space="preserve"> </w:t>
      </w:r>
      <w:r w:rsidR="00CF649A" w:rsidRPr="00CF649A">
        <w:rPr>
          <w:rFonts w:ascii="Times New Roman" w:hAnsi="Times New Roman" w:cs="Times New Roman"/>
        </w:rPr>
        <w:t xml:space="preserve">signal change </w:t>
      </w:r>
      <w:r w:rsidR="00E94B0F">
        <w:rPr>
          <w:rFonts w:ascii="Times New Roman" w:hAnsi="Times New Roman" w:cs="Times New Roman"/>
        </w:rPr>
        <w:t>in the fluid measured</w:t>
      </w:r>
      <w:r w:rsidR="00E94B0F" w:rsidRPr="00CF649A">
        <w:rPr>
          <w:rFonts w:ascii="Times New Roman" w:hAnsi="Times New Roman" w:cs="Times New Roman"/>
        </w:rPr>
        <w:t xml:space="preserve"> </w:t>
      </w:r>
      <w:r w:rsidR="00CF649A" w:rsidRPr="00CF649A">
        <w:rPr>
          <w:rFonts w:ascii="Times New Roman" w:hAnsi="Times New Roman" w:cs="Times New Roman"/>
        </w:rPr>
        <w:t>in T1-</w:t>
      </w:r>
      <w:proofErr w:type="gramStart"/>
      <w:r w:rsidR="00E94B0F">
        <w:rPr>
          <w:rFonts w:ascii="Times New Roman" w:hAnsi="Times New Roman" w:cs="Times New Roman"/>
        </w:rPr>
        <w:t>weighted</w:t>
      </w:r>
      <w:proofErr w:type="gramEnd"/>
      <w:r w:rsidR="00CF649A" w:rsidRPr="00CF649A">
        <w:rPr>
          <w:rFonts w:ascii="Times New Roman" w:hAnsi="Times New Roman" w:cs="Times New Roman"/>
        </w:rPr>
        <w:t xml:space="preserve"> MR</w:t>
      </w:r>
      <w:r w:rsidR="00E94B0F">
        <w:rPr>
          <w:rFonts w:ascii="Times New Roman" w:hAnsi="Times New Roman" w:cs="Times New Roman"/>
        </w:rPr>
        <w:t xml:space="preserve"> images</w:t>
      </w:r>
      <w:r w:rsidR="00CF649A" w:rsidRPr="00CF649A">
        <w:rPr>
          <w:rFonts w:ascii="Times New Roman" w:hAnsi="Times New Roman" w:cs="Times New Roman"/>
        </w:rPr>
        <w:t xml:space="preserve"> (ΔS/S) can be substantially influenced by the T1 and T2 </w:t>
      </w:r>
      <w:r w:rsidR="00602C76">
        <w:rPr>
          <w:rFonts w:ascii="Times New Roman" w:hAnsi="Times New Roman" w:cs="Times New Roman"/>
        </w:rPr>
        <w:t>values</w:t>
      </w:r>
      <w:r w:rsidR="00CF649A" w:rsidRPr="00CF649A">
        <w:rPr>
          <w:rFonts w:ascii="Times New Roman" w:hAnsi="Times New Roman" w:cs="Times New Roman"/>
        </w:rPr>
        <w:t xml:space="preserve"> of the fluid </w:t>
      </w:r>
      <w:r w:rsidR="00602C76">
        <w:rPr>
          <w:rFonts w:ascii="Times New Roman" w:hAnsi="Times New Roman" w:cs="Times New Roman"/>
        </w:rPr>
        <w:t>without GBCA</w:t>
      </w:r>
      <w:r w:rsidR="00CF649A" w:rsidRPr="00CF649A">
        <w:rPr>
          <w:rFonts w:ascii="Times New Roman" w:hAnsi="Times New Roman" w:cs="Times New Roman"/>
        </w:rPr>
        <w:t xml:space="preserve">. </w:t>
      </w:r>
      <w:r w:rsidR="00602C76">
        <w:rPr>
          <w:rFonts w:ascii="Times New Roman" w:hAnsi="Times New Roman" w:cs="Times New Roman"/>
        </w:rPr>
        <w:t>Here, Bloch simulations were perform</w:t>
      </w:r>
      <w:r w:rsidR="006D55C7">
        <w:rPr>
          <w:rFonts w:ascii="Times New Roman" w:hAnsi="Times New Roman" w:cs="Times New Roman"/>
        </w:rPr>
        <w:t>ed</w:t>
      </w:r>
      <w:r w:rsidR="00602C76">
        <w:rPr>
          <w:rFonts w:ascii="Times New Roman" w:hAnsi="Times New Roman" w:cs="Times New Roman"/>
        </w:rPr>
        <w:t xml:space="preserve"> to examine this relationship in a typical T1-BB MRI sequence used on our Philips 3T scanners</w:t>
      </w:r>
      <w:r w:rsidR="007077C2">
        <w:rPr>
          <w:rFonts w:ascii="Times New Roman" w:hAnsi="Times New Roman" w:cs="Times New Roman"/>
        </w:rPr>
        <w:t xml:space="preserve"> with the following parameters:</w:t>
      </w:r>
    </w:p>
    <w:p w14:paraId="2DF24276" w14:textId="50E2A3A7" w:rsidR="007077C2" w:rsidRPr="00695AD3" w:rsidRDefault="006A72E1" w:rsidP="00695AD3">
      <w:pPr>
        <w:spacing w:line="360" w:lineRule="auto"/>
        <w:ind w:firstLine="720"/>
        <w:jc w:val="both"/>
        <w:rPr>
          <w:rFonts w:ascii="Times New Roman" w:hAnsi="Times New Roman" w:cs="Times New Roman"/>
          <w:i/>
        </w:rPr>
      </w:pPr>
      <w:r w:rsidRPr="006A72E1">
        <w:rPr>
          <w:rFonts w:ascii="Times New Roman" w:hAnsi="Times New Roman" w:cs="Times New Roman"/>
          <w:i/>
          <w:iCs/>
        </w:rPr>
        <w:t>3D</w:t>
      </w:r>
      <w:r>
        <w:rPr>
          <w:rFonts w:ascii="Times New Roman" w:hAnsi="Times New Roman" w:cs="Times New Roman"/>
          <w:i/>
          <w:iCs/>
        </w:rPr>
        <w:t xml:space="preserve"> turbo spin echo (TSE) readout,</w:t>
      </w:r>
      <w:r w:rsidRPr="006A72E1">
        <w:rPr>
          <w:rFonts w:ascii="Times New Roman" w:hAnsi="Times New Roman" w:cs="Times New Roman"/>
          <w:i/>
          <w:iCs/>
        </w:rPr>
        <w:t> </w:t>
      </w:r>
      <w:r w:rsidR="008358EA" w:rsidRPr="00695AD3">
        <w:rPr>
          <w:rFonts w:ascii="Times New Roman" w:hAnsi="Times New Roman" w:cs="Times New Roman"/>
          <w:i/>
          <w:iCs/>
        </w:rPr>
        <w:t xml:space="preserve">TR/TE = 700/35 </w:t>
      </w:r>
      <w:proofErr w:type="spellStart"/>
      <w:r w:rsidR="008358EA" w:rsidRPr="00695AD3">
        <w:rPr>
          <w:rFonts w:ascii="Times New Roman" w:hAnsi="Times New Roman" w:cs="Times New Roman"/>
          <w:i/>
          <w:iCs/>
        </w:rPr>
        <w:t>ms</w:t>
      </w:r>
      <w:proofErr w:type="spellEnd"/>
      <w:r w:rsidR="008358EA" w:rsidRPr="00695AD3">
        <w:rPr>
          <w:rFonts w:ascii="Times New Roman" w:hAnsi="Times New Roman" w:cs="Times New Roman"/>
          <w:i/>
          <w:iCs/>
        </w:rPr>
        <w:t xml:space="preserve">, </w:t>
      </w:r>
      <w:r w:rsidR="001F404A" w:rsidRPr="0051659B">
        <w:rPr>
          <w:rFonts w:ascii="Times New Roman" w:hAnsi="Times New Roman" w:cs="Times New Roman"/>
          <w:i/>
          <w:iCs/>
        </w:rPr>
        <w:t xml:space="preserve">echo spacing (ES) = </w:t>
      </w:r>
      <w:r w:rsidR="001F404A" w:rsidRPr="0051659B">
        <w:rPr>
          <w:rFonts w:ascii="Times New Roman" w:hAnsi="Times New Roman" w:cs="Times New Roman" w:hint="eastAsia"/>
          <w:i/>
          <w:iCs/>
        </w:rPr>
        <w:t>5.0</w:t>
      </w:r>
      <w:r w:rsidR="001F404A" w:rsidRPr="0051659B">
        <w:rPr>
          <w:rFonts w:ascii="Times New Roman" w:hAnsi="Times New Roman" w:cs="Times New Roman"/>
          <w:i/>
          <w:iCs/>
        </w:rPr>
        <w:t xml:space="preserve"> </w:t>
      </w:r>
      <w:proofErr w:type="spellStart"/>
      <w:r w:rsidR="001F404A" w:rsidRPr="0051659B">
        <w:rPr>
          <w:rFonts w:ascii="Times New Roman" w:hAnsi="Times New Roman" w:cs="Times New Roman"/>
          <w:i/>
          <w:iCs/>
        </w:rPr>
        <w:t>ms</w:t>
      </w:r>
      <w:proofErr w:type="spellEnd"/>
      <w:r w:rsidR="001F404A" w:rsidRPr="0051659B">
        <w:rPr>
          <w:rFonts w:ascii="Times New Roman" w:hAnsi="Times New Roman" w:cs="Times New Roman"/>
          <w:i/>
          <w:iCs/>
        </w:rPr>
        <w:t>,</w:t>
      </w:r>
      <w:r w:rsidR="001F404A">
        <w:rPr>
          <w:rFonts w:ascii="Times New Roman" w:hAnsi="Times New Roman" w:cs="Times New Roman"/>
          <w:i/>
          <w:iCs/>
        </w:rPr>
        <w:t xml:space="preserve"> </w:t>
      </w:r>
      <w:r w:rsidR="008358EA" w:rsidRPr="00695AD3">
        <w:rPr>
          <w:rFonts w:ascii="Times New Roman" w:hAnsi="Times New Roman" w:cs="Times New Roman"/>
          <w:i/>
          <w:iCs/>
        </w:rPr>
        <w:t>echo train length (ETL)</w:t>
      </w:r>
      <w:r>
        <w:rPr>
          <w:rFonts w:ascii="Times New Roman" w:hAnsi="Times New Roman" w:cs="Times New Roman"/>
          <w:i/>
          <w:iCs/>
        </w:rPr>
        <w:t>/</w:t>
      </w:r>
      <w:r w:rsidRPr="006A72E1">
        <w:rPr>
          <w:rFonts w:ascii="Times New Roman" w:hAnsi="Times New Roman" w:cs="Times New Roman"/>
          <w:i/>
          <w:iCs/>
        </w:rPr>
        <w:t>TSE factor</w:t>
      </w:r>
      <w:r w:rsidR="008358EA" w:rsidRPr="00695AD3">
        <w:rPr>
          <w:rFonts w:ascii="Times New Roman" w:hAnsi="Times New Roman" w:cs="Times New Roman"/>
          <w:i/>
          <w:iCs/>
        </w:rPr>
        <w:t xml:space="preserve"> = 55, </w:t>
      </w:r>
      <w:r w:rsidR="001F404A" w:rsidRPr="009E652C">
        <w:rPr>
          <w:rFonts w:ascii="Times New Roman" w:hAnsi="Times New Roman" w:cs="Times New Roman"/>
          <w:i/>
          <w:iCs/>
        </w:rPr>
        <w:t xml:space="preserve">flip angle = </w:t>
      </w:r>
      <w:r>
        <w:rPr>
          <w:rFonts w:ascii="Times New Roman" w:hAnsi="Times New Roman" w:cs="Times New Roman"/>
          <w:i/>
          <w:iCs/>
        </w:rPr>
        <w:t>80</w:t>
      </w:r>
      <w:r w:rsidR="001F404A">
        <w:rPr>
          <w:rFonts w:ascii="Times New Roman" w:hAnsi="Times New Roman" w:cs="Times New Roman"/>
          <w:i/>
          <w:iCs/>
        </w:rPr>
        <w:t>°</w:t>
      </w:r>
      <w:r w:rsidR="001F404A" w:rsidRPr="009E652C">
        <w:rPr>
          <w:rFonts w:ascii="Times New Roman" w:hAnsi="Times New Roman" w:cs="Times New Roman"/>
          <w:i/>
          <w:iCs/>
        </w:rPr>
        <w:t xml:space="preserve">, </w:t>
      </w:r>
      <w:r w:rsidR="001F404A" w:rsidRPr="001F404A">
        <w:rPr>
          <w:rFonts w:ascii="Times New Roman" w:hAnsi="Times New Roman" w:cs="Times New Roman"/>
          <w:i/>
          <w:iCs/>
        </w:rPr>
        <w:t xml:space="preserve">voxel </w:t>
      </w:r>
      <w:r w:rsidR="001F404A">
        <w:rPr>
          <w:rFonts w:ascii="Times New Roman" w:hAnsi="Times New Roman" w:cs="Times New Roman"/>
          <w:i/>
          <w:iCs/>
        </w:rPr>
        <w:t xml:space="preserve">= </w:t>
      </w:r>
      <w:r w:rsidRPr="00695AD3">
        <w:rPr>
          <w:rFonts w:ascii="Times New Roman" w:hAnsi="Times New Roman" w:cs="Times New Roman"/>
          <w:i/>
          <w:iCs/>
        </w:rPr>
        <w:t>0.75</w:t>
      </w:r>
      <w:r w:rsidR="001F404A">
        <w:rPr>
          <w:rFonts w:ascii="Times New Roman" w:hAnsi="Times New Roman" w:cs="Times New Roman"/>
          <w:i/>
          <w:iCs/>
        </w:rPr>
        <w:t xml:space="preserve"> m</w:t>
      </w:r>
      <w:r>
        <w:rPr>
          <w:rFonts w:ascii="Times New Roman" w:hAnsi="Times New Roman" w:cs="Times New Roman"/>
          <w:i/>
          <w:iCs/>
        </w:rPr>
        <w:t>m isotropic</w:t>
      </w:r>
      <w:r w:rsidR="001F404A" w:rsidRPr="001F404A">
        <w:rPr>
          <w:rFonts w:ascii="Times New Roman" w:hAnsi="Times New Roman" w:cs="Times New Roman"/>
          <w:i/>
          <w:iCs/>
        </w:rPr>
        <w:t xml:space="preserve">, </w:t>
      </w:r>
      <w:r w:rsidR="001F404A">
        <w:rPr>
          <w:rFonts w:ascii="Times New Roman" w:hAnsi="Times New Roman" w:cs="Times New Roman"/>
          <w:i/>
          <w:iCs/>
        </w:rPr>
        <w:t>field of view (</w:t>
      </w:r>
      <w:r w:rsidR="001F404A" w:rsidRPr="001F404A">
        <w:rPr>
          <w:rFonts w:ascii="Times New Roman" w:hAnsi="Times New Roman" w:cs="Times New Roman"/>
          <w:i/>
          <w:iCs/>
        </w:rPr>
        <w:t>FOV</w:t>
      </w:r>
      <w:r w:rsidR="001F404A">
        <w:rPr>
          <w:rFonts w:ascii="Times New Roman" w:hAnsi="Times New Roman" w:cs="Times New Roman"/>
          <w:i/>
          <w:iCs/>
        </w:rPr>
        <w:t xml:space="preserve">) </w:t>
      </w:r>
      <w:r w:rsidR="001F404A" w:rsidRPr="004A3415">
        <w:rPr>
          <w:rFonts w:ascii="Times New Roman" w:hAnsi="Times New Roman" w:cs="Times New Roman"/>
          <w:i/>
          <w:iCs/>
        </w:rPr>
        <w:t>= 200</w:t>
      </w:r>
      <w:r w:rsidR="001F404A" w:rsidRPr="00695AD3">
        <w:rPr>
          <w:rFonts w:ascii="Times New Roman" w:hAnsi="Times New Roman" w:cs="Times New Roman"/>
          <w:i/>
          <w:iCs/>
        </w:rPr>
        <w:t>×</w:t>
      </w:r>
      <w:r w:rsidR="004A3415">
        <w:rPr>
          <w:rFonts w:ascii="Times New Roman" w:hAnsi="Times New Roman" w:cs="Times New Roman" w:hint="eastAsia"/>
          <w:i/>
          <w:iCs/>
        </w:rPr>
        <w:t>251</w:t>
      </w:r>
      <w:r w:rsidR="001F404A">
        <w:rPr>
          <w:rFonts w:ascii="Times New Roman" w:hAnsi="Times New Roman" w:cs="Times New Roman"/>
          <w:i/>
          <w:iCs/>
        </w:rPr>
        <w:t xml:space="preserve"> mm</w:t>
      </w:r>
      <w:r w:rsidR="001F404A" w:rsidRPr="00695AD3">
        <w:rPr>
          <w:rFonts w:ascii="Times New Roman" w:hAnsi="Times New Roman" w:cs="Times New Roman"/>
          <w:i/>
          <w:iCs/>
          <w:vertAlign w:val="superscript"/>
        </w:rPr>
        <w:t>2</w:t>
      </w:r>
      <w:r w:rsidR="001F404A" w:rsidRPr="001F404A">
        <w:rPr>
          <w:rFonts w:ascii="Times New Roman" w:hAnsi="Times New Roman" w:cs="Times New Roman"/>
          <w:i/>
          <w:iCs/>
        </w:rPr>
        <w:t xml:space="preserve">, </w:t>
      </w:r>
      <w:r>
        <w:rPr>
          <w:rFonts w:ascii="Times New Roman" w:hAnsi="Times New Roman" w:cs="Times New Roman"/>
          <w:i/>
          <w:iCs/>
        </w:rPr>
        <w:t>341</w:t>
      </w:r>
      <w:r w:rsidR="001F404A">
        <w:rPr>
          <w:rFonts w:ascii="Times New Roman" w:hAnsi="Times New Roman" w:cs="Times New Roman"/>
          <w:i/>
          <w:iCs/>
        </w:rPr>
        <w:t xml:space="preserve"> slices, sequence duration = </w:t>
      </w:r>
      <w:r w:rsidRPr="00695AD3">
        <w:rPr>
          <w:rFonts w:ascii="Times New Roman" w:hAnsi="Times New Roman" w:cs="Times New Roman"/>
          <w:i/>
          <w:iCs/>
        </w:rPr>
        <w:t>4</w:t>
      </w:r>
      <w:r w:rsidR="001F404A" w:rsidRPr="006A72E1">
        <w:rPr>
          <w:rFonts w:ascii="Times New Roman" w:hAnsi="Times New Roman" w:cs="Times New Roman"/>
          <w:i/>
          <w:iCs/>
        </w:rPr>
        <w:t xml:space="preserve"> minutes </w:t>
      </w:r>
      <w:r w:rsidRPr="00695AD3">
        <w:rPr>
          <w:rFonts w:ascii="Times New Roman" w:hAnsi="Times New Roman" w:cs="Times New Roman"/>
          <w:i/>
          <w:iCs/>
        </w:rPr>
        <w:t>36</w:t>
      </w:r>
      <w:r w:rsidR="001F404A" w:rsidRPr="006A72E1">
        <w:rPr>
          <w:rFonts w:ascii="Times New Roman" w:hAnsi="Times New Roman" w:cs="Times New Roman"/>
          <w:i/>
          <w:iCs/>
        </w:rPr>
        <w:t xml:space="preserve"> seconds</w:t>
      </w:r>
      <w:r w:rsidR="008358EA" w:rsidRPr="00695AD3">
        <w:rPr>
          <w:rFonts w:ascii="Times New Roman" w:hAnsi="Times New Roman" w:cs="Times New Roman"/>
          <w:i/>
          <w:iCs/>
        </w:rPr>
        <w:t>.</w:t>
      </w:r>
      <w:r w:rsidR="00602C76" w:rsidRPr="00695AD3">
        <w:rPr>
          <w:rFonts w:ascii="Times New Roman" w:hAnsi="Times New Roman" w:cs="Times New Roman"/>
          <w:i/>
        </w:rPr>
        <w:t xml:space="preserve"> </w:t>
      </w:r>
    </w:p>
    <w:p w14:paraId="208C2792" w14:textId="0144711F" w:rsidR="00C03F48" w:rsidRPr="00C03F48" w:rsidRDefault="007077C2" w:rsidP="00695AD3">
      <w:pPr>
        <w:spacing w:line="360" w:lineRule="auto"/>
        <w:ind w:firstLine="720"/>
        <w:jc w:val="both"/>
        <w:rPr>
          <w:rFonts w:ascii="Times New Roman" w:hAnsi="Times New Roman" w:cs="Times New Roman"/>
        </w:rPr>
      </w:pPr>
      <w:r>
        <w:rPr>
          <w:rFonts w:ascii="Times New Roman" w:hAnsi="Times New Roman" w:cs="Times New Roman"/>
        </w:rPr>
        <w:t xml:space="preserve">The imaging parameters are matched with the known parameters in the T1-BB MRI sequence used in </w:t>
      </w:r>
      <w:r w:rsidR="00CF649A" w:rsidRPr="00CF649A">
        <w:rPr>
          <w:rFonts w:ascii="Times New Roman" w:hAnsi="Times New Roman" w:cs="Times New Roman"/>
        </w:rPr>
        <w:t>Melin et al.</w:t>
      </w:r>
      <w:r w:rsidR="000D4D84">
        <w:rPr>
          <w:rFonts w:ascii="Times New Roman" w:hAnsi="Times New Roman" w:cs="Times New Roman"/>
        </w:rPr>
        <w:t xml:space="preserve"> </w:t>
      </w:r>
      <w:r w:rsidR="000D4D84">
        <w:rPr>
          <w:rFonts w:ascii="Times New Roman" w:hAnsi="Times New Roman" w:cs="Times New Roman"/>
        </w:rPr>
        <w:fldChar w:fldCharType="begin"/>
      </w:r>
      <w:r w:rsidR="000D4D84">
        <w:rPr>
          <w:rFonts w:ascii="Times New Roman" w:hAnsi="Times New Roman" w:cs="Times New Roman"/>
        </w:rPr>
        <w:instrText xml:space="preserve"> ADDIN ZOTERO_ITEM CSL_CITATION {"citationID":"DO74OKte","properties":{"formattedCitation":"(2)","plainCitation":"(2)","noteIndex":0},"citationItems":[{"id":11,"uris":["http://zotero.org/users/15150794/items/ALWB658G"],"itemData":{"id":11,"type":"article-journal","abstract":"Extra-vascular molecular clearance routes from the brain and cerebrospinal fluid (CSF) remain insufficiently characterized in humans. Animal studies consistently suggest that the cribriform plate and nasal lymphatic vessels are crucial for molecular clearance from CSF. In this study, we aimed to examine human in vivo transport of a CSF tracer from CSF to nasal mucosa. We hypothesised a CSF tracer would enrich in nasal mucosa provided that nasal lymphatic drainage has a significant role in CSF molecular clearance. Consecutive magnetic resonance imaging during 48 h after intrathecal administration of a tracer (gadobutrol) was performed in 24 patients. Despite a strong enrichment of CSF tracer in CSF spaces nearby the cribriform plate, there was no significant enrichment of CSF tracer in nasal mucosa, as measured in superior, medial and inferior turbinates, or in the nasal septum. Therefore, this in vivo study questions the importance of CSF drainage to the human nasal mucosa and emphasizes the need of further human studies.","container-title":"Scientific Reports","DOI":"10.1038/s41598-020-72031-5","ISSN":"2045-2322","issue":"1","journalAbbreviation":"Sci Rep","language":"eng","note":"PMID: 32917953\nPMCID: PMC7486888","page":"14974","source":"PubMed","title":"In vivo assessment of cerebrospinal fluid efflux to nasal mucosa in humans","volume":"10","author":[{"family":"Melin","given":"Erik"},{"family":"Eide","given":"Per Kristian"},{"family":"Ringstad","given":"Geir"}],"issued":{"date-parts":[["2020",9,11]]}}}],"schema":"https://github.com/citation-style-language/schema/raw/master/csl-citation.json"} </w:instrText>
      </w:r>
      <w:r w:rsidR="000D4D84">
        <w:rPr>
          <w:rFonts w:ascii="Times New Roman" w:hAnsi="Times New Roman" w:cs="Times New Roman"/>
        </w:rPr>
        <w:fldChar w:fldCharType="separate"/>
      </w:r>
      <w:r w:rsidR="000D4D84" w:rsidRPr="00D241FA">
        <w:rPr>
          <w:rFonts w:ascii="Times New Roman" w:hAnsi="Times New Roman" w:cs="Times New Roman"/>
        </w:rPr>
        <w:t>(2)</w:t>
      </w:r>
      <w:r w:rsidR="000D4D84">
        <w:rPr>
          <w:rFonts w:ascii="Times New Roman" w:hAnsi="Times New Roman" w:cs="Times New Roman"/>
        </w:rPr>
        <w:fldChar w:fldCharType="end"/>
      </w:r>
      <w:r>
        <w:rPr>
          <w:rFonts w:ascii="Times New Roman" w:hAnsi="Times New Roman" w:cs="Times New Roman"/>
        </w:rPr>
        <w:t xml:space="preserve">, which </w:t>
      </w:r>
      <w:r w:rsidR="00583A05" w:rsidRPr="00583A05">
        <w:rPr>
          <w:rFonts w:ascii="Times New Roman" w:hAnsi="Times New Roman" w:cs="Times New Roman"/>
        </w:rPr>
        <w:t xml:space="preserve">was </w:t>
      </w:r>
      <w:r>
        <w:rPr>
          <w:rFonts w:ascii="Times New Roman" w:hAnsi="Times New Roman" w:cs="Times New Roman"/>
        </w:rPr>
        <w:t xml:space="preserve">also performed on a Philips 3T MRI scanner. </w:t>
      </w:r>
      <w:r w:rsidR="00C03F48" w:rsidRPr="00C03F48">
        <w:rPr>
          <w:rFonts w:ascii="Times New Roman" w:hAnsi="Times New Roman" w:cs="Times New Roman"/>
        </w:rPr>
        <w:t xml:space="preserve"> </w:t>
      </w:r>
    </w:p>
    <w:p w14:paraId="5A035A30" w14:textId="77777777" w:rsidR="006F1768" w:rsidRDefault="006F1768" w:rsidP="006F1768">
      <w:pPr>
        <w:spacing w:line="360" w:lineRule="auto"/>
        <w:jc w:val="both"/>
        <w:rPr>
          <w:rFonts w:ascii="Times New Roman" w:hAnsi="Times New Roman" w:cs="Times New Roman"/>
          <w:b/>
        </w:rPr>
      </w:pPr>
    </w:p>
    <w:p w14:paraId="4DA7BAA7" w14:textId="1C3EC366" w:rsidR="006F1768" w:rsidRPr="00A5773A" w:rsidRDefault="004E692F" w:rsidP="006F1768">
      <w:pPr>
        <w:spacing w:line="360" w:lineRule="auto"/>
        <w:jc w:val="both"/>
        <w:rPr>
          <w:rFonts w:ascii="Times New Roman" w:hAnsi="Times New Roman" w:cs="Times New Roman"/>
        </w:rPr>
      </w:pPr>
      <w:r>
        <w:rPr>
          <w:rFonts w:ascii="Times New Roman" w:hAnsi="Times New Roman" w:cs="Times New Roman"/>
          <w:b/>
        </w:rPr>
        <w:t>Figure S2</w:t>
      </w:r>
      <w:r w:rsidR="006F1768">
        <w:rPr>
          <w:rFonts w:ascii="Times New Roman" w:hAnsi="Times New Roman" w:cs="Times New Roman"/>
          <w:b/>
        </w:rPr>
        <w:t xml:space="preserve"> </w:t>
      </w:r>
      <w:r w:rsidR="006F1768">
        <w:rPr>
          <w:rFonts w:ascii="Times New Roman" w:hAnsi="Times New Roman" w:cs="Times New Roman"/>
        </w:rPr>
        <w:t xml:space="preserve">shows the </w:t>
      </w:r>
      <w:r w:rsidR="00317055" w:rsidRPr="00267751">
        <w:rPr>
          <w:rFonts w:ascii="Times New Roman" w:hAnsi="Times New Roman" w:cs="Times New Roman"/>
        </w:rPr>
        <w:t>GBCA induced fluid signal changes in T1-BB MRI</w:t>
      </w:r>
      <w:r w:rsidR="00317055">
        <w:rPr>
          <w:rFonts w:ascii="Times New Roman" w:hAnsi="Times New Roman" w:cs="Times New Roman"/>
        </w:rPr>
        <w:t xml:space="preserve"> (ΔS/S)</w:t>
      </w:r>
      <w:r w:rsidR="006F1768">
        <w:rPr>
          <w:rFonts w:ascii="Times New Roman" w:hAnsi="Times New Roman" w:cs="Times New Roman"/>
        </w:rPr>
        <w:t xml:space="preserve"> as functions of T1 and T2 values of the fluid, respectively. Four </w:t>
      </w:r>
      <w:r w:rsidR="00317055">
        <w:rPr>
          <w:rFonts w:ascii="Times New Roman" w:hAnsi="Times New Roman" w:cs="Times New Roman"/>
        </w:rPr>
        <w:t>GBCA concentration</w:t>
      </w:r>
      <w:r w:rsidR="006F1768">
        <w:rPr>
          <w:rFonts w:ascii="Times New Roman" w:hAnsi="Times New Roman" w:cs="Times New Roman"/>
        </w:rPr>
        <w:t xml:space="preserve"> levels (</w:t>
      </w:r>
      <w:r w:rsidR="00191EB3">
        <w:rPr>
          <w:rFonts w:ascii="Times New Roman" w:hAnsi="Times New Roman" w:cs="Times New Roman"/>
        </w:rPr>
        <w:t>[Gd] = 0.05, 0.1, 0.25, 0.5 mM</w:t>
      </w:r>
      <w:r w:rsidR="006F1768">
        <w:rPr>
          <w:rFonts w:ascii="Times New Roman" w:hAnsi="Times New Roman" w:cs="Times New Roman"/>
        </w:rPr>
        <w:t xml:space="preserve">) corresponding the range of </w:t>
      </w:r>
      <w:r w:rsidR="007077C2">
        <w:rPr>
          <w:rFonts w:ascii="Times New Roman" w:hAnsi="Times New Roman" w:cs="Times New Roman"/>
        </w:rPr>
        <w:t xml:space="preserve">fluid </w:t>
      </w:r>
      <w:r w:rsidR="00191EB3">
        <w:rPr>
          <w:rFonts w:ascii="Times New Roman" w:hAnsi="Times New Roman" w:cs="Times New Roman"/>
        </w:rPr>
        <w:t>[Gd]</w:t>
      </w:r>
      <w:r w:rsidR="006F1768">
        <w:rPr>
          <w:rFonts w:ascii="Times New Roman" w:hAnsi="Times New Roman" w:cs="Times New Roman"/>
        </w:rPr>
        <w:t xml:space="preserve"> measured in </w:t>
      </w:r>
      <w:r w:rsidR="007077C2" w:rsidRPr="00CF649A">
        <w:rPr>
          <w:rFonts w:ascii="Times New Roman" w:hAnsi="Times New Roman" w:cs="Times New Roman"/>
        </w:rPr>
        <w:t>Melin et al.</w:t>
      </w:r>
      <w:r w:rsidR="00191EB3">
        <w:rPr>
          <w:rFonts w:ascii="Times New Roman" w:hAnsi="Times New Roman" w:cs="Times New Roman"/>
        </w:rPr>
        <w:t xml:space="preserve"> </w:t>
      </w:r>
      <w:r w:rsidR="00D241FA">
        <w:rPr>
          <w:rFonts w:ascii="Times New Roman" w:hAnsi="Times New Roman" w:cs="Times New Roman"/>
        </w:rPr>
        <w:fldChar w:fldCharType="begin"/>
      </w:r>
      <w:r w:rsidR="00D241FA">
        <w:rPr>
          <w:rFonts w:ascii="Times New Roman" w:hAnsi="Times New Roman" w:cs="Times New Roman"/>
        </w:rPr>
        <w:instrText xml:space="preserve"> ADDIN ZOTERO_ITEM CSL_CITATION {"citationID":"2w16iaYk","properties":{"formattedCitation":"(2)","plainCitation":"(2)","noteIndex":0},"citationItems":[{"id":11,"uris":["http://zotero.org/users/15150794/items/ALWB658G"],"itemData":{"id":11,"type":"article-journal","abstract":"Extra-vascular molecular clearance routes from the brain and cerebrospinal fluid (CSF) remain insufficiently characterized in humans. Animal studies consistently suggest that the cribriform plate and nasal lymphatic vessels are crucial for molecular clearance from CSF. In this study, we aimed to examine human in vivo transport of a CSF tracer from CSF to nasal mucosa. We hypothesised a CSF tracer would enrich in nasal mucosa provided that nasal lymphatic drainage has a significant role in CSF molecular clearance. Consecutive magnetic resonance imaging during 48 h after intrathecal administration of a tracer (gadobutrol) was performed in 24 patients. Despite a strong enrichment of CSF tracer in CSF spaces nearby the cribriform plate, there was no significant enrichment of CSF tracer in nasal mucosa, as measured in superior, medial and inferior turbinates, or in the nasal septum. Therefore, this in vivo study questions the importance of CSF drainage to the human nasal mucosa and emphasizes the need of further human studies.","container-title":"Scientific Reports","DOI":"10.1038/s41598-020-72031-5","ISSN":"2045-2322","issue":"1","journalAbbreviation":"Sci Rep","language":"eng","note":"PMID: 32917953\nPMCID: PMC7486888","page":"14974","source":"PubMed","title":"In vivo assessment of cerebrospinal fluid efflux to nasal mucosa in humans","volume":"10","author":[{"family":"Melin","given":"Erik"},{"family":"Eide","given":"Per Kristian"},{"family":"Ringstad","given":"Geir"}],"issued":{"date-parts":[["2020",9,11]]}}}],"schema":"https://github.com/citation-style-language/schema/raw/master/csl-citation.json"} </w:instrText>
      </w:r>
      <w:r w:rsidR="00D241FA">
        <w:rPr>
          <w:rFonts w:ascii="Times New Roman" w:hAnsi="Times New Roman" w:cs="Times New Roman"/>
        </w:rPr>
        <w:fldChar w:fldCharType="separate"/>
      </w:r>
      <w:r w:rsidR="00D241FA" w:rsidRPr="00D241FA">
        <w:rPr>
          <w:rFonts w:ascii="Times New Roman" w:hAnsi="Times New Roman" w:cs="Times New Roman"/>
        </w:rPr>
        <w:t>(2)</w:t>
      </w:r>
      <w:r w:rsidR="00D241FA">
        <w:rPr>
          <w:rFonts w:ascii="Times New Roman" w:hAnsi="Times New Roman" w:cs="Times New Roman"/>
        </w:rPr>
        <w:fldChar w:fldCharType="end"/>
      </w:r>
      <w:r w:rsidR="00D241FA">
        <w:rPr>
          <w:rFonts w:ascii="Times New Roman" w:hAnsi="Times New Roman" w:cs="Times New Roman" w:hint="eastAsia"/>
        </w:rPr>
        <w:t xml:space="preserve"> </w:t>
      </w:r>
      <w:r w:rsidR="006F1768">
        <w:rPr>
          <w:rFonts w:ascii="Times New Roman" w:hAnsi="Times New Roman" w:cs="Times New Roman"/>
        </w:rPr>
        <w:t>were simulated.</w:t>
      </w:r>
      <w:r w:rsidRPr="004E692F">
        <w:rPr>
          <w:rFonts w:ascii="Times New Roman" w:hAnsi="Times New Roman" w:cs="Times New Roman"/>
        </w:rPr>
        <w:t xml:space="preserve"> </w:t>
      </w:r>
      <w:r w:rsidR="007077C2">
        <w:rPr>
          <w:rFonts w:ascii="Times New Roman" w:hAnsi="Times New Roman" w:cs="Times New Roman"/>
        </w:rPr>
        <w:t xml:space="preserve">For a given </w:t>
      </w:r>
      <w:r w:rsidR="0078331E">
        <w:rPr>
          <w:rFonts w:ascii="Times New Roman" w:hAnsi="Times New Roman" w:cs="Times New Roman"/>
        </w:rPr>
        <w:t>[Gd] in the fluid</w:t>
      </w:r>
      <w:r w:rsidR="007077C2">
        <w:rPr>
          <w:rFonts w:ascii="Times New Roman" w:hAnsi="Times New Roman" w:cs="Times New Roman"/>
        </w:rPr>
        <w:t xml:space="preserve">, </w:t>
      </w:r>
      <w:r w:rsidR="0078331E" w:rsidRPr="00267751">
        <w:rPr>
          <w:rFonts w:ascii="Times New Roman" w:hAnsi="Times New Roman" w:cs="Times New Roman"/>
        </w:rPr>
        <w:t xml:space="preserve">T1-BB </w:t>
      </w:r>
      <w:r w:rsidR="0078331E">
        <w:rPr>
          <w:rFonts w:ascii="Times New Roman" w:hAnsi="Times New Roman" w:cs="Times New Roman"/>
        </w:rPr>
        <w:t>ΔS/S</w:t>
      </w:r>
      <w:r w:rsidR="007077C2">
        <w:rPr>
          <w:rFonts w:ascii="Times New Roman" w:hAnsi="Times New Roman" w:cs="Times New Roman"/>
        </w:rPr>
        <w:t xml:space="preserve"> increases with the fluid T1. This means that </w:t>
      </w:r>
      <w:r w:rsidR="007077C2" w:rsidRPr="00112CB5">
        <w:rPr>
          <w:rFonts w:ascii="Times New Roman" w:hAnsi="Times New Roman" w:cs="Times New Roman"/>
        </w:rPr>
        <w:t xml:space="preserve">if the T1 of CSF-like fluid is shorter than intracranial CSF T1, the </w:t>
      </w:r>
      <w:r w:rsidR="0078331E" w:rsidRPr="00267751">
        <w:rPr>
          <w:rFonts w:ascii="Times New Roman" w:hAnsi="Times New Roman" w:cs="Times New Roman"/>
        </w:rPr>
        <w:t xml:space="preserve">T1-BB </w:t>
      </w:r>
      <w:r w:rsidR="0078331E">
        <w:rPr>
          <w:rFonts w:ascii="Times New Roman" w:hAnsi="Times New Roman" w:cs="Times New Roman"/>
        </w:rPr>
        <w:t>ΔS/S measured in CSF-like fluid is expected to be smaller than that in intracranial CSF</w:t>
      </w:r>
      <w:r w:rsidR="007077C2" w:rsidRPr="00112CB5">
        <w:rPr>
          <w:rFonts w:ascii="Times New Roman" w:hAnsi="Times New Roman" w:cs="Times New Roman"/>
        </w:rPr>
        <w:t>.</w:t>
      </w:r>
      <w:r w:rsidR="007077C2">
        <w:rPr>
          <w:rFonts w:ascii="Times New Roman" w:hAnsi="Times New Roman" w:cs="Times New Roman"/>
        </w:rPr>
        <w:t xml:space="preserve"> The fluid T2 values showed </w:t>
      </w:r>
      <w:r w:rsidR="008358EA">
        <w:rPr>
          <w:rFonts w:ascii="Times New Roman" w:hAnsi="Times New Roman" w:cs="Times New Roman"/>
        </w:rPr>
        <w:t>a similar but much smaller effect</w:t>
      </w:r>
      <w:r w:rsidR="007077C2">
        <w:rPr>
          <w:rFonts w:ascii="Times New Roman" w:hAnsi="Times New Roman" w:cs="Times New Roman"/>
        </w:rPr>
        <w:t xml:space="preserve"> on </w:t>
      </w:r>
      <w:r w:rsidR="0078331E" w:rsidRPr="00267751">
        <w:rPr>
          <w:rFonts w:ascii="Times New Roman" w:hAnsi="Times New Roman" w:cs="Times New Roman"/>
        </w:rPr>
        <w:t xml:space="preserve">T1-BB </w:t>
      </w:r>
      <w:r w:rsidR="0078331E">
        <w:rPr>
          <w:rFonts w:ascii="Times New Roman" w:hAnsi="Times New Roman" w:cs="Times New Roman"/>
        </w:rPr>
        <w:t>ΔS/S</w:t>
      </w:r>
      <w:r w:rsidR="007077C2">
        <w:rPr>
          <w:rFonts w:ascii="Times New Roman" w:hAnsi="Times New Roman" w:cs="Times New Roman"/>
        </w:rPr>
        <w:t>.</w:t>
      </w:r>
    </w:p>
    <w:p w14:paraId="36B082FE" w14:textId="5F9D626B" w:rsidR="006F1768" w:rsidRDefault="009E170C" w:rsidP="00695AD3">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33D5888D" wp14:editId="6ABE21EC">
            <wp:extent cx="3423514" cy="5147783"/>
            <wp:effectExtent l="0" t="0" r="5715" b="0"/>
            <wp:docPr id="165441368"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1368" name="Picture 2" descr="A screenshot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6486" cy="5152251"/>
                    </a:xfrm>
                    <a:prstGeom prst="rect">
                      <a:avLst/>
                    </a:prstGeom>
                  </pic:spPr>
                </pic:pic>
              </a:graphicData>
            </a:graphic>
          </wp:inline>
        </w:drawing>
      </w:r>
    </w:p>
    <w:p w14:paraId="2C9E1A73" w14:textId="3BB2497C" w:rsidR="006F1768" w:rsidRPr="00BA051D" w:rsidRDefault="006F1768" w:rsidP="006E0E1B">
      <w:pPr>
        <w:spacing w:line="360" w:lineRule="auto"/>
        <w:jc w:val="center"/>
        <w:rPr>
          <w:rFonts w:ascii="Times New Roman" w:hAnsi="Times New Roman" w:cs="Times New Roman"/>
        </w:rPr>
      </w:pPr>
    </w:p>
    <w:p w14:paraId="48696EE4" w14:textId="2B8163DC" w:rsidR="006F1768" w:rsidRPr="003F629A" w:rsidRDefault="004E692F" w:rsidP="006F1768">
      <w:pPr>
        <w:spacing w:line="360" w:lineRule="auto"/>
        <w:jc w:val="both"/>
        <w:rPr>
          <w:rFonts w:ascii="Times New Roman" w:hAnsi="Times New Roman" w:cs="Times New Roman"/>
          <w:sz w:val="22"/>
        </w:rPr>
      </w:pPr>
      <w:r w:rsidRPr="009E170C">
        <w:rPr>
          <w:rFonts w:ascii="Times New Roman" w:hAnsi="Times New Roman" w:cs="Times New Roman"/>
          <w:b/>
          <w:sz w:val="22"/>
        </w:rPr>
        <w:t>Figure</w:t>
      </w:r>
      <w:r>
        <w:rPr>
          <w:rFonts w:ascii="Times New Roman" w:hAnsi="Times New Roman" w:cs="Times New Roman"/>
          <w:b/>
          <w:sz w:val="22"/>
        </w:rPr>
        <w:t xml:space="preserve"> S2</w:t>
      </w:r>
      <w:r w:rsidR="006F1768" w:rsidRPr="003F629A">
        <w:rPr>
          <w:rFonts w:ascii="Times New Roman" w:hAnsi="Times New Roman" w:cs="Times New Roman"/>
          <w:b/>
          <w:sz w:val="22"/>
        </w:rPr>
        <w:t xml:space="preserve">: </w:t>
      </w:r>
      <w:r w:rsidR="006F1768">
        <w:rPr>
          <w:rFonts w:ascii="Times New Roman" w:hAnsi="Times New Roman" w:cs="Times New Roman"/>
          <w:sz w:val="22"/>
        </w:rPr>
        <w:t>Relationship between</w:t>
      </w:r>
      <w:r w:rsidR="006F1768" w:rsidRPr="003F629A">
        <w:rPr>
          <w:rFonts w:ascii="Times New Roman" w:hAnsi="Times New Roman" w:cs="Times New Roman"/>
          <w:sz w:val="22"/>
        </w:rPr>
        <w:t xml:space="preserve"> the </w:t>
      </w:r>
      <w:r w:rsidR="00191EB3" w:rsidRPr="00191EB3">
        <w:rPr>
          <w:rFonts w:ascii="Times New Roman" w:hAnsi="Times New Roman" w:cs="Times New Roman"/>
          <w:sz w:val="22"/>
        </w:rPr>
        <w:t>GBCA induced fluid signal changes in T1-BB MRI (ΔS/S</w:t>
      </w:r>
      <w:r w:rsidR="00964134">
        <w:rPr>
          <w:rFonts w:ascii="Times New Roman" w:hAnsi="Times New Roman" w:cs="Times New Roman"/>
          <w:sz w:val="22"/>
        </w:rPr>
        <w:t>, %</w:t>
      </w:r>
      <w:r w:rsidR="00191EB3" w:rsidRPr="00191EB3">
        <w:rPr>
          <w:rFonts w:ascii="Times New Roman" w:hAnsi="Times New Roman" w:cs="Times New Roman"/>
          <w:sz w:val="22"/>
        </w:rPr>
        <w:t>)</w:t>
      </w:r>
      <w:r w:rsidR="00191EB3">
        <w:rPr>
          <w:rFonts w:ascii="Times New Roman" w:hAnsi="Times New Roman" w:cs="Times New Roman"/>
          <w:sz w:val="22"/>
        </w:rPr>
        <w:t xml:space="preserve"> </w:t>
      </w:r>
      <w:r w:rsidR="006F1768">
        <w:rPr>
          <w:rFonts w:ascii="Times New Roman" w:hAnsi="Times New Roman" w:cs="Times New Roman"/>
          <w:sz w:val="22"/>
        </w:rPr>
        <w:t>and</w:t>
      </w:r>
      <w:r w:rsidR="006F1768" w:rsidRPr="003F629A">
        <w:rPr>
          <w:rFonts w:ascii="Times New Roman" w:hAnsi="Times New Roman" w:cs="Times New Roman"/>
          <w:sz w:val="22"/>
        </w:rPr>
        <w:t xml:space="preserve"> T1 and T2 values of the fluid. </w:t>
      </w:r>
      <w:r w:rsidR="006F1768" w:rsidRPr="003F629A">
        <w:rPr>
          <w:rFonts w:ascii="Times New Roman" w:hAnsi="Times New Roman" w:cs="Times New Roman"/>
          <w:b/>
          <w:sz w:val="22"/>
        </w:rPr>
        <w:t>(</w:t>
      </w:r>
      <w:proofErr w:type="spellStart"/>
      <w:proofErr w:type="gramStart"/>
      <w:r w:rsidR="006F1768" w:rsidRPr="003F629A">
        <w:rPr>
          <w:rFonts w:ascii="Times New Roman" w:hAnsi="Times New Roman" w:cs="Times New Roman"/>
          <w:b/>
          <w:sz w:val="22"/>
        </w:rPr>
        <w:t>a,b</w:t>
      </w:r>
      <w:proofErr w:type="spellEnd"/>
      <w:proofErr w:type="gramEnd"/>
      <w:r w:rsidR="006F1768" w:rsidRPr="003F629A">
        <w:rPr>
          <w:rFonts w:ascii="Times New Roman" w:hAnsi="Times New Roman" w:cs="Times New Roman"/>
          <w:b/>
          <w:sz w:val="22"/>
        </w:rPr>
        <w:t>)</w:t>
      </w:r>
      <w:r w:rsidR="006F1768">
        <w:rPr>
          <w:rFonts w:ascii="Times New Roman" w:hAnsi="Times New Roman" w:cs="Times New Roman"/>
          <w:sz w:val="22"/>
        </w:rPr>
        <w:t xml:space="preserve"> </w:t>
      </w:r>
      <w:r w:rsidR="00191EB3">
        <w:rPr>
          <w:rFonts w:ascii="Times New Roman" w:hAnsi="Times New Roman" w:cs="Times New Roman"/>
          <w:sz w:val="22"/>
        </w:rPr>
        <w:t>[Gd] = 0.05</w:t>
      </w:r>
      <w:r w:rsidR="00191EB3" w:rsidRPr="00191EB3">
        <w:rPr>
          <w:rFonts w:ascii="Times New Roman" w:hAnsi="Times New Roman" w:cs="Times New Roman"/>
          <w:sz w:val="22"/>
        </w:rPr>
        <w:t xml:space="preserve"> mM</w:t>
      </w:r>
      <w:r w:rsidR="006F1768">
        <w:rPr>
          <w:rFonts w:ascii="Times New Roman" w:hAnsi="Times New Roman" w:cs="Times New Roman"/>
          <w:sz w:val="22"/>
        </w:rPr>
        <w:t>;</w:t>
      </w:r>
      <w:r w:rsidR="006F1768" w:rsidRPr="003F629A">
        <w:rPr>
          <w:rFonts w:ascii="Times New Roman" w:hAnsi="Times New Roman" w:cs="Times New Roman"/>
          <w:sz w:val="22"/>
        </w:rPr>
        <w:t xml:space="preserve"> </w:t>
      </w:r>
      <w:r w:rsidR="006F1768" w:rsidRPr="003F629A">
        <w:rPr>
          <w:rFonts w:ascii="Times New Roman" w:hAnsi="Times New Roman" w:cs="Times New Roman"/>
          <w:b/>
          <w:sz w:val="22"/>
        </w:rPr>
        <w:t>(</w:t>
      </w:r>
      <w:proofErr w:type="spellStart"/>
      <w:proofErr w:type="gramStart"/>
      <w:r w:rsidR="006F1768">
        <w:rPr>
          <w:rFonts w:ascii="Times New Roman" w:hAnsi="Times New Roman" w:cs="Times New Roman"/>
          <w:b/>
          <w:sz w:val="22"/>
        </w:rPr>
        <w:t>c,d</w:t>
      </w:r>
      <w:proofErr w:type="spellEnd"/>
      <w:proofErr w:type="gramEnd"/>
      <w:r w:rsidR="006F1768" w:rsidRPr="003F629A">
        <w:rPr>
          <w:rFonts w:ascii="Times New Roman" w:hAnsi="Times New Roman" w:cs="Times New Roman"/>
          <w:b/>
          <w:sz w:val="22"/>
        </w:rPr>
        <w:t>)</w:t>
      </w:r>
      <w:r w:rsidR="006F1768">
        <w:rPr>
          <w:rFonts w:ascii="Times New Roman" w:hAnsi="Times New Roman" w:cs="Times New Roman"/>
          <w:sz w:val="22"/>
        </w:rPr>
        <w:t xml:space="preserve"> </w:t>
      </w:r>
      <w:r w:rsidR="00191EB3" w:rsidRPr="00191EB3">
        <w:rPr>
          <w:rFonts w:ascii="Times New Roman" w:hAnsi="Times New Roman" w:cs="Times New Roman"/>
          <w:sz w:val="22"/>
        </w:rPr>
        <w:t>[Gd] = 0.</w:t>
      </w:r>
      <w:r w:rsidR="00191EB3">
        <w:rPr>
          <w:rFonts w:ascii="Times New Roman" w:hAnsi="Times New Roman" w:cs="Times New Roman"/>
          <w:sz w:val="22"/>
        </w:rPr>
        <w:t>1</w:t>
      </w:r>
      <w:r w:rsidR="00191EB3" w:rsidRPr="00191EB3">
        <w:rPr>
          <w:rFonts w:ascii="Times New Roman" w:hAnsi="Times New Roman" w:cs="Times New Roman"/>
          <w:sz w:val="22"/>
        </w:rPr>
        <w:t xml:space="preserve"> mM</w:t>
      </w:r>
      <w:r w:rsidR="006F1768">
        <w:rPr>
          <w:rFonts w:ascii="Times New Roman" w:hAnsi="Times New Roman" w:cs="Times New Roman"/>
          <w:sz w:val="22"/>
        </w:rPr>
        <w:t xml:space="preserve">; </w:t>
      </w:r>
      <w:r w:rsidR="006F1768" w:rsidRPr="003F629A">
        <w:rPr>
          <w:rFonts w:ascii="Times New Roman" w:hAnsi="Times New Roman" w:cs="Times New Roman"/>
          <w:b/>
          <w:sz w:val="22"/>
        </w:rPr>
        <w:t>(</w:t>
      </w:r>
      <w:proofErr w:type="spellStart"/>
      <w:proofErr w:type="gramStart"/>
      <w:r w:rsidR="006F1768">
        <w:rPr>
          <w:rFonts w:ascii="Times New Roman" w:hAnsi="Times New Roman" w:cs="Times New Roman"/>
          <w:b/>
          <w:sz w:val="22"/>
        </w:rPr>
        <w:t>e,f</w:t>
      </w:r>
      <w:proofErr w:type="spellEnd"/>
      <w:proofErr w:type="gramEnd"/>
      <w:r w:rsidR="006F1768" w:rsidRPr="003F629A">
        <w:rPr>
          <w:rFonts w:ascii="Times New Roman" w:hAnsi="Times New Roman" w:cs="Times New Roman"/>
          <w:b/>
          <w:sz w:val="22"/>
        </w:rPr>
        <w:t>)</w:t>
      </w:r>
      <w:r w:rsidR="006F1768">
        <w:rPr>
          <w:rFonts w:ascii="Times New Roman" w:hAnsi="Times New Roman" w:cs="Times New Roman"/>
          <w:sz w:val="22"/>
        </w:rPr>
        <w:t xml:space="preserve"> </w:t>
      </w:r>
      <w:r w:rsidR="00191EB3">
        <w:rPr>
          <w:rFonts w:ascii="Times New Roman" w:hAnsi="Times New Roman" w:cs="Times New Roman"/>
          <w:sz w:val="22"/>
        </w:rPr>
        <w:t>[Gd] = 0.25</w:t>
      </w:r>
      <w:r w:rsidR="00191EB3" w:rsidRPr="00191EB3">
        <w:rPr>
          <w:rFonts w:ascii="Times New Roman" w:hAnsi="Times New Roman" w:cs="Times New Roman"/>
          <w:sz w:val="22"/>
        </w:rPr>
        <w:t xml:space="preserve"> mM</w:t>
      </w:r>
      <w:r w:rsidR="006F1768">
        <w:rPr>
          <w:rFonts w:ascii="Times New Roman" w:hAnsi="Times New Roman" w:cs="Times New Roman"/>
          <w:sz w:val="22"/>
        </w:rPr>
        <w:t xml:space="preserve">; </w:t>
      </w:r>
      <w:r w:rsidR="006F1768" w:rsidRPr="003F629A">
        <w:rPr>
          <w:rFonts w:ascii="Times New Roman" w:hAnsi="Times New Roman" w:cs="Times New Roman"/>
          <w:b/>
          <w:sz w:val="22"/>
        </w:rPr>
        <w:t>(</w:t>
      </w:r>
      <w:proofErr w:type="spellStart"/>
      <w:proofErr w:type="gramStart"/>
      <w:r w:rsidR="006F1768">
        <w:rPr>
          <w:rFonts w:ascii="Times New Roman" w:hAnsi="Times New Roman" w:cs="Times New Roman"/>
          <w:b/>
          <w:sz w:val="22"/>
        </w:rPr>
        <w:t>g,h</w:t>
      </w:r>
      <w:proofErr w:type="spellEnd"/>
      <w:proofErr w:type="gramEnd"/>
      <w:r w:rsidR="006F1768" w:rsidRPr="003F629A">
        <w:rPr>
          <w:rFonts w:ascii="Times New Roman" w:hAnsi="Times New Roman" w:cs="Times New Roman"/>
          <w:b/>
          <w:sz w:val="22"/>
        </w:rPr>
        <w:t>)</w:t>
      </w:r>
      <w:r w:rsidR="006F1768">
        <w:rPr>
          <w:rFonts w:ascii="Times New Roman" w:hAnsi="Times New Roman" w:cs="Times New Roman"/>
          <w:sz w:val="22"/>
        </w:rPr>
        <w:t xml:space="preserve"> </w:t>
      </w:r>
      <w:r w:rsidR="00191EB3">
        <w:rPr>
          <w:rFonts w:ascii="Times New Roman" w:hAnsi="Times New Roman" w:cs="Times New Roman"/>
          <w:sz w:val="22"/>
        </w:rPr>
        <w:t>[Gd] = 0.5</w:t>
      </w:r>
      <w:r w:rsidR="00191EB3" w:rsidRPr="00191EB3">
        <w:rPr>
          <w:rFonts w:ascii="Times New Roman" w:hAnsi="Times New Roman" w:cs="Times New Roman"/>
          <w:sz w:val="22"/>
        </w:rPr>
        <w:t xml:space="preserve"> </w:t>
      </w:r>
      <w:proofErr w:type="spellStart"/>
      <w:r w:rsidR="00191EB3" w:rsidRPr="00191EB3">
        <w:rPr>
          <w:rFonts w:ascii="Times New Roman" w:hAnsi="Times New Roman" w:cs="Times New Roman"/>
          <w:sz w:val="22"/>
        </w:rPr>
        <w:t>mM</w:t>
      </w:r>
      <w:r w:rsidR="006F1768">
        <w:rPr>
          <w:rFonts w:ascii="Times New Roman" w:hAnsi="Times New Roman" w:cs="Times New Roman"/>
          <w:sz w:val="22"/>
        </w:rPr>
        <w:t>.</w:t>
      </w:r>
      <w:proofErr w:type="spellEnd"/>
      <w:r w:rsidR="006F1768">
        <w:rPr>
          <w:rFonts w:ascii="Times New Roman" w:hAnsi="Times New Roman" w:cs="Times New Roman"/>
          <w:sz w:val="22"/>
        </w:rPr>
        <w:t xml:space="preserve"> </w:t>
      </w:r>
      <w:r>
        <w:rPr>
          <w:rFonts w:ascii="Times New Roman" w:hAnsi="Times New Roman" w:cs="Times New Roman"/>
          <w:sz w:val="22"/>
        </w:rPr>
        <w:t xml:space="preserve">Intracranial CSF T1 = 4310 </w:t>
      </w:r>
      <w:proofErr w:type="spellStart"/>
      <w:r>
        <w:rPr>
          <w:rFonts w:ascii="Times New Roman" w:hAnsi="Times New Roman" w:cs="Times New Roman"/>
          <w:sz w:val="22"/>
        </w:rPr>
        <w:t>ms</w:t>
      </w:r>
      <w:proofErr w:type="spellEnd"/>
      <w:r>
        <w:rPr>
          <w:rFonts w:ascii="Times New Roman" w:hAnsi="Times New Roman" w:cs="Times New Roman"/>
          <w:sz w:val="22"/>
        </w:rPr>
        <w:t xml:space="preserve">, T2 = 1400 </w:t>
      </w:r>
      <w:proofErr w:type="spellStart"/>
      <w:r>
        <w:rPr>
          <w:rFonts w:ascii="Times New Roman" w:hAnsi="Times New Roman" w:cs="Times New Roman"/>
          <w:sz w:val="22"/>
        </w:rPr>
        <w:t>ms</w:t>
      </w:r>
      <w:proofErr w:type="spellEnd"/>
      <w:r>
        <w:rPr>
          <w:rFonts w:ascii="Times New Roman" w:hAnsi="Times New Roman" w:cs="Times New Roman"/>
          <w:sz w:val="22"/>
        </w:rPr>
        <w:t xml:space="preserve"> </w:t>
      </w:r>
      <w:r w:rsidRPr="009E791E">
        <w:rPr>
          <w:rFonts w:ascii="Times New Roman" w:hAnsi="Times New Roman" w:cs="Times New Roman"/>
          <w:sz w:val="22"/>
        </w:rPr>
        <w:t xml:space="preserve">at 3T </w:t>
      </w:r>
      <w:r w:rsidR="008B74C8">
        <w:rPr>
          <w:rFonts w:ascii="Times New Roman" w:hAnsi="Times New Roman" w:cs="Times New Roman" w:hint="eastAsia"/>
          <w:sz w:val="22"/>
        </w:rPr>
        <w:t xml:space="preserve">(marked as </w:t>
      </w:r>
      <w:r w:rsidR="008B74C8" w:rsidRPr="008B74C8">
        <w:rPr>
          <w:rFonts w:ascii="Times New Roman" w:hAnsi="Times New Roman" w:cs="Times New Roman"/>
          <w:sz w:val="22"/>
        </w:rPr>
        <w:t>dotted line</w:t>
      </w:r>
      <w:r w:rsidR="008B74C8">
        <w:rPr>
          <w:rFonts w:ascii="Times New Roman" w:hAnsi="Times New Roman" w:cs="Times New Roman" w:hint="eastAsia"/>
          <w:sz w:val="22"/>
        </w:rPr>
        <w:t xml:space="preserve">) </w:t>
      </w:r>
      <w:r>
        <w:rPr>
          <w:rFonts w:ascii="Times New Roman" w:hAnsi="Times New Roman" w:cs="Times New Roman"/>
          <w:sz w:val="22"/>
        </w:rPr>
        <w:t>are adopted from literature</w:t>
      </w:r>
      <w:r w:rsidR="004D146A">
        <w:rPr>
          <w:rFonts w:ascii="Times New Roman" w:hAnsi="Times New Roman" w:cs="Times New Roman" w:hint="eastAsia"/>
          <w:sz w:val="22"/>
        </w:rPr>
        <w:t xml:space="preserve"> </w:t>
      </w:r>
      <w:r w:rsidR="004D146A">
        <w:rPr>
          <w:rFonts w:ascii="Times New Roman" w:hAnsi="Times New Roman" w:cs="Times New Roman"/>
          <w:sz w:val="22"/>
        </w:rPr>
        <w:fldChar w:fldCharType="begin"/>
      </w:r>
      <w:r w:rsidR="004D146A">
        <w:rPr>
          <w:rFonts w:ascii="Times New Roman" w:hAnsi="Times New Roman" w:cs="Times New Roman"/>
          <w:sz w:val="22"/>
        </w:rPr>
        <w:instrText xml:space="preserve"> ADDIN ZOTERO_ITEM CSL_CITATION {"citationID":"QUIOq4Id","properties":{"formattedCitation":"(1)","plainCitation":"(1)","noteIndex":0},"citationItems":[{"id":2,"uris":["http://zotero.org/users/15150794/items/579IILI2"],"itemData":{"id":2,"type":"article-journal","abstract":"Purpose The circulation of cerebrospinal fluid (CSF) is closely associated with many aspects of brain physiology. When gadolinium(Gd)-based contrast is administered intravenously, pre- and post-contrast MR signal changes can often be observed in the CSF at certain locations within the intra-cranial space, mainly due to the lack of a blood-brain barrier in the dural blood vessels. This study aims to develop and systemically optimize MRI sequences that can detect dynamic signal changes in the CSF after Gd administration with a sub-millimeter spatial resolution, a temporal resolution of &lt;10 s, and whole brain coverage. Methods Bloch simulations were performed to determine optimal imaging parameters for maximum CSF contrast before and after Gd injection. Simulations were validated with phantom scans. An optimized turbo-spin-echo (TSE) sequence was performed on healthy volunteers on 3T and 7T. Results Simulation results agreed well with phantom scans. In human scans, dynamic signal changes after Gd injection in the CSF were detected at several locations where cerebral lymphatic vessels were identified in previous studies. The concentration of Gd in CSF in these regions was estimated to be approximately 0.2 mmol/L. Conclusion Dynamic signal changes induced by the distribution of Gd in the CSF can be detected in healthy human subjects with an optimized TSE sequence. The proposed methodology does not rely on any particular theory on CSF circulation. We expect it to be useful for studies on CSF circulation and cerebral lymphatic vessels in the brain.","container-title":"Magnetic Resonance in Medicine","DOI":"10.1002/mrm.28389","ISSN":"1522-2594","issue":"6","language":"en","license":"© 2020 International Society for Magnetic Resonance in Medicine","note":"_eprint: https://onlinelibrary.wiley.com/doi/pdf/10.1002/mrm.28389","page":"3256-3270","source":"Wiley Online Library","title":"Fast whole brain MR imaging of dynamic susceptibility contrast changes in the cerebrospinal fluid (cDSC MRI)","volume":"84","author":[{"family":"Cao","given":"Di"},{"family":"Kang","given":"Ningdong"},{"family":"Pillai","given":"Jay J."},{"family":"Miao","given":"Xinyuan"},{"family":"Paez","given":"Adrian"},{"family":"Xu","given":"Xiang"},{"family":"Xu","given":"Jiadi"},{"family":"Li","given":"Xu"},{"family":"Qin","given":"Qin"},{"family":"Van Zijl","given":"Peter C. M."},{"family":"Barker","given":"Peter"},{"family":"Hua","given":"Jun"}],"issued":{"date-parts":[["2020"]]}}}],"schema":"https://github.com/citation-style-language/schema/raw/master/csl-citation.json"} </w:instrText>
      </w:r>
      <w:r w:rsidR="004D146A">
        <w:rPr>
          <w:rFonts w:ascii="Times New Roman" w:hAnsi="Times New Roman" w:cs="Times New Roman"/>
          <w:sz w:val="22"/>
        </w:rPr>
        <w:fldChar w:fldCharType="separate"/>
      </w:r>
      <w:r w:rsidR="004D146A" w:rsidRPr="004D146A">
        <w:rPr>
          <w:rFonts w:ascii="Times New Roman" w:hAnsi="Times New Roman" w:cs="Times New Roman"/>
          <w:sz w:val="22"/>
        </w:rPr>
        <w:t>(1)</w:t>
      </w:r>
      <w:r w:rsidR="004D146A">
        <w:rPr>
          <w:rFonts w:ascii="Times New Roman" w:hAnsi="Times New Roman" w:cs="Times New Roman"/>
          <w:sz w:val="22"/>
        </w:rPr>
        <w:fldChar w:fldCharType="end"/>
      </w:r>
      <w:r>
        <w:rPr>
          <w:rFonts w:ascii="Times New Roman" w:hAnsi="Times New Roman" w:cs="Times New Roman"/>
          <w:sz w:val="22"/>
        </w:rPr>
        <w:t>.</w:t>
      </w:r>
      <w:r w:rsidRPr="009E791E">
        <w:t xml:space="preserve"> </w:t>
      </w:r>
      <w:r w:rsidRPr="009E791E">
        <w:rPr>
          <w:rFonts w:ascii="Times New Roman" w:hAnsi="Times New Roman" w:cs="Times New Roman"/>
          <w:sz w:val="22"/>
        </w:rPr>
        <w:t xml:space="preserve">The T1 and T2 values of CSF-like fluids in the extracranial regions are expected to be </w:t>
      </w:r>
      <w:r w:rsidRPr="009E791E">
        <w:rPr>
          <w:rFonts w:ascii="Times New Roman" w:hAnsi="Times New Roman" w:cs="Times New Roman"/>
          <w:sz w:val="22"/>
        </w:rPr>
        <w:lastRenderedPageBreak/>
        <w:t>shorter.</w:t>
      </w:r>
      <w:r w:rsidR="00B05FB3" w:rsidRPr="00B05FB3">
        <w:rPr>
          <w:rFonts w:ascii="Times New Roman" w:hAnsi="Times New Roman" w:cs="Times New Roman"/>
          <w:sz w:val="22"/>
        </w:rPr>
        <w:t xml:space="preserve"> </w:t>
      </w:r>
      <w:r w:rsidR="00B05FB3">
        <w:rPr>
          <w:rFonts w:ascii="Times New Roman" w:hAnsi="Times New Roman" w:cs="Times New Roman"/>
          <w:sz w:val="22"/>
        </w:rPr>
        <w:t>In (</w:t>
      </w:r>
      <w:proofErr w:type="spellStart"/>
      <w:proofErr w:type="gramStart"/>
      <w:r w:rsidR="00B05FB3">
        <w:rPr>
          <w:rFonts w:ascii="Times New Roman" w:hAnsi="Times New Roman" w:cs="Times New Roman"/>
          <w:sz w:val="22"/>
        </w:rPr>
        <w:t>a,c</w:t>
      </w:r>
      <w:proofErr w:type="gramEnd"/>
      <w:r w:rsidR="00B05FB3">
        <w:rPr>
          <w:rFonts w:ascii="Times New Roman" w:hAnsi="Times New Roman" w:cs="Times New Roman"/>
          <w:sz w:val="22"/>
        </w:rPr>
        <w:t>,</w:t>
      </w:r>
      <w:proofErr w:type="gramStart"/>
      <w:r w:rsidR="00B05FB3">
        <w:rPr>
          <w:rFonts w:ascii="Times New Roman" w:hAnsi="Times New Roman" w:cs="Times New Roman"/>
          <w:sz w:val="22"/>
        </w:rPr>
        <w:t>e,g</w:t>
      </w:r>
      <w:proofErr w:type="spellEnd"/>
      <w:proofErr w:type="gramEnd"/>
      <w:r w:rsidR="00B05FB3">
        <w:rPr>
          <w:rFonts w:ascii="Times New Roman" w:hAnsi="Times New Roman" w:cs="Times New Roman"/>
          <w:sz w:val="22"/>
        </w:rPr>
        <w:t>), the fluid T2 value was fixed at intracranial CSF T2 in the simulations. In (</w:t>
      </w:r>
      <w:proofErr w:type="spellStart"/>
      <w:proofErr w:type="gramStart"/>
      <w:r w:rsidR="00B05FB3">
        <w:rPr>
          <w:rFonts w:ascii="Times New Roman" w:hAnsi="Times New Roman" w:cs="Times New Roman"/>
          <w:sz w:val="22"/>
        </w:rPr>
        <w:t>b,d</w:t>
      </w:r>
      <w:proofErr w:type="gramEnd"/>
      <w:r w:rsidR="00B05FB3">
        <w:rPr>
          <w:rFonts w:ascii="Times New Roman" w:hAnsi="Times New Roman" w:cs="Times New Roman"/>
          <w:sz w:val="22"/>
        </w:rPr>
        <w:t>,</w:t>
      </w:r>
      <w:proofErr w:type="gramStart"/>
      <w:r w:rsidR="00B05FB3">
        <w:rPr>
          <w:rFonts w:ascii="Times New Roman" w:hAnsi="Times New Roman" w:cs="Times New Roman"/>
          <w:sz w:val="22"/>
        </w:rPr>
        <w:t>f,h</w:t>
      </w:r>
      <w:proofErr w:type="spellEnd"/>
      <w:proofErr w:type="gramEnd"/>
      <w:r w:rsidR="00B05FB3">
        <w:rPr>
          <w:rFonts w:ascii="Times New Roman" w:hAnsi="Times New Roman" w:cs="Times New Roman"/>
          <w:sz w:val="22"/>
        </w:rPr>
        <w:t>), the fluid T1 value was fixed at intracranial CSF T1 in the simulations.</w:t>
      </w:r>
    </w:p>
    <w:p w14:paraId="21F897D4" w14:textId="77777777" w:rsidR="006F1768" w:rsidRDefault="006F1768" w:rsidP="00C902D8">
      <w:pPr>
        <w:rPr>
          <w:rFonts w:ascii="Times New Roman" w:hAnsi="Times New Roman" w:cs="Times New Roman"/>
        </w:rPr>
      </w:pPr>
    </w:p>
    <w:p w14:paraId="62D9A933" w14:textId="46342B3A" w:rsidR="00191C39" w:rsidRPr="00C902D8" w:rsidRDefault="00191C39" w:rsidP="00C902D8">
      <w:pPr>
        <w:rPr>
          <w:rFonts w:ascii="Times New Roman" w:hAnsi="Times New Roman" w:cs="Times New Roman"/>
        </w:rPr>
      </w:pPr>
      <w:r w:rsidRPr="0000145F">
        <w:rPr>
          <w:rFonts w:ascii="Times New Roman" w:hAnsi="Times New Roman"/>
          <w:b/>
        </w:rPr>
        <w:t>References</w:t>
      </w:r>
    </w:p>
    <w:p w14:paraId="1F08D6F2" w14:textId="77777777" w:rsidR="004D146A" w:rsidRPr="004D146A" w:rsidRDefault="004D146A" w:rsidP="004D146A">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Pr="004D146A">
        <w:rPr>
          <w:rFonts w:ascii="Times New Roman" w:hAnsi="Times New Roman" w:cs="Times New Roman"/>
        </w:rPr>
        <w:t>1.</w:t>
      </w:r>
      <w:r w:rsidRPr="004D146A">
        <w:rPr>
          <w:rFonts w:ascii="Times New Roman" w:hAnsi="Times New Roman" w:cs="Times New Roman"/>
        </w:rPr>
        <w:tab/>
        <w:t xml:space="preserve">Cao D, Kang N, Pillai JJ, Miao X, Paez A, Xu X, et al. Fast whole brain MR imaging of dynamic susceptibility contrast changes in the cerebrospinal fluid (cDSC MRI). Magn Reson Med. 2020;84(6):3256–70. </w:t>
      </w:r>
    </w:p>
    <w:p w14:paraId="672122D0" w14:textId="5A6EB4E2" w:rsidR="00B7452B" w:rsidRPr="0000145F" w:rsidRDefault="004D146A" w:rsidP="00695AD3">
      <w:pPr>
        <w:pStyle w:val="Bibliography"/>
        <w:rPr>
          <w:rFonts w:ascii="Times New Roman" w:hAnsi="Times New Roman" w:cs="Times New Roman"/>
        </w:rPr>
      </w:pPr>
      <w:r w:rsidRPr="004D146A">
        <w:rPr>
          <w:rFonts w:ascii="Times New Roman" w:hAnsi="Times New Roman" w:cs="Times New Roman"/>
        </w:rPr>
        <w:t>2.</w:t>
      </w:r>
      <w:r w:rsidRPr="004D146A">
        <w:rPr>
          <w:rFonts w:ascii="Times New Roman" w:hAnsi="Times New Roman" w:cs="Times New Roman"/>
        </w:rPr>
        <w:tab/>
        <w:t xml:space="preserve">Melin E, Eide PK, Ringstad G. In vivo assessment of cerebrospinal fluid efflux to nasal mucosa in humans. Sci Rep. 2020 Sep 11;10(1):14974. </w:t>
      </w:r>
      <w:r>
        <w:rPr>
          <w:rFonts w:ascii="Times New Roman" w:hAnsi="Times New Roman" w:cs="Times New Roman"/>
        </w:rPr>
        <w:fldChar w:fldCharType="end"/>
      </w:r>
    </w:p>
    <w:sectPr w:rsidR="00B7452B" w:rsidRPr="0000145F" w:rsidSect="007235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E941" w14:textId="77777777" w:rsidR="008A64F6" w:rsidRDefault="008A64F6" w:rsidP="00907662">
      <w:r>
        <w:separator/>
      </w:r>
    </w:p>
  </w:endnote>
  <w:endnote w:type="continuationSeparator" w:id="0">
    <w:p w14:paraId="262233A8" w14:textId="77777777" w:rsidR="008A64F6" w:rsidRDefault="008A64F6" w:rsidP="0090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36297" w14:textId="77777777" w:rsidR="008A64F6" w:rsidRDefault="008A64F6" w:rsidP="00907662">
      <w:r>
        <w:separator/>
      </w:r>
    </w:p>
  </w:footnote>
  <w:footnote w:type="continuationSeparator" w:id="0">
    <w:p w14:paraId="127AADDA" w14:textId="77777777" w:rsidR="008A64F6" w:rsidRDefault="008A64F6" w:rsidP="00907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agnetic Res in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zfedxr3xdts2e9vdm5dzzqprx9rpvwwes5&quot;&gt;Hua091011&lt;record-ids&gt;&lt;item&gt;2047&lt;/item&gt;&lt;item&gt;2290&lt;/item&gt;&lt;/record-ids&gt;&lt;/item&gt;&lt;/Libraries&gt;"/>
  </w:docVars>
  <w:rsids>
    <w:rsidRoot w:val="00F5788B"/>
    <w:rsid w:val="0000145F"/>
    <w:rsid w:val="0003037C"/>
    <w:rsid w:val="000351A0"/>
    <w:rsid w:val="00046F3E"/>
    <w:rsid w:val="0005076D"/>
    <w:rsid w:val="00050CAC"/>
    <w:rsid w:val="00056538"/>
    <w:rsid w:val="00076AF7"/>
    <w:rsid w:val="00095C3A"/>
    <w:rsid w:val="000973BD"/>
    <w:rsid w:val="000A342C"/>
    <w:rsid w:val="000D4D84"/>
    <w:rsid w:val="000F2974"/>
    <w:rsid w:val="00112CB5"/>
    <w:rsid w:val="0012120F"/>
    <w:rsid w:val="00126770"/>
    <w:rsid w:val="00175BA2"/>
    <w:rsid w:val="0018595E"/>
    <w:rsid w:val="00191C39"/>
    <w:rsid w:val="00191EB3"/>
    <w:rsid w:val="00192EB5"/>
    <w:rsid w:val="001A2C24"/>
    <w:rsid w:val="001A53F6"/>
    <w:rsid w:val="001A6D69"/>
    <w:rsid w:val="001E0E53"/>
    <w:rsid w:val="001E3D08"/>
    <w:rsid w:val="001F0E26"/>
    <w:rsid w:val="001F404A"/>
    <w:rsid w:val="001F542D"/>
    <w:rsid w:val="00205DF0"/>
    <w:rsid w:val="00215F41"/>
    <w:rsid w:val="002169DD"/>
    <w:rsid w:val="0024374B"/>
    <w:rsid w:val="00251C27"/>
    <w:rsid w:val="0025268E"/>
    <w:rsid w:val="00267751"/>
    <w:rsid w:val="002727AA"/>
    <w:rsid w:val="00285564"/>
    <w:rsid w:val="00297191"/>
    <w:rsid w:val="002B0715"/>
    <w:rsid w:val="002C18FF"/>
    <w:rsid w:val="002C61C1"/>
    <w:rsid w:val="002D634A"/>
    <w:rsid w:val="002F4471"/>
    <w:rsid w:val="003060DA"/>
    <w:rsid w:val="00316503"/>
    <w:rsid w:val="00317055"/>
    <w:rsid w:val="0032146A"/>
    <w:rsid w:val="0032221E"/>
    <w:rsid w:val="00322C68"/>
    <w:rsid w:val="00330440"/>
    <w:rsid w:val="00331116"/>
    <w:rsid w:val="003400BB"/>
    <w:rsid w:val="00346FED"/>
    <w:rsid w:val="0036247E"/>
    <w:rsid w:val="00364672"/>
    <w:rsid w:val="00367275"/>
    <w:rsid w:val="00382789"/>
    <w:rsid w:val="003925DC"/>
    <w:rsid w:val="00394B2C"/>
    <w:rsid w:val="003B113E"/>
    <w:rsid w:val="003B3818"/>
    <w:rsid w:val="003C46D3"/>
    <w:rsid w:val="003D5FA7"/>
    <w:rsid w:val="003F629A"/>
    <w:rsid w:val="00406F57"/>
    <w:rsid w:val="00412167"/>
    <w:rsid w:val="00412D1E"/>
    <w:rsid w:val="00413E29"/>
    <w:rsid w:val="00420F48"/>
    <w:rsid w:val="00424A4A"/>
    <w:rsid w:val="004661CC"/>
    <w:rsid w:val="004718ED"/>
    <w:rsid w:val="00484B3F"/>
    <w:rsid w:val="004A3415"/>
    <w:rsid w:val="004C33D5"/>
    <w:rsid w:val="004C3675"/>
    <w:rsid w:val="004C5832"/>
    <w:rsid w:val="004D03C5"/>
    <w:rsid w:val="004D1056"/>
    <w:rsid w:val="004D146A"/>
    <w:rsid w:val="004E39B5"/>
    <w:rsid w:val="004E5E52"/>
    <w:rsid w:val="004E692F"/>
    <w:rsid w:val="004F2E48"/>
    <w:rsid w:val="00501319"/>
    <w:rsid w:val="00507813"/>
    <w:rsid w:val="0051489B"/>
    <w:rsid w:val="0051541A"/>
    <w:rsid w:val="00515F9C"/>
    <w:rsid w:val="005300D9"/>
    <w:rsid w:val="00530839"/>
    <w:rsid w:val="00561CEF"/>
    <w:rsid w:val="00572784"/>
    <w:rsid w:val="00583A05"/>
    <w:rsid w:val="005A124E"/>
    <w:rsid w:val="005C5B75"/>
    <w:rsid w:val="005C668B"/>
    <w:rsid w:val="005D025B"/>
    <w:rsid w:val="005D44A7"/>
    <w:rsid w:val="005D5076"/>
    <w:rsid w:val="005F6577"/>
    <w:rsid w:val="005F7E9B"/>
    <w:rsid w:val="00602C76"/>
    <w:rsid w:val="00611923"/>
    <w:rsid w:val="00652F78"/>
    <w:rsid w:val="0068651A"/>
    <w:rsid w:val="00686687"/>
    <w:rsid w:val="00691688"/>
    <w:rsid w:val="00695AD3"/>
    <w:rsid w:val="006A1E34"/>
    <w:rsid w:val="006A72E1"/>
    <w:rsid w:val="006A72FF"/>
    <w:rsid w:val="006B127E"/>
    <w:rsid w:val="006B1D6A"/>
    <w:rsid w:val="006C7E44"/>
    <w:rsid w:val="006D55C7"/>
    <w:rsid w:val="006E0E1B"/>
    <w:rsid w:val="006E269B"/>
    <w:rsid w:val="006E476B"/>
    <w:rsid w:val="006E6B02"/>
    <w:rsid w:val="006F1768"/>
    <w:rsid w:val="007077C2"/>
    <w:rsid w:val="0071115A"/>
    <w:rsid w:val="007235ED"/>
    <w:rsid w:val="007271A8"/>
    <w:rsid w:val="00731FC2"/>
    <w:rsid w:val="0073700B"/>
    <w:rsid w:val="00740ACF"/>
    <w:rsid w:val="00750233"/>
    <w:rsid w:val="0075023A"/>
    <w:rsid w:val="007548F9"/>
    <w:rsid w:val="0076179F"/>
    <w:rsid w:val="0078331E"/>
    <w:rsid w:val="00795C18"/>
    <w:rsid w:val="007A2A95"/>
    <w:rsid w:val="007D1A55"/>
    <w:rsid w:val="007D6628"/>
    <w:rsid w:val="007E2F2C"/>
    <w:rsid w:val="007E7E88"/>
    <w:rsid w:val="00802941"/>
    <w:rsid w:val="00806E1F"/>
    <w:rsid w:val="0081106B"/>
    <w:rsid w:val="00827D23"/>
    <w:rsid w:val="008358EA"/>
    <w:rsid w:val="00837511"/>
    <w:rsid w:val="00842311"/>
    <w:rsid w:val="00860E11"/>
    <w:rsid w:val="0086199E"/>
    <w:rsid w:val="008701DF"/>
    <w:rsid w:val="008742F6"/>
    <w:rsid w:val="00894296"/>
    <w:rsid w:val="008A64F6"/>
    <w:rsid w:val="008B74C8"/>
    <w:rsid w:val="008C1E52"/>
    <w:rsid w:val="008D49D4"/>
    <w:rsid w:val="00900FF4"/>
    <w:rsid w:val="00907662"/>
    <w:rsid w:val="00922EE9"/>
    <w:rsid w:val="009465AF"/>
    <w:rsid w:val="00962816"/>
    <w:rsid w:val="00964134"/>
    <w:rsid w:val="00984A20"/>
    <w:rsid w:val="0099159F"/>
    <w:rsid w:val="009A22D6"/>
    <w:rsid w:val="009B4460"/>
    <w:rsid w:val="009C210B"/>
    <w:rsid w:val="009C5DBC"/>
    <w:rsid w:val="009E170C"/>
    <w:rsid w:val="009E791E"/>
    <w:rsid w:val="00A01699"/>
    <w:rsid w:val="00A50B82"/>
    <w:rsid w:val="00A52CA5"/>
    <w:rsid w:val="00A55429"/>
    <w:rsid w:val="00A5773A"/>
    <w:rsid w:val="00A669DB"/>
    <w:rsid w:val="00A70478"/>
    <w:rsid w:val="00A7659C"/>
    <w:rsid w:val="00A76D95"/>
    <w:rsid w:val="00A92E0A"/>
    <w:rsid w:val="00AA0CE2"/>
    <w:rsid w:val="00AB0F67"/>
    <w:rsid w:val="00AB152B"/>
    <w:rsid w:val="00AC00E9"/>
    <w:rsid w:val="00AC075F"/>
    <w:rsid w:val="00B019D0"/>
    <w:rsid w:val="00B05E4D"/>
    <w:rsid w:val="00B05FB3"/>
    <w:rsid w:val="00B16279"/>
    <w:rsid w:val="00B370BF"/>
    <w:rsid w:val="00B517BB"/>
    <w:rsid w:val="00B539EA"/>
    <w:rsid w:val="00B606DF"/>
    <w:rsid w:val="00B7452B"/>
    <w:rsid w:val="00B75236"/>
    <w:rsid w:val="00B910BE"/>
    <w:rsid w:val="00BA3404"/>
    <w:rsid w:val="00BA6445"/>
    <w:rsid w:val="00BB1390"/>
    <w:rsid w:val="00BB38E7"/>
    <w:rsid w:val="00BC15AB"/>
    <w:rsid w:val="00BC1CE0"/>
    <w:rsid w:val="00BF4159"/>
    <w:rsid w:val="00C03F48"/>
    <w:rsid w:val="00C11594"/>
    <w:rsid w:val="00C15C6A"/>
    <w:rsid w:val="00C241EC"/>
    <w:rsid w:val="00C35233"/>
    <w:rsid w:val="00C355E6"/>
    <w:rsid w:val="00C468C5"/>
    <w:rsid w:val="00C47C32"/>
    <w:rsid w:val="00C50A48"/>
    <w:rsid w:val="00C5372B"/>
    <w:rsid w:val="00C62190"/>
    <w:rsid w:val="00C675BD"/>
    <w:rsid w:val="00C902D8"/>
    <w:rsid w:val="00CC0517"/>
    <w:rsid w:val="00CC4299"/>
    <w:rsid w:val="00CD31A2"/>
    <w:rsid w:val="00CE45AD"/>
    <w:rsid w:val="00CE66B6"/>
    <w:rsid w:val="00CF2287"/>
    <w:rsid w:val="00CF649A"/>
    <w:rsid w:val="00D00864"/>
    <w:rsid w:val="00D03CE4"/>
    <w:rsid w:val="00D10304"/>
    <w:rsid w:val="00D119E4"/>
    <w:rsid w:val="00D241FA"/>
    <w:rsid w:val="00D26456"/>
    <w:rsid w:val="00D2645D"/>
    <w:rsid w:val="00D27322"/>
    <w:rsid w:val="00D322AD"/>
    <w:rsid w:val="00D43451"/>
    <w:rsid w:val="00D663CC"/>
    <w:rsid w:val="00D75EEC"/>
    <w:rsid w:val="00DB7590"/>
    <w:rsid w:val="00DC50C9"/>
    <w:rsid w:val="00DE7462"/>
    <w:rsid w:val="00DF0AA4"/>
    <w:rsid w:val="00E041D9"/>
    <w:rsid w:val="00E060C5"/>
    <w:rsid w:val="00E13073"/>
    <w:rsid w:val="00E16EDA"/>
    <w:rsid w:val="00E21E15"/>
    <w:rsid w:val="00E259C2"/>
    <w:rsid w:val="00E57243"/>
    <w:rsid w:val="00E74237"/>
    <w:rsid w:val="00E82D9B"/>
    <w:rsid w:val="00E9373D"/>
    <w:rsid w:val="00E94B0F"/>
    <w:rsid w:val="00EB4106"/>
    <w:rsid w:val="00EF066A"/>
    <w:rsid w:val="00F05216"/>
    <w:rsid w:val="00F42F4C"/>
    <w:rsid w:val="00F5788B"/>
    <w:rsid w:val="00F6421A"/>
    <w:rsid w:val="00F72838"/>
    <w:rsid w:val="00F77348"/>
    <w:rsid w:val="00F8364F"/>
    <w:rsid w:val="00F94957"/>
    <w:rsid w:val="00FB39FA"/>
    <w:rsid w:val="00FB454B"/>
    <w:rsid w:val="00FC6837"/>
    <w:rsid w:val="00FD6C3F"/>
    <w:rsid w:val="00FF4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F3E418"/>
  <w15:chartTrackingRefBased/>
  <w15:docId w15:val="{64028155-D85C-2441-A99C-FB4F5FA9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88B"/>
    <w:rPr>
      <w:color w:val="808080"/>
    </w:rPr>
  </w:style>
  <w:style w:type="paragraph" w:customStyle="1" w:styleId="EndNoteBibliographyTitle">
    <w:name w:val="EndNote Bibliography Title"/>
    <w:basedOn w:val="Normal"/>
    <w:link w:val="EndNoteBibliographyTitleChar"/>
    <w:rsid w:val="00191C39"/>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91C39"/>
    <w:rPr>
      <w:rFonts w:ascii="Calibri" w:hAnsi="Calibri"/>
      <w:noProof/>
    </w:rPr>
  </w:style>
  <w:style w:type="paragraph" w:customStyle="1" w:styleId="EndNoteBibliography">
    <w:name w:val="EndNote Bibliography"/>
    <w:basedOn w:val="Normal"/>
    <w:link w:val="EndNoteBibliographyChar"/>
    <w:rsid w:val="00191C39"/>
    <w:rPr>
      <w:rFonts w:ascii="Calibri" w:hAnsi="Calibri"/>
      <w:noProof/>
    </w:rPr>
  </w:style>
  <w:style w:type="character" w:customStyle="1" w:styleId="EndNoteBibliographyChar">
    <w:name w:val="EndNote Bibliography Char"/>
    <w:basedOn w:val="DefaultParagraphFont"/>
    <w:link w:val="EndNoteBibliography"/>
    <w:rsid w:val="00191C39"/>
    <w:rPr>
      <w:rFonts w:ascii="Calibri" w:hAnsi="Calibri"/>
      <w:noProof/>
    </w:rPr>
  </w:style>
  <w:style w:type="paragraph" w:customStyle="1" w:styleId="CM7">
    <w:name w:val="CM7"/>
    <w:basedOn w:val="Normal"/>
    <w:next w:val="Normal"/>
    <w:rsid w:val="00191C39"/>
    <w:pPr>
      <w:widowControl w:val="0"/>
      <w:autoSpaceDE w:val="0"/>
      <w:autoSpaceDN w:val="0"/>
      <w:adjustRightInd w:val="0"/>
      <w:spacing w:after="113"/>
    </w:pPr>
    <w:rPr>
      <w:rFonts w:ascii="Arial" w:eastAsia="Times New Roman" w:hAnsi="Arial" w:cs="Times New Roman"/>
      <w:szCs w:val="20"/>
    </w:rPr>
  </w:style>
  <w:style w:type="paragraph" w:styleId="ListParagraph">
    <w:name w:val="List Paragraph"/>
    <w:basedOn w:val="Normal"/>
    <w:uiPriority w:val="34"/>
    <w:qFormat/>
    <w:rsid w:val="00AA0CE2"/>
    <w:pPr>
      <w:ind w:left="720"/>
      <w:contextualSpacing/>
    </w:pPr>
  </w:style>
  <w:style w:type="paragraph" w:styleId="BalloonText">
    <w:name w:val="Balloon Text"/>
    <w:basedOn w:val="Normal"/>
    <w:link w:val="BalloonTextChar"/>
    <w:uiPriority w:val="99"/>
    <w:semiHidden/>
    <w:unhideWhenUsed/>
    <w:rsid w:val="003400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0BB"/>
    <w:rPr>
      <w:rFonts w:ascii="Segoe UI" w:hAnsi="Segoe UI" w:cs="Segoe UI"/>
      <w:sz w:val="18"/>
      <w:szCs w:val="18"/>
    </w:rPr>
  </w:style>
  <w:style w:type="character" w:styleId="CommentReference">
    <w:name w:val="annotation reference"/>
    <w:basedOn w:val="DefaultParagraphFont"/>
    <w:uiPriority w:val="99"/>
    <w:semiHidden/>
    <w:unhideWhenUsed/>
    <w:rsid w:val="003400BB"/>
    <w:rPr>
      <w:sz w:val="16"/>
      <w:szCs w:val="16"/>
    </w:rPr>
  </w:style>
  <w:style w:type="paragraph" w:styleId="CommentText">
    <w:name w:val="annotation text"/>
    <w:basedOn w:val="Normal"/>
    <w:link w:val="CommentTextChar"/>
    <w:uiPriority w:val="99"/>
    <w:semiHidden/>
    <w:unhideWhenUsed/>
    <w:rsid w:val="003400BB"/>
    <w:rPr>
      <w:sz w:val="20"/>
      <w:szCs w:val="20"/>
    </w:rPr>
  </w:style>
  <w:style w:type="character" w:customStyle="1" w:styleId="CommentTextChar">
    <w:name w:val="Comment Text Char"/>
    <w:basedOn w:val="DefaultParagraphFont"/>
    <w:link w:val="CommentText"/>
    <w:uiPriority w:val="99"/>
    <w:semiHidden/>
    <w:rsid w:val="003400BB"/>
    <w:rPr>
      <w:sz w:val="20"/>
      <w:szCs w:val="20"/>
    </w:rPr>
  </w:style>
  <w:style w:type="paragraph" w:styleId="CommentSubject">
    <w:name w:val="annotation subject"/>
    <w:basedOn w:val="CommentText"/>
    <w:next w:val="CommentText"/>
    <w:link w:val="CommentSubjectChar"/>
    <w:uiPriority w:val="99"/>
    <w:semiHidden/>
    <w:unhideWhenUsed/>
    <w:rsid w:val="003400BB"/>
    <w:rPr>
      <w:b/>
      <w:bCs/>
    </w:rPr>
  </w:style>
  <w:style w:type="character" w:customStyle="1" w:styleId="CommentSubjectChar">
    <w:name w:val="Comment Subject Char"/>
    <w:basedOn w:val="CommentTextChar"/>
    <w:link w:val="CommentSubject"/>
    <w:uiPriority w:val="99"/>
    <w:semiHidden/>
    <w:rsid w:val="003400BB"/>
    <w:rPr>
      <w:b/>
      <w:bCs/>
      <w:sz w:val="20"/>
      <w:szCs w:val="20"/>
    </w:rPr>
  </w:style>
  <w:style w:type="paragraph" w:styleId="Revision">
    <w:name w:val="Revision"/>
    <w:hidden/>
    <w:uiPriority w:val="99"/>
    <w:semiHidden/>
    <w:rsid w:val="00C11594"/>
  </w:style>
  <w:style w:type="paragraph" w:styleId="Header">
    <w:name w:val="header"/>
    <w:basedOn w:val="Normal"/>
    <w:link w:val="HeaderChar"/>
    <w:uiPriority w:val="99"/>
    <w:unhideWhenUsed/>
    <w:rsid w:val="0090766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07662"/>
    <w:rPr>
      <w:sz w:val="18"/>
      <w:szCs w:val="18"/>
    </w:rPr>
  </w:style>
  <w:style w:type="paragraph" w:styleId="Footer">
    <w:name w:val="footer"/>
    <w:basedOn w:val="Normal"/>
    <w:link w:val="FooterChar"/>
    <w:uiPriority w:val="99"/>
    <w:unhideWhenUsed/>
    <w:rsid w:val="0090766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07662"/>
    <w:rPr>
      <w:sz w:val="18"/>
      <w:szCs w:val="18"/>
    </w:rPr>
  </w:style>
  <w:style w:type="paragraph" w:styleId="Bibliography">
    <w:name w:val="Bibliography"/>
    <w:basedOn w:val="Normal"/>
    <w:next w:val="Normal"/>
    <w:uiPriority w:val="37"/>
    <w:unhideWhenUsed/>
    <w:rsid w:val="004D146A"/>
    <w:pPr>
      <w:tabs>
        <w:tab w:val="left" w:pos="264"/>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43355">
      <w:bodyDiv w:val="1"/>
      <w:marLeft w:val="0"/>
      <w:marRight w:val="0"/>
      <w:marTop w:val="0"/>
      <w:marBottom w:val="0"/>
      <w:divBdr>
        <w:top w:val="none" w:sz="0" w:space="0" w:color="auto"/>
        <w:left w:val="none" w:sz="0" w:space="0" w:color="auto"/>
        <w:bottom w:val="none" w:sz="0" w:space="0" w:color="auto"/>
        <w:right w:val="none" w:sz="0" w:space="0" w:color="auto"/>
      </w:divBdr>
    </w:div>
    <w:div w:id="531311063">
      <w:bodyDiv w:val="1"/>
      <w:marLeft w:val="0"/>
      <w:marRight w:val="0"/>
      <w:marTop w:val="0"/>
      <w:marBottom w:val="0"/>
      <w:divBdr>
        <w:top w:val="none" w:sz="0" w:space="0" w:color="auto"/>
        <w:left w:val="none" w:sz="0" w:space="0" w:color="auto"/>
        <w:bottom w:val="none" w:sz="0" w:space="0" w:color="auto"/>
        <w:right w:val="none" w:sz="0" w:space="0" w:color="auto"/>
      </w:divBdr>
    </w:div>
    <w:div w:id="760949862">
      <w:bodyDiv w:val="1"/>
      <w:marLeft w:val="0"/>
      <w:marRight w:val="0"/>
      <w:marTop w:val="0"/>
      <w:marBottom w:val="0"/>
      <w:divBdr>
        <w:top w:val="none" w:sz="0" w:space="0" w:color="auto"/>
        <w:left w:val="none" w:sz="0" w:space="0" w:color="auto"/>
        <w:bottom w:val="none" w:sz="0" w:space="0" w:color="auto"/>
        <w:right w:val="none" w:sz="0" w:space="0" w:color="auto"/>
      </w:divBdr>
    </w:div>
    <w:div w:id="798650526">
      <w:bodyDiv w:val="1"/>
      <w:marLeft w:val="0"/>
      <w:marRight w:val="0"/>
      <w:marTop w:val="0"/>
      <w:marBottom w:val="0"/>
      <w:divBdr>
        <w:top w:val="none" w:sz="0" w:space="0" w:color="auto"/>
        <w:left w:val="none" w:sz="0" w:space="0" w:color="auto"/>
        <w:bottom w:val="none" w:sz="0" w:space="0" w:color="auto"/>
        <w:right w:val="none" w:sz="0" w:space="0" w:color="auto"/>
      </w:divBdr>
    </w:div>
    <w:div w:id="813985673">
      <w:bodyDiv w:val="1"/>
      <w:marLeft w:val="0"/>
      <w:marRight w:val="0"/>
      <w:marTop w:val="0"/>
      <w:marBottom w:val="0"/>
      <w:divBdr>
        <w:top w:val="none" w:sz="0" w:space="0" w:color="auto"/>
        <w:left w:val="none" w:sz="0" w:space="0" w:color="auto"/>
        <w:bottom w:val="none" w:sz="0" w:space="0" w:color="auto"/>
        <w:right w:val="none" w:sz="0" w:space="0" w:color="auto"/>
      </w:divBdr>
    </w:div>
    <w:div w:id="836845879">
      <w:bodyDiv w:val="1"/>
      <w:marLeft w:val="0"/>
      <w:marRight w:val="0"/>
      <w:marTop w:val="0"/>
      <w:marBottom w:val="0"/>
      <w:divBdr>
        <w:top w:val="none" w:sz="0" w:space="0" w:color="auto"/>
        <w:left w:val="none" w:sz="0" w:space="0" w:color="auto"/>
        <w:bottom w:val="none" w:sz="0" w:space="0" w:color="auto"/>
        <w:right w:val="none" w:sz="0" w:space="0" w:color="auto"/>
      </w:divBdr>
    </w:div>
    <w:div w:id="911505367">
      <w:bodyDiv w:val="1"/>
      <w:marLeft w:val="0"/>
      <w:marRight w:val="0"/>
      <w:marTop w:val="0"/>
      <w:marBottom w:val="0"/>
      <w:divBdr>
        <w:top w:val="none" w:sz="0" w:space="0" w:color="auto"/>
        <w:left w:val="none" w:sz="0" w:space="0" w:color="auto"/>
        <w:bottom w:val="none" w:sz="0" w:space="0" w:color="auto"/>
        <w:right w:val="none" w:sz="0" w:space="0" w:color="auto"/>
      </w:divBdr>
    </w:div>
    <w:div w:id="1052457431">
      <w:bodyDiv w:val="1"/>
      <w:marLeft w:val="0"/>
      <w:marRight w:val="0"/>
      <w:marTop w:val="0"/>
      <w:marBottom w:val="0"/>
      <w:divBdr>
        <w:top w:val="none" w:sz="0" w:space="0" w:color="auto"/>
        <w:left w:val="none" w:sz="0" w:space="0" w:color="auto"/>
        <w:bottom w:val="none" w:sz="0" w:space="0" w:color="auto"/>
        <w:right w:val="none" w:sz="0" w:space="0" w:color="auto"/>
      </w:divBdr>
    </w:div>
    <w:div w:id="1087188314">
      <w:bodyDiv w:val="1"/>
      <w:marLeft w:val="0"/>
      <w:marRight w:val="0"/>
      <w:marTop w:val="0"/>
      <w:marBottom w:val="0"/>
      <w:divBdr>
        <w:top w:val="none" w:sz="0" w:space="0" w:color="auto"/>
        <w:left w:val="none" w:sz="0" w:space="0" w:color="auto"/>
        <w:bottom w:val="none" w:sz="0" w:space="0" w:color="auto"/>
        <w:right w:val="none" w:sz="0" w:space="0" w:color="auto"/>
      </w:divBdr>
    </w:div>
    <w:div w:id="1109852640">
      <w:bodyDiv w:val="1"/>
      <w:marLeft w:val="0"/>
      <w:marRight w:val="0"/>
      <w:marTop w:val="0"/>
      <w:marBottom w:val="0"/>
      <w:divBdr>
        <w:top w:val="none" w:sz="0" w:space="0" w:color="auto"/>
        <w:left w:val="none" w:sz="0" w:space="0" w:color="auto"/>
        <w:bottom w:val="none" w:sz="0" w:space="0" w:color="auto"/>
        <w:right w:val="none" w:sz="0" w:space="0" w:color="auto"/>
      </w:divBdr>
    </w:div>
    <w:div w:id="1474174755">
      <w:bodyDiv w:val="1"/>
      <w:marLeft w:val="0"/>
      <w:marRight w:val="0"/>
      <w:marTop w:val="0"/>
      <w:marBottom w:val="0"/>
      <w:divBdr>
        <w:top w:val="none" w:sz="0" w:space="0" w:color="auto"/>
        <w:left w:val="none" w:sz="0" w:space="0" w:color="auto"/>
        <w:bottom w:val="none" w:sz="0" w:space="0" w:color="auto"/>
        <w:right w:val="none" w:sz="0" w:space="0" w:color="auto"/>
      </w:divBdr>
    </w:div>
    <w:div w:id="1552187229">
      <w:bodyDiv w:val="1"/>
      <w:marLeft w:val="0"/>
      <w:marRight w:val="0"/>
      <w:marTop w:val="0"/>
      <w:marBottom w:val="0"/>
      <w:divBdr>
        <w:top w:val="none" w:sz="0" w:space="0" w:color="auto"/>
        <w:left w:val="none" w:sz="0" w:space="0" w:color="auto"/>
        <w:bottom w:val="none" w:sz="0" w:space="0" w:color="auto"/>
        <w:right w:val="none" w:sz="0" w:space="0" w:color="auto"/>
      </w:divBdr>
    </w:div>
    <w:div w:id="1658486527">
      <w:bodyDiv w:val="1"/>
      <w:marLeft w:val="0"/>
      <w:marRight w:val="0"/>
      <w:marTop w:val="0"/>
      <w:marBottom w:val="0"/>
      <w:divBdr>
        <w:top w:val="none" w:sz="0" w:space="0" w:color="auto"/>
        <w:left w:val="none" w:sz="0" w:space="0" w:color="auto"/>
        <w:bottom w:val="none" w:sz="0" w:space="0" w:color="auto"/>
        <w:right w:val="none" w:sz="0" w:space="0" w:color="auto"/>
      </w:divBdr>
    </w:div>
    <w:div w:id="1665818037">
      <w:bodyDiv w:val="1"/>
      <w:marLeft w:val="0"/>
      <w:marRight w:val="0"/>
      <w:marTop w:val="0"/>
      <w:marBottom w:val="0"/>
      <w:divBdr>
        <w:top w:val="none" w:sz="0" w:space="0" w:color="auto"/>
        <w:left w:val="none" w:sz="0" w:space="0" w:color="auto"/>
        <w:bottom w:val="none" w:sz="0" w:space="0" w:color="auto"/>
        <w:right w:val="none" w:sz="0" w:space="0" w:color="auto"/>
      </w:divBdr>
    </w:div>
    <w:div w:id="191820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3784</Words>
  <Characters>21573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Yinghao Li</dc:creator>
  <cp:keywords/>
  <dc:description/>
  <cp:lastModifiedBy>Xinyi Zhou</cp:lastModifiedBy>
  <cp:revision>3</cp:revision>
  <dcterms:created xsi:type="dcterms:W3CDTF">2025-06-30T22:22:00Z</dcterms:created>
  <dcterms:modified xsi:type="dcterms:W3CDTF">2025-06-30T22:23:00Z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id="sUzDRl5L"/&gt;&lt;style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