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328E" w14:textId="77777777" w:rsidR="00533C5A" w:rsidRDefault="00533C5A" w:rsidP="00533C5A">
      <w:pPr>
        <w:widowControl w:val="0"/>
        <w:spacing w:beforeLines="100" w:before="240" w:afterLines="50" w:after="120"/>
        <w:jc w:val="both"/>
        <w:rPr>
          <w:sz w:val="22"/>
        </w:rPr>
      </w:pPr>
      <w:r>
        <w:rPr>
          <w:rFonts w:ascii="Arial Unicode MS" w:eastAsiaTheme="minorEastAsia" w:hAnsi="Calibri" w:cs="Arial Unicode MS"/>
          <w:b/>
          <w:bCs/>
          <w:kern w:val="2"/>
          <w:sz w:val="22"/>
          <w:szCs w:val="22"/>
          <w:lang w:eastAsia="zh-CN"/>
        </w:rPr>
        <w:t>SUPPLEMENTARY FIGURES</w:t>
      </w:r>
    </w:p>
    <w:p w14:paraId="471F2EF4" w14:textId="77777777" w:rsidR="00533C5A" w:rsidRDefault="00533C5A" w:rsidP="00533C5A">
      <w:pPr>
        <w:spacing w:beforeLines="50" w:before="120" w:afterLines="50" w:after="120"/>
        <w:rPr>
          <w:rFonts w:ascii="Arial Unicode MS" w:hAnsi="Arial Unicode MS" w:cs="Arial Unicode MS"/>
          <w:b/>
          <w:bCs/>
        </w:rPr>
      </w:pPr>
      <w:bookmarkStart w:id="0" w:name="[IMAGE-Fig7_Print.png]"/>
      <w:r>
        <w:rPr>
          <w:rFonts w:ascii="Arial Unicode MS" w:hAnsi="Calibri" w:cs="Arial Unicode MS"/>
          <w:b/>
          <w:bCs/>
          <w:noProof/>
        </w:rPr>
        <w:drawing>
          <wp:inline distT="0" distB="0" distL="0" distR="0" wp14:anchorId="389385F5" wp14:editId="0E86CE97">
            <wp:extent cx="4822190" cy="368871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259176B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S1. CD3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and IBA1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cells in the brain of </w:t>
      </w:r>
      <w:r>
        <w:rPr>
          <w:rFonts w:ascii="Arial Unicode MS" w:hAnsi="Calibri" w:cs="Arial Unicode MS"/>
          <w:b/>
          <w:sz w:val="18"/>
          <w:szCs w:val="18"/>
        </w:rPr>
        <w:t>ABX treated and control treated EAE mice</w:t>
      </w:r>
      <w:r>
        <w:rPr>
          <w:rFonts w:ascii="Arial Unicode MS" w:hAnsi="Calibri" w:cs="Arial Unicode MS"/>
          <w:sz w:val="18"/>
          <w:szCs w:val="18"/>
        </w:rPr>
        <w:t xml:space="preserve">. </w:t>
      </w:r>
      <w:r>
        <w:rPr>
          <w:rFonts w:ascii="Arial Unicode MS" w:hAnsi="Calibri" w:cs="Arial Unicode MS"/>
          <w:b/>
          <w:bCs/>
          <w:sz w:val="18"/>
          <w:szCs w:val="18"/>
        </w:rPr>
        <w:t>(A)</w:t>
      </w:r>
      <w:r>
        <w:rPr>
          <w:rFonts w:ascii="Arial Unicode MS" w:hAnsi="Calibri" w:cs="Arial Unicode MS"/>
          <w:sz w:val="18"/>
          <w:szCs w:val="18"/>
        </w:rPr>
        <w:t xml:space="preserve"> Representative images of CD3 staining on brain.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m. 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(B) </w:t>
      </w:r>
      <w:r>
        <w:rPr>
          <w:rFonts w:ascii="Arial Unicode MS" w:hAnsi="Calibri" w:cs="Arial Unicode MS"/>
          <w:sz w:val="18"/>
          <w:szCs w:val="18"/>
        </w:rPr>
        <w:t>Quantification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brain tissue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5). </w:t>
      </w:r>
      <w:r>
        <w:rPr>
          <w:rFonts w:ascii="Arial Unicode MS" w:hAnsi="Calibri" w:cs="Arial Unicode MS"/>
          <w:b/>
          <w:bCs/>
          <w:sz w:val="18"/>
          <w:szCs w:val="18"/>
        </w:rPr>
        <w:t>(C)</w:t>
      </w:r>
      <w:r>
        <w:rPr>
          <w:rFonts w:ascii="Arial Unicode MS" w:hAnsi="Calibri" w:cs="Arial Unicode MS"/>
          <w:sz w:val="18"/>
          <w:szCs w:val="18"/>
        </w:rPr>
        <w:t xml:space="preserve"> Representative images of IBA1 staining on brain.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m. </w:t>
      </w:r>
      <w:r>
        <w:rPr>
          <w:rFonts w:ascii="Arial Unicode MS" w:hAnsi="Calibri" w:cs="Arial Unicode MS"/>
          <w:b/>
          <w:bCs/>
          <w:sz w:val="18"/>
          <w:szCs w:val="18"/>
        </w:rPr>
        <w:t>(D)</w:t>
      </w:r>
      <w:r>
        <w:rPr>
          <w:rFonts w:ascii="Arial Unicode MS" w:hAnsi="Calibri" w:cs="Arial Unicode MS"/>
          <w:sz w:val="18"/>
          <w:szCs w:val="18"/>
        </w:rPr>
        <w:t xml:space="preserve"> Quantification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brain tissue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5).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>SEM. Statistical analysis was performed with unpaired t-test (*</w:t>
      </w:r>
      <w:r>
        <w:rPr>
          <w:rFonts w:ascii="Arial Unicode MS" w:hAnsi="Calibri" w:cs="Arial Unicode MS"/>
          <w:i/>
          <w:iCs/>
          <w:sz w:val="18"/>
          <w:szCs w:val="18"/>
        </w:rPr>
        <w:t>p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&lt;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0.05; ns: not significant). ABX, antibiotics; EAE, experimental autoimmune encephalomyelitis.</w:t>
      </w:r>
    </w:p>
    <w:p w14:paraId="7EE41000" w14:textId="77777777" w:rsidR="00533C5A" w:rsidRDefault="00533C5A" w:rsidP="00533C5A">
      <w:pPr>
        <w:rPr>
          <w:rFonts w:ascii="Arial Unicode MS" w:hAnsi="Arial Unicode MS" w:cs="Arial Unicode MS"/>
        </w:rPr>
      </w:pPr>
      <w:bookmarkStart w:id="1" w:name="[IMAGE-Fig8_Print.png]"/>
      <w:r>
        <w:rPr>
          <w:rFonts w:ascii="Arial Unicode MS" w:hAnsi="Calibri" w:cs="Arial Unicode MS"/>
          <w:noProof/>
        </w:rPr>
        <w:lastRenderedPageBreak/>
        <w:drawing>
          <wp:inline distT="0" distB="0" distL="0" distR="0" wp14:anchorId="64B02E60" wp14:editId="55F00991">
            <wp:extent cx="4389755" cy="33223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0E46CFAE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S2. Pearson correlation analysis of TJ expression in CNS barriers and immune cell infiltration</w:t>
      </w:r>
      <w:r>
        <w:rPr>
          <w:rFonts w:ascii="Arial Unicode MS" w:hAnsi="Calibri" w:cs="Arial Unicode MS"/>
          <w:sz w:val="18"/>
          <w:szCs w:val="18"/>
        </w:rPr>
        <w:t xml:space="preserve">. </w:t>
      </w:r>
      <w:r>
        <w:rPr>
          <w:rFonts w:ascii="Arial Unicode MS" w:hAnsi="Calibri" w:cs="Arial Unicode MS"/>
          <w:b/>
          <w:bCs/>
          <w:sz w:val="18"/>
          <w:szCs w:val="18"/>
        </w:rPr>
        <w:t>(A-B)</w:t>
      </w:r>
      <w:r>
        <w:rPr>
          <w:rFonts w:ascii="Arial Unicode MS" w:hAnsi="Calibri" w:cs="Arial Unicode MS"/>
          <w:sz w:val="18"/>
          <w:szCs w:val="18"/>
        </w:rPr>
        <w:t xml:space="preserve"> The relationship between OCLN expression and %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of all nuclei </w:t>
      </w:r>
      <w:r>
        <w:rPr>
          <w:rFonts w:ascii="Arial Unicode MS" w:hAnsi="Calibri" w:cs="Arial Unicode MS"/>
          <w:b/>
          <w:bCs/>
          <w:sz w:val="18"/>
          <w:szCs w:val="18"/>
        </w:rPr>
        <w:t>(A)</w:t>
      </w:r>
      <w:r>
        <w:rPr>
          <w:rFonts w:ascii="Arial Unicode MS" w:hAnsi="Calibri" w:cs="Arial Unicode MS"/>
          <w:sz w:val="18"/>
          <w:szCs w:val="18"/>
        </w:rPr>
        <w:t xml:space="preserve"> and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</w:t>
      </w:r>
      <w:r>
        <w:rPr>
          <w:rFonts w:ascii="Arial Unicode MS" w:hAnsi="Calibri" w:cs="Arial Unicode MS"/>
          <w:b/>
          <w:bCs/>
          <w:sz w:val="18"/>
          <w:szCs w:val="18"/>
        </w:rPr>
        <w:t>(B)</w:t>
      </w:r>
      <w:r>
        <w:rPr>
          <w:rFonts w:ascii="Arial Unicode MS" w:hAnsi="Calibri" w:cs="Arial Unicode MS"/>
          <w:sz w:val="18"/>
          <w:szCs w:val="18"/>
        </w:rPr>
        <w:t xml:space="preserve"> in spinal cord. 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(C) </w:t>
      </w:r>
      <w:r>
        <w:rPr>
          <w:rFonts w:ascii="Arial Unicode MS" w:hAnsi="Calibri" w:cs="Arial Unicode MS"/>
          <w:sz w:val="18"/>
          <w:szCs w:val="18"/>
        </w:rPr>
        <w:t>The relationship between OCLN expression and %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of all nuclei in blood-CSF barrier. 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(D) </w:t>
      </w:r>
      <w:r>
        <w:rPr>
          <w:rFonts w:ascii="Arial Unicode MS" w:hAnsi="Calibri" w:cs="Arial Unicode MS"/>
          <w:sz w:val="18"/>
          <w:szCs w:val="18"/>
        </w:rPr>
        <w:t>The relationship between OCLN expression and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BBB. OCLN, </w:t>
      </w:r>
      <w:proofErr w:type="spellStart"/>
      <w:r>
        <w:rPr>
          <w:rFonts w:ascii="Arial Unicode MS" w:hAnsi="Calibri" w:cs="Arial Unicode MS"/>
          <w:sz w:val="18"/>
          <w:szCs w:val="18"/>
        </w:rPr>
        <w:t>occludin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; </w:t>
      </w:r>
      <w:proofErr w:type="spellStart"/>
      <w:r>
        <w:rPr>
          <w:rFonts w:ascii="Arial Unicode MS" w:hAnsi="Calibri" w:cs="Arial Unicode MS"/>
          <w:sz w:val="18"/>
          <w:szCs w:val="18"/>
        </w:rPr>
        <w:t>SpC</w:t>
      </w:r>
      <w:proofErr w:type="spellEnd"/>
      <w:r>
        <w:rPr>
          <w:rFonts w:ascii="Arial Unicode MS" w:hAnsi="Calibri" w:cs="Arial Unicode MS"/>
          <w:sz w:val="18"/>
          <w:szCs w:val="18"/>
        </w:rPr>
        <w:t>, spinal cord; TJ, tight junction.</w:t>
      </w:r>
    </w:p>
    <w:p w14:paraId="4D9A0D78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bookmarkStart w:id="2" w:name="[IMAGE-Fig9_Print.png]"/>
      <w:r>
        <w:rPr>
          <w:rFonts w:ascii="Arial Unicode MS" w:hAnsi="Calibri" w:cs="Arial Unicode MS"/>
          <w:noProof/>
          <w:sz w:val="18"/>
          <w:szCs w:val="18"/>
        </w:rPr>
        <w:lastRenderedPageBreak/>
        <w:drawing>
          <wp:inline distT="0" distB="0" distL="0" distR="0" wp14:anchorId="74ABE0B4" wp14:editId="00D86237">
            <wp:extent cx="7285355" cy="8145145"/>
            <wp:effectExtent l="0" t="0" r="0" b="0"/>
            <wp:docPr id="1144851404" name="Picture 114485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51404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814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p w14:paraId="2A038478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sz w:val="18"/>
          <w:szCs w:val="18"/>
        </w:rPr>
        <w:lastRenderedPageBreak/>
        <w:t xml:space="preserve">Supplementary Figure S3. Immunophenotyping of the blood from ABX treated and control treated mice. </w:t>
      </w:r>
      <w:r>
        <w:rPr>
          <w:rFonts w:ascii="Arial Unicode MS" w:hAnsi="Calibri" w:cs="Arial Unicode MS"/>
          <w:sz w:val="18"/>
          <w:szCs w:val="18"/>
        </w:rPr>
        <w:t>Unsupervised flow cytometry analysis of single CD45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immune cells derived from blood samples of mice receiving antibiotics (ABX) in their drinking water for two weeks compared to those that receiving regular water. (</w:t>
      </w:r>
      <w:r>
        <w:rPr>
          <w:rFonts w:ascii="Arial Unicode MS" w:hAnsi="Calibri" w:cs="Arial Unicode MS"/>
          <w:b/>
          <w:sz w:val="18"/>
          <w:szCs w:val="18"/>
        </w:rPr>
        <w:t>A</w:t>
      </w:r>
      <w:r>
        <w:rPr>
          <w:rFonts w:ascii="Arial Unicode MS" w:hAnsi="Calibri" w:cs="Arial Unicode MS"/>
          <w:sz w:val="18"/>
          <w:szCs w:val="18"/>
        </w:rPr>
        <w:t>)</w:t>
      </w:r>
      <w:r>
        <w:rPr>
          <w:rFonts w:ascii="Arial Unicode MS" w:hAnsi="Calibri" w:cs="Arial Unicode MS"/>
          <w:b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Identification of different immune cell population based on marker expression. (</w:t>
      </w:r>
      <w:r>
        <w:rPr>
          <w:rFonts w:ascii="Arial Unicode MS" w:hAnsi="Calibri" w:cs="Arial Unicode MS"/>
          <w:b/>
          <w:sz w:val="18"/>
          <w:szCs w:val="18"/>
        </w:rPr>
        <w:t>B</w:t>
      </w:r>
      <w:r>
        <w:rPr>
          <w:rFonts w:ascii="Arial Unicode MS" w:hAnsi="Calibri" w:cs="Arial Unicode MS"/>
          <w:sz w:val="18"/>
          <w:szCs w:val="18"/>
        </w:rPr>
        <w:t>) Absolute number of cells/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l blood for each identified immune cell population.</w:t>
      </w:r>
      <w:r>
        <w:rPr>
          <w:rFonts w:ascii="Arial Unicode MS" w:hAnsi="Calibri" w:cs="Arial Unicode MS"/>
          <w:b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Data presented as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>SEM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7/group). Statistical analysis by two-way ANOVA with Tukey post hoc multiple comparison.</w:t>
      </w:r>
    </w:p>
    <w:p w14:paraId="63FDBB32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bookmarkStart w:id="3" w:name="[IMAGE-Fig10_Print.png]"/>
      <w:r>
        <w:rPr>
          <w:rFonts w:ascii="Arial Unicode MS" w:hAnsi="Calibri" w:cs="Arial Unicode MS"/>
          <w:noProof/>
        </w:rPr>
        <w:drawing>
          <wp:inline distT="0" distB="0" distL="0" distR="0" wp14:anchorId="083C7F2C" wp14:editId="13E76E64">
            <wp:extent cx="6334125" cy="180467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  <w:r>
        <w:rPr>
          <w:rFonts w:ascii="Arial Unicode MS" w:hAnsi="Calibri" w:cs="Arial Unicode MS"/>
          <w:b/>
          <w:bCs/>
          <w:sz w:val="18"/>
          <w:szCs w:val="18"/>
        </w:rPr>
        <w:t>Supplementary Figure S4. The impact of gut microbiota on blood-CSF barrier in EAE mice</w:t>
      </w:r>
      <w:r>
        <w:rPr>
          <w:rFonts w:ascii="Arial Unicode MS" w:hAnsi="Calibri" w:cs="Arial Unicode MS"/>
          <w:sz w:val="18"/>
          <w:szCs w:val="18"/>
        </w:rPr>
        <w:t xml:space="preserve">. </w:t>
      </w:r>
      <w:r>
        <w:rPr>
          <w:rFonts w:ascii="Arial Unicode MS" w:hAnsi="Calibri" w:cs="Arial Unicode MS"/>
          <w:b/>
          <w:bCs/>
          <w:sz w:val="18"/>
          <w:szCs w:val="18"/>
        </w:rPr>
        <w:t>(A)</w:t>
      </w:r>
      <w:r>
        <w:rPr>
          <w:rFonts w:ascii="Arial Unicode MS" w:hAnsi="Calibri" w:cs="Arial Unicode MS"/>
          <w:sz w:val="18"/>
          <w:szCs w:val="18"/>
        </w:rPr>
        <w:t xml:space="preserve"> Representative images of CDH1 staining on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m. 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(B-C) </w:t>
      </w:r>
      <w:r>
        <w:rPr>
          <w:rFonts w:ascii="Arial Unicode MS" w:hAnsi="Calibri" w:cs="Arial Unicode MS"/>
          <w:sz w:val="18"/>
          <w:szCs w:val="18"/>
        </w:rPr>
        <w:t>Quantification CDH1 expressed area (B) and CDH1 continuous length of &gt;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20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 (C) in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6).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unpaired t-test (ns: not significant). ABX, antibiotics; EAE, experimental autoimmune encephalomyelitis; OCLN, </w:t>
      </w:r>
      <w:proofErr w:type="spellStart"/>
      <w:r>
        <w:rPr>
          <w:rFonts w:ascii="Arial Unicode MS" w:hAnsi="Calibri" w:cs="Arial Unicode MS"/>
          <w:sz w:val="18"/>
          <w:szCs w:val="18"/>
        </w:rPr>
        <w:t>Occludin</w:t>
      </w:r>
      <w:proofErr w:type="spellEnd"/>
      <w:r>
        <w:rPr>
          <w:rFonts w:ascii="Arial Unicode MS" w:hAnsi="Calibri" w:cs="Arial Unicode MS"/>
          <w:sz w:val="18"/>
          <w:szCs w:val="18"/>
        </w:rPr>
        <w:t>; CDH1, E-cadherin.</w:t>
      </w:r>
    </w:p>
    <w:p w14:paraId="18035192" w14:textId="77777777" w:rsidR="00533C5A" w:rsidRDefault="00533C5A" w:rsidP="00533C5A">
      <w:pPr>
        <w:rPr>
          <w:rFonts w:ascii="Arial Unicode MS" w:hAnsi="Arial Unicode MS" w:cs="Arial Unicode MS"/>
        </w:rPr>
      </w:pPr>
      <w:bookmarkStart w:id="4" w:name="[IMAGE-Fig11_Print.jpeg]"/>
      <w:r>
        <w:rPr>
          <w:rFonts w:ascii="Arial Unicode MS" w:hAnsi="Calibri" w:cs="Arial Unicode MS"/>
          <w:noProof/>
        </w:rPr>
        <w:drawing>
          <wp:inline distT="0" distB="0" distL="0" distR="0" wp14:anchorId="3082A22C" wp14:editId="1E9437C8">
            <wp:extent cx="5760720" cy="1664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525D10CD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S5. The impact of FMT on blood-CSF barrier in healthy mice</w:t>
      </w:r>
      <w:r>
        <w:rPr>
          <w:rFonts w:ascii="Arial Unicode MS" w:hAnsi="Calibri" w:cs="Arial Unicode MS"/>
          <w:sz w:val="18"/>
          <w:szCs w:val="18"/>
        </w:rPr>
        <w:t xml:space="preserve">. </w:t>
      </w:r>
      <w:r>
        <w:rPr>
          <w:rFonts w:ascii="Arial Unicode MS" w:hAnsi="Calibri" w:cs="Arial Unicode MS"/>
          <w:b/>
          <w:bCs/>
          <w:sz w:val="18"/>
          <w:szCs w:val="18"/>
        </w:rPr>
        <w:t>(A)</w:t>
      </w:r>
      <w:r>
        <w:rPr>
          <w:rFonts w:ascii="Arial Unicode MS" w:hAnsi="Calibri" w:cs="Arial Unicode MS"/>
          <w:sz w:val="18"/>
          <w:szCs w:val="18"/>
        </w:rPr>
        <w:t xml:space="preserve"> Representative images of CDH1 staining on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m. </w:t>
      </w:r>
      <w:r>
        <w:rPr>
          <w:rFonts w:ascii="Arial Unicode MS" w:hAnsi="Calibri" w:cs="Arial Unicode MS"/>
          <w:b/>
          <w:bCs/>
          <w:sz w:val="18"/>
          <w:szCs w:val="18"/>
        </w:rPr>
        <w:t>(B-C)</w:t>
      </w:r>
      <w:r>
        <w:rPr>
          <w:rFonts w:ascii="Arial Unicode MS" w:hAnsi="Calibri" w:cs="Arial Unicode MS"/>
          <w:sz w:val="18"/>
          <w:szCs w:val="18"/>
        </w:rPr>
        <w:t xml:space="preserve"> Quantification CDH1 expressed area (B) and CDH1 continuous length of &gt;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20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 (C) in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4).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unpaired t-test (ns: not significant). CDH1, E-cadherin;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>, choroid plexus; CSF, cerebrospinal fluid; FMT, fecal microbiome transplant.</w:t>
      </w:r>
    </w:p>
    <w:bookmarkStart w:id="5" w:name="[IMAGE-Fig12_Print.emf]"/>
    <w:p w14:paraId="575A5C3E" w14:textId="77777777" w:rsidR="00533C5A" w:rsidRDefault="00533C5A" w:rsidP="00533C5A">
      <w:pPr>
        <w:rPr>
          <w:rFonts w:ascii="Arial Unicode MS" w:hAnsi="Arial Unicode MS" w:cs="Arial Unicode MS"/>
        </w:rPr>
      </w:pPr>
      <w:r>
        <w:object w:dxaOrig="9077" w:dyaOrig="5048" w14:anchorId="18F1D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252.5pt" o:ole="">
            <v:imagedata r:id="rId9" o:title=""/>
          </v:shape>
          <o:OLEObject Type="Embed" ProgID="Prism10.Document" ShapeID="_x0000_i1025" DrawAspect="Content" ObjectID="_1821501697" r:id="rId10"/>
        </w:object>
      </w:r>
      <w:bookmarkEnd w:id="5"/>
    </w:p>
    <w:p w14:paraId="40919336" w14:textId="77777777" w:rsidR="00533C5A" w:rsidRDefault="00533C5A" w:rsidP="00533C5A">
      <w:pPr>
        <w:rPr>
          <w:rFonts w:ascii="Arial Unicode MS" w:hAnsi="Arial Unicode MS" w:cs="Arial Unicode MS"/>
          <w:sz w:val="20"/>
          <w:szCs w:val="20"/>
          <w:lang w:val=""/>
        </w:rPr>
      </w:pPr>
      <w:r>
        <w:rPr>
          <w:rFonts w:ascii="Arial Unicode MS" w:hAnsi="Calibri" w:cs="Arial Unicode MS"/>
          <w:b/>
          <w:bCs/>
          <w:sz w:val="20"/>
          <w:szCs w:val="20"/>
        </w:rPr>
        <w:t>Supplementary Figure S6. The influence of FMT on microbiome composition of the recipient mice.</w:t>
      </w:r>
      <w:r>
        <w:rPr>
          <w:rFonts w:ascii="Arial Unicode MS" w:hAnsi="Calibri" w:cs="Arial Unicode MS"/>
          <w:sz w:val="20"/>
          <w:szCs w:val="20"/>
        </w:rPr>
        <w:t xml:space="preserve"> Microbiome composition before (grey dots) and after FMT (pink dots) in EAE recipients which received fecal material from EAE donor mice or Ctr donor mice. EAE, experimental autoimmune encephalomyelitis; FMT, fecal microbiota transfer; Ctr, healthy control.</w:t>
      </w:r>
    </w:p>
    <w:p w14:paraId="2BC94C8B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bookmarkStart w:id="6" w:name="[IMAGE-Fig13_Print.jpeg]"/>
      <w:r>
        <w:rPr>
          <w:rFonts w:ascii="Arial Unicode MS" w:hAnsi="Calibri" w:cs="Arial Unicode MS"/>
          <w:noProof/>
          <w:sz w:val="18"/>
          <w:szCs w:val="18"/>
        </w:rPr>
        <w:drawing>
          <wp:inline distT="0" distB="0" distL="0" distR="0" wp14:anchorId="372CC1EB" wp14:editId="4B1836CA">
            <wp:extent cx="6139978" cy="18351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78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rFonts w:ascii="Arial Unicode MS" w:hAnsi="Calibri" w:cs="Arial Unicode MS"/>
          <w:b/>
          <w:bCs/>
          <w:sz w:val="18"/>
          <w:szCs w:val="18"/>
        </w:rPr>
        <w:t>Supplementary Figure S7. The impact of FMT on blood-CSF barrier in EAE mice</w:t>
      </w:r>
      <w:r>
        <w:rPr>
          <w:rFonts w:ascii="Arial Unicode MS" w:hAnsi="Calibri" w:cs="Arial Unicode MS"/>
          <w:sz w:val="18"/>
          <w:szCs w:val="18"/>
        </w:rPr>
        <w:t xml:space="preserve">. </w:t>
      </w:r>
      <w:r>
        <w:rPr>
          <w:rFonts w:ascii="Arial Unicode MS" w:hAnsi="Calibri" w:cs="Arial Unicode MS"/>
          <w:b/>
          <w:bCs/>
          <w:sz w:val="18"/>
          <w:szCs w:val="18"/>
        </w:rPr>
        <w:t>(A)</w:t>
      </w:r>
      <w:r>
        <w:rPr>
          <w:rFonts w:ascii="Arial Unicode MS" w:hAnsi="Calibri" w:cs="Arial Unicode MS"/>
          <w:sz w:val="18"/>
          <w:szCs w:val="18"/>
        </w:rPr>
        <w:t xml:space="preserve"> Representative images of CDH1 staining on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m. </w:t>
      </w:r>
      <w:r>
        <w:rPr>
          <w:rFonts w:ascii="Arial Unicode MS" w:hAnsi="Calibri" w:cs="Arial Unicode MS"/>
          <w:b/>
          <w:bCs/>
          <w:sz w:val="18"/>
          <w:szCs w:val="18"/>
        </w:rPr>
        <w:t>(B-C)</w:t>
      </w:r>
      <w:r>
        <w:rPr>
          <w:rFonts w:ascii="Arial Unicode MS" w:hAnsi="Calibri" w:cs="Arial Unicode MS"/>
          <w:sz w:val="18"/>
          <w:szCs w:val="18"/>
        </w:rPr>
        <w:t xml:space="preserve"> Quantification CDH1 expressed area (B) and CDH1 continuous length of &gt;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20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 (C) in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6).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unpaired t-test. CDH1, E-cadherin;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>, choroid plexus; CSF, cerebrospinal fluid; EAE, experimental autoimmune encephalomyelitis; FMT, fecal microbiome transplant.</w:t>
      </w:r>
    </w:p>
    <w:p w14:paraId="648A46BD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bookmarkStart w:id="7" w:name="[IMAGE-Fig14_Print.jpeg]"/>
      <w:r>
        <w:rPr>
          <w:rFonts w:ascii="Arial Unicode MS" w:hAnsi="Calibri" w:cs="Arial Unicode MS"/>
          <w:noProof/>
          <w:sz w:val="18"/>
          <w:szCs w:val="18"/>
        </w:rPr>
        <w:lastRenderedPageBreak/>
        <w:drawing>
          <wp:inline distT="0" distB="0" distL="0" distR="0" wp14:anchorId="7AFAC071" wp14:editId="00B59FD2">
            <wp:extent cx="5762000" cy="66710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00" cy="667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</w:p>
    <w:p w14:paraId="27C89D20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S8. The impact of gut microbiota on the populations of CD3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and IBA1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cells in the brain and spinal cord of EAE mice receiving a fecal microbiota transplant (FMT) from EAE or Ctr mice</w:t>
      </w:r>
      <w:r>
        <w:rPr>
          <w:rFonts w:ascii="Arial Unicode MS" w:hAnsi="Calibri" w:cs="Arial Unicode MS"/>
          <w:sz w:val="18"/>
          <w:szCs w:val="18"/>
        </w:rPr>
        <w:t>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(A-B)</w:t>
      </w:r>
      <w:r>
        <w:rPr>
          <w:rFonts w:ascii="Arial Unicode MS" w:hAnsi="Calibri" w:cs="Arial Unicode MS"/>
          <w:sz w:val="18"/>
          <w:szCs w:val="18"/>
        </w:rPr>
        <w:t xml:space="preserve"> Representative images (A) of CD3 staining (red) on brain sections and the corresponding quantification (B)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6). 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(C)</w:t>
      </w:r>
      <w:r>
        <w:rPr>
          <w:rFonts w:ascii="Arial Unicode MS" w:hAnsi="Calibri" w:cs="Arial Unicode MS"/>
          <w:sz w:val="18"/>
          <w:szCs w:val="18"/>
        </w:rPr>
        <w:t xml:space="preserve"> Pearson correlation analysis of OCLN expression and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at the blood-CSF barrier. </w:t>
      </w:r>
      <w:r>
        <w:rPr>
          <w:rFonts w:ascii="Arial Unicode MS" w:hAnsi="Calibri" w:cs="Arial Unicode MS"/>
          <w:b/>
          <w:bCs/>
          <w:sz w:val="18"/>
          <w:szCs w:val="18"/>
        </w:rPr>
        <w:t>(D-E)</w:t>
      </w:r>
      <w:r>
        <w:rPr>
          <w:rFonts w:ascii="Arial Unicode MS" w:hAnsi="Calibri" w:cs="Arial Unicode MS"/>
          <w:sz w:val="18"/>
          <w:szCs w:val="18"/>
        </w:rPr>
        <w:t xml:space="preserve"> Representative images of IBA1 (green) on brain sections (D) and the corresponding quantification (E)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6). 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(F)</w:t>
      </w:r>
      <w:r>
        <w:rPr>
          <w:rFonts w:ascii="Arial Unicode MS" w:hAnsi="Calibri" w:cs="Arial Unicode MS"/>
          <w:sz w:val="18"/>
          <w:szCs w:val="18"/>
        </w:rPr>
        <w:t xml:space="preserve"> Pearson correlation analysis of OCLN expression and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at the BBB.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(G-H)</w:t>
      </w:r>
      <w:r>
        <w:rPr>
          <w:rFonts w:ascii="Arial Unicode MS" w:hAnsi="Calibri" w:cs="Arial Unicode MS"/>
          <w:sz w:val="18"/>
          <w:szCs w:val="18"/>
        </w:rPr>
        <w:t xml:space="preserve"> Representative images (G) of CD3 staining (red) and corresponding quantification of the amount of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(H) on spinal cord sections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6). 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(I)</w:t>
      </w:r>
      <w:r>
        <w:rPr>
          <w:rFonts w:ascii="Arial Unicode MS" w:hAnsi="Calibri" w:cs="Arial Unicode MS"/>
          <w:sz w:val="18"/>
          <w:szCs w:val="18"/>
        </w:rPr>
        <w:t xml:space="preserve"> Pearson </w:t>
      </w:r>
      <w:r>
        <w:rPr>
          <w:rFonts w:ascii="Arial Unicode MS" w:hAnsi="Calibri" w:cs="Arial Unicode MS"/>
          <w:sz w:val="18"/>
          <w:szCs w:val="18"/>
        </w:rPr>
        <w:lastRenderedPageBreak/>
        <w:t>correlation analysis of OCLN expression and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spinal cord.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(J-K)</w:t>
      </w:r>
      <w:r>
        <w:rPr>
          <w:rFonts w:ascii="Arial Unicode MS" w:hAnsi="Calibri" w:cs="Arial Unicode MS"/>
          <w:sz w:val="18"/>
          <w:szCs w:val="18"/>
        </w:rPr>
        <w:t xml:space="preserve"> Representative images (J) of IBA1 staining (green) and corresponding quantification of IBA1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+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cells on spinal cord sections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6).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(L)</w:t>
      </w:r>
      <w:r>
        <w:rPr>
          <w:rFonts w:ascii="Arial Unicode MS" w:hAnsi="Calibri" w:cs="Arial Unicode MS"/>
          <w:sz w:val="18"/>
          <w:szCs w:val="18"/>
        </w:rPr>
        <w:t xml:space="preserve"> Pearson correlation analysis of OCLN expression and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spinal cord.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unpaired t-test (ns: not significant). BBB, blood-brain barrier;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, choroid plexus; EAE, experimental autoimmune encephalomyelitis;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, healthy controls; OCLN, occluding; </w:t>
      </w:r>
      <w:proofErr w:type="spellStart"/>
      <w:r>
        <w:rPr>
          <w:rFonts w:ascii="Arial Unicode MS" w:hAnsi="Calibri" w:cs="Arial Unicode MS"/>
          <w:sz w:val="18"/>
          <w:szCs w:val="18"/>
        </w:rPr>
        <w:t>SpC</w:t>
      </w:r>
      <w:proofErr w:type="spellEnd"/>
      <w:r>
        <w:rPr>
          <w:rFonts w:ascii="Arial Unicode MS" w:hAnsi="Calibri" w:cs="Arial Unicode MS"/>
          <w:sz w:val="18"/>
          <w:szCs w:val="18"/>
        </w:rPr>
        <w:t>, spinal cord.</w:t>
      </w:r>
    </w:p>
    <w:p w14:paraId="56408DA5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bookmarkStart w:id="8" w:name="[IMAGE-Fig15_Print.jpeg]"/>
      <w:r>
        <w:rPr>
          <w:rFonts w:ascii="Arial Unicode MS" w:hAnsi="Calibri" w:cs="Arial Unicode MS"/>
          <w:noProof/>
          <w:sz w:val="18"/>
          <w:szCs w:val="18"/>
        </w:rPr>
        <w:drawing>
          <wp:inline distT="0" distB="0" distL="0" distR="0" wp14:anchorId="52C0FD00" wp14:editId="50B6CE4E">
            <wp:extent cx="5760720" cy="2030095"/>
            <wp:effectExtent l="0" t="0" r="0" b="0"/>
            <wp:docPr id="928075583" name="Picture 4" descr="A black and grey rectangular object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75583" name="Picture 4" descr="A black and grey rectangular object with a black backgroun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14:paraId="0586D58D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S9. The levels SCFA producing bacteria and SCFA in fecal pellets of EAE mice.</w:t>
      </w:r>
      <w:r>
        <w:rPr>
          <w:rFonts w:ascii="Arial Unicode MS" w:hAnsi="Calibri" w:cs="Arial Unicode MS"/>
          <w:sz w:val="18"/>
          <w:szCs w:val="18"/>
        </w:rPr>
        <w:t xml:space="preserve"> (</w:t>
      </w:r>
      <w:r>
        <w:rPr>
          <w:rFonts w:ascii="Arial Unicode MS" w:hAnsi="Calibri" w:cs="Arial Unicode MS"/>
          <w:b/>
          <w:sz w:val="18"/>
          <w:szCs w:val="18"/>
        </w:rPr>
        <w:t>A</w:t>
      </w:r>
      <w:r>
        <w:rPr>
          <w:rFonts w:ascii="Arial Unicode MS" w:hAnsi="Calibri" w:cs="Arial Unicode MS"/>
          <w:sz w:val="18"/>
          <w:szCs w:val="18"/>
        </w:rPr>
        <w:t>)</w:t>
      </w:r>
      <w:r>
        <w:rPr>
          <w:rFonts w:ascii="Arial Unicode MS" w:hAnsi="Calibri" w:cs="Arial Unicode MS"/>
          <w:b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qPCR analysis of the gut microbiota of healthy control (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>) and experimental autoimmune encephalomyelitis mice (</w:t>
      </w:r>
      <w:r>
        <w:rPr>
          <w:rFonts w:ascii="Arial Unicode MS" w:hAnsi="Calibri" w:cs="Arial Unicode MS"/>
          <w:iCs/>
          <w:sz w:val="18"/>
          <w:szCs w:val="18"/>
        </w:rPr>
        <w:t>EAE) reveal a</w:t>
      </w:r>
      <w:r>
        <w:rPr>
          <w:rFonts w:ascii="Arial Unicode MS" w:hAnsi="Calibri" w:cs="Arial Unicode MS"/>
          <w:sz w:val="18"/>
          <w:szCs w:val="18"/>
        </w:rPr>
        <w:t xml:space="preserve"> decrease in relative Firmicutes to Bacteroides ratio in EAE mice compared to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>. (</w:t>
      </w:r>
      <w:r>
        <w:rPr>
          <w:rFonts w:ascii="Arial Unicode MS" w:hAnsi="Calibri" w:cs="Arial Unicode MS"/>
          <w:b/>
          <w:sz w:val="18"/>
          <w:szCs w:val="18"/>
        </w:rPr>
        <w:t>B-C</w:t>
      </w:r>
      <w:r>
        <w:rPr>
          <w:rFonts w:ascii="Arial Unicode MS" w:hAnsi="Calibri" w:cs="Arial Unicode MS"/>
          <w:sz w:val="18"/>
          <w:szCs w:val="18"/>
        </w:rPr>
        <w:t>) Fecal propionic acid (B) and butyric acid (C).</w:t>
      </w:r>
      <w:r>
        <w:rPr>
          <w:rFonts w:ascii="Arial Unicode MS" w:hAnsi="Arial" w:cs="Arial Unicode MS"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>SEM. Statistical analysis was performed with unpaired t-test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5</w:t>
      </w:r>
      <w:r>
        <w:rPr>
          <w:rFonts w:ascii="Arial Unicode MS" w:hAnsi="Calibri" w:cs="Arial Unicode MS" w:hint="eastAsia"/>
          <w:sz w:val="18"/>
          <w:szCs w:val="20"/>
        </w:rPr>
        <w:t>;</w:t>
      </w:r>
      <w:r>
        <w:rPr>
          <w:rFonts w:ascii="Arial Unicode MS" w:hAnsi="Calibri" w:cs="Arial Unicode MS"/>
          <w:sz w:val="18"/>
          <w:szCs w:val="20"/>
        </w:rPr>
        <w:t xml:space="preserve"> one section per mouse</w:t>
      </w:r>
      <w:r>
        <w:rPr>
          <w:rFonts w:ascii="Arial Unicode MS" w:hAnsi="Calibri" w:cs="Arial Unicode MS"/>
          <w:sz w:val="18"/>
          <w:szCs w:val="18"/>
        </w:rPr>
        <w:t>). (*</w:t>
      </w:r>
      <w:r>
        <w:rPr>
          <w:rFonts w:ascii="Arial Unicode MS" w:hAnsi="Calibri" w:cs="Arial Unicode MS"/>
          <w:i/>
          <w:iCs/>
          <w:sz w:val="18"/>
          <w:szCs w:val="18"/>
        </w:rPr>
        <w:t>p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&lt;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0,05; ns: not significant). EAE, experimental autoimmune encephalomyelitis;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>, healthy control; SCFA, short-chain fatty acids.</w:t>
      </w:r>
    </w:p>
    <w:p w14:paraId="20BB3733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bookmarkStart w:id="9" w:name="[IMAGE-Fig16_Print.png]"/>
      <w:r>
        <w:rPr>
          <w:rFonts w:ascii="Arial Unicode MS" w:hAnsi="Calibri" w:cs="Arial Unicode MS"/>
          <w:noProof/>
          <w:sz w:val="18"/>
          <w:szCs w:val="18"/>
        </w:rPr>
        <w:drawing>
          <wp:inline distT="0" distB="0" distL="0" distR="0" wp14:anchorId="10155B75" wp14:editId="1E62582B">
            <wp:extent cx="5431790" cy="33166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</w:p>
    <w:p w14:paraId="4941631D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S10. The impact of SCFA on blood-CSF barrier in EAE mice</w:t>
      </w:r>
      <w:r>
        <w:rPr>
          <w:rFonts w:ascii="Arial Unicode MS" w:hAnsi="Calibri" w:cs="Arial Unicode MS"/>
          <w:sz w:val="18"/>
          <w:szCs w:val="18"/>
        </w:rPr>
        <w:t xml:space="preserve">. </w:t>
      </w:r>
      <w:r>
        <w:rPr>
          <w:rFonts w:ascii="Arial Unicode MS" w:hAnsi="Calibri" w:cs="Arial Unicode MS"/>
          <w:b/>
          <w:bCs/>
          <w:sz w:val="18"/>
          <w:szCs w:val="18"/>
        </w:rPr>
        <w:t>(A)</w:t>
      </w:r>
      <w:r>
        <w:rPr>
          <w:rFonts w:ascii="Arial Unicode MS" w:hAnsi="Calibri" w:cs="Arial Unicode MS"/>
          <w:sz w:val="18"/>
          <w:szCs w:val="18"/>
        </w:rPr>
        <w:t xml:space="preserve"> Representative images of CDH1 staining on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. Scale bar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m. </w:t>
      </w:r>
      <w:r>
        <w:rPr>
          <w:rFonts w:ascii="Arial Unicode MS" w:hAnsi="Calibri" w:cs="Arial Unicode MS"/>
          <w:b/>
          <w:bCs/>
          <w:sz w:val="18"/>
          <w:szCs w:val="18"/>
        </w:rPr>
        <w:t>(B)</w:t>
      </w:r>
      <w:r>
        <w:rPr>
          <w:rFonts w:ascii="Arial Unicode MS" w:hAnsi="Calibri" w:cs="Arial Unicode MS"/>
          <w:sz w:val="18"/>
          <w:szCs w:val="18"/>
        </w:rPr>
        <w:t xml:space="preserve"> Quantification CDH1 expressed area (left) and CDH1 continuous length of &gt;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20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 xml:space="preserve">m (right) in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5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>7).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</w:t>
      </w:r>
      <w:r>
        <w:rPr>
          <w:rFonts w:ascii="Arial Unicode MS" w:hAnsi="Calibri" w:cs="Arial Unicode MS"/>
          <w:sz w:val="18"/>
          <w:szCs w:val="18"/>
        </w:rPr>
        <w:lastRenderedPageBreak/>
        <w:t xml:space="preserve">performed with one-way ANOVA followed by Tukey post hoc test. CDH1, E-cadherin; </w:t>
      </w:r>
      <w:proofErr w:type="spellStart"/>
      <w:r>
        <w:rPr>
          <w:rFonts w:ascii="Arial Unicode MS" w:hAnsi="Calibri" w:cs="Arial Unicode MS"/>
          <w:sz w:val="18"/>
          <w:szCs w:val="18"/>
        </w:rPr>
        <w:t>ChP</w:t>
      </w:r>
      <w:proofErr w:type="spellEnd"/>
      <w:r>
        <w:rPr>
          <w:rFonts w:ascii="Arial Unicode MS" w:hAnsi="Calibri" w:cs="Arial Unicode MS"/>
          <w:sz w:val="18"/>
          <w:szCs w:val="18"/>
        </w:rPr>
        <w:t>, choroid plexus; CSF, cerebrospinal fluid, EAE, experimental autoimmune encephalomyelitis; SCFA, short-chain fatty acid.</w:t>
      </w:r>
    </w:p>
    <w:p w14:paraId="6C84233A" w14:textId="77777777" w:rsidR="00533C5A" w:rsidRDefault="00533C5A" w:rsidP="00533C5A">
      <w:pPr>
        <w:rPr>
          <w:rFonts w:ascii="Arial Unicode MS" w:hAnsi="Arial Unicode MS" w:cs="Arial Unicode MS"/>
        </w:rPr>
      </w:pPr>
      <w:bookmarkStart w:id="10" w:name="[IMAGE-Fig17_Print.png]"/>
      <w:r>
        <w:rPr>
          <w:rFonts w:ascii="Arial Unicode MS" w:hAnsi="Calibri" w:cs="Arial Unicode MS"/>
          <w:noProof/>
        </w:rPr>
        <w:lastRenderedPageBreak/>
        <w:drawing>
          <wp:inline distT="0" distB="0" distL="0" distR="0" wp14:anchorId="3DDD3A18" wp14:editId="6B0A87B4">
            <wp:extent cx="5735261" cy="794971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02" cy="79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24486427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lastRenderedPageBreak/>
        <w:t>Supplementary Figure S11. The impact of the SCFAs propionate and butyrate on the populations of CD3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and IBA1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cells in the brain and spinal cord of EAE mice</w:t>
      </w:r>
      <w:r>
        <w:rPr>
          <w:rFonts w:ascii="Arial Unicode MS" w:hAnsi="Calibri" w:cs="Arial Unicode MS"/>
          <w:sz w:val="18"/>
          <w:szCs w:val="18"/>
        </w:rPr>
        <w:t>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(A-B)</w:t>
      </w:r>
      <w:r>
        <w:rPr>
          <w:rFonts w:ascii="Arial Unicode MS" w:hAnsi="Calibri" w:cs="Arial Unicode MS"/>
          <w:sz w:val="18"/>
          <w:szCs w:val="18"/>
        </w:rPr>
        <w:t xml:space="preserve"> Representative images of CD3 (red) staining (A) </w:t>
      </w:r>
      <w:r>
        <w:rPr>
          <w:rFonts w:ascii="Arial Unicode MS" w:hAnsi="Calibri" w:cs="Arial Unicode MS"/>
          <w:bCs/>
          <w:sz w:val="18"/>
          <w:szCs w:val="18"/>
        </w:rPr>
        <w:t>and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quantification (B) of the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brain sections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6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>7).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 xml:space="preserve">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(C-D)</w:t>
      </w:r>
      <w:r>
        <w:rPr>
          <w:rFonts w:ascii="Arial Unicode MS" w:hAnsi="Calibri" w:cs="Arial Unicode MS"/>
          <w:sz w:val="18"/>
          <w:szCs w:val="18"/>
        </w:rPr>
        <w:t xml:space="preserve"> Representative images of IBA1 (green) staining (C) and quantification (D) of the amount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brain sections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3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 xml:space="preserve">6). 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(E)</w:t>
      </w:r>
      <w:r>
        <w:rPr>
          <w:rFonts w:ascii="Arial Unicode MS" w:hAnsi="Calibri" w:cs="Arial Unicode MS"/>
          <w:sz w:val="18"/>
          <w:szCs w:val="18"/>
        </w:rPr>
        <w:t xml:space="preserve"> Pearson correlation analysis of OCLN expression and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at the blood-CSF barrier. </w:t>
      </w:r>
      <w:r>
        <w:rPr>
          <w:rFonts w:ascii="Arial Unicode MS" w:hAnsi="Calibri" w:cs="Arial Unicode MS"/>
          <w:b/>
          <w:bCs/>
          <w:sz w:val="18"/>
          <w:szCs w:val="18"/>
        </w:rPr>
        <w:t>(F)</w:t>
      </w:r>
      <w:r>
        <w:rPr>
          <w:rFonts w:ascii="Arial Unicode MS" w:hAnsi="Calibri" w:cs="Arial Unicode MS"/>
          <w:sz w:val="18"/>
          <w:szCs w:val="18"/>
        </w:rPr>
        <w:t xml:space="preserve"> Pearson correlation analysis of OCLN expression and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at the BBB. </w:t>
      </w:r>
      <w:r>
        <w:rPr>
          <w:rFonts w:ascii="Arial Unicode MS" w:hAnsi="Calibri" w:cs="Arial Unicode MS"/>
          <w:b/>
          <w:bCs/>
          <w:sz w:val="18"/>
          <w:szCs w:val="18"/>
        </w:rPr>
        <w:t>(G-H)</w:t>
      </w:r>
      <w:r>
        <w:rPr>
          <w:rFonts w:ascii="Arial Unicode MS" w:hAnsi="Calibri" w:cs="Arial Unicode MS"/>
          <w:sz w:val="18"/>
          <w:szCs w:val="18"/>
        </w:rPr>
        <w:t xml:space="preserve"> Representative images (G) of CD3 (red) staining and quantification (H)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spinal cord tissue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6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 xml:space="preserve">7) on spinal cord. 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(I-J)</w:t>
      </w:r>
      <w:r>
        <w:rPr>
          <w:rFonts w:ascii="Arial Unicode MS" w:hAnsi="Calibri" w:cs="Arial Unicode MS"/>
          <w:sz w:val="18"/>
          <w:szCs w:val="18"/>
        </w:rPr>
        <w:t xml:space="preserve"> Representative images (I) of IBA1 (green) staining </w:t>
      </w:r>
      <w:r>
        <w:rPr>
          <w:rFonts w:ascii="Arial Unicode MS" w:hAnsi="Calibri" w:cs="Arial Unicode MS"/>
          <w:bCs/>
          <w:sz w:val="18"/>
          <w:szCs w:val="18"/>
        </w:rPr>
        <w:t>and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quantification (J) of the amount of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in spinal cord tissue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6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 xml:space="preserve">7). Scale bar represents 50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(K-L)</w:t>
      </w:r>
      <w:r>
        <w:rPr>
          <w:rFonts w:ascii="Arial Unicode MS" w:hAnsi="Calibri" w:cs="Arial Unicode MS"/>
          <w:sz w:val="18"/>
          <w:szCs w:val="18"/>
        </w:rPr>
        <w:t xml:space="preserve"> Pearson correlation analysis of OCLN expression and CD3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(K) and IBA1</w:t>
      </w:r>
      <w:r>
        <w:rPr>
          <w:rFonts w:ascii="Arial Unicode MS" w:hAnsi="Calibri" w:cs="Arial Unicode MS"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sz w:val="18"/>
          <w:szCs w:val="18"/>
        </w:rPr>
        <w:t xml:space="preserve"> cells (L) in spinal cord.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unpaired t-test. EAE, experimental autoimmune encephalomyelitis;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, healthy controls; OCLN, </w:t>
      </w:r>
      <w:proofErr w:type="spellStart"/>
      <w:r>
        <w:rPr>
          <w:rFonts w:ascii="Arial Unicode MS" w:hAnsi="Calibri" w:cs="Arial Unicode MS"/>
          <w:sz w:val="18"/>
          <w:szCs w:val="18"/>
        </w:rPr>
        <w:t>occludin</w:t>
      </w:r>
      <w:proofErr w:type="spellEnd"/>
      <w:r>
        <w:rPr>
          <w:rFonts w:ascii="Arial Unicode MS" w:hAnsi="Calibri" w:cs="Arial Unicode MS"/>
          <w:sz w:val="18"/>
          <w:szCs w:val="18"/>
        </w:rPr>
        <w:t xml:space="preserve">; </w:t>
      </w:r>
      <w:proofErr w:type="spellStart"/>
      <w:r>
        <w:rPr>
          <w:rFonts w:ascii="Arial Unicode MS" w:hAnsi="Calibri" w:cs="Arial Unicode MS"/>
          <w:sz w:val="18"/>
          <w:szCs w:val="18"/>
        </w:rPr>
        <w:t>SpC</w:t>
      </w:r>
      <w:proofErr w:type="spellEnd"/>
      <w:r>
        <w:rPr>
          <w:rFonts w:ascii="Arial Unicode MS" w:hAnsi="Calibri" w:cs="Arial Unicode MS"/>
          <w:sz w:val="18"/>
          <w:szCs w:val="18"/>
        </w:rPr>
        <w:t>, spinal cord; SCFA, short-chain fatty acid.</w:t>
      </w:r>
    </w:p>
    <w:p w14:paraId="0836FE38" w14:textId="77777777" w:rsidR="00533C5A" w:rsidRDefault="00533C5A" w:rsidP="00533C5A">
      <w:pPr>
        <w:rPr>
          <w:rFonts w:ascii="Arial Unicode MS" w:hAnsi="Arial Unicode MS" w:cs="Arial Unicode MS"/>
        </w:rPr>
      </w:pPr>
      <w:bookmarkStart w:id="11" w:name="[IMAGE-Fig18_Print.png]"/>
      <w:r>
        <w:rPr>
          <w:rFonts w:ascii="Arial Unicode MS" w:hAnsi="Calibri" w:cs="Arial Unicode MS"/>
          <w:noProof/>
        </w:rPr>
        <w:lastRenderedPageBreak/>
        <w:drawing>
          <wp:inline distT="0" distB="0" distL="0" distR="0" wp14:anchorId="0E04EE31" wp14:editId="6E32938E">
            <wp:extent cx="5974715" cy="61391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613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40C359D9" w14:textId="77777777" w:rsidR="00533C5A" w:rsidRDefault="00533C5A" w:rsidP="00533C5A">
      <w:pPr>
        <w:spacing w:beforeLines="100" w:before="240" w:after="120"/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bCs/>
          <w:sz w:val="18"/>
          <w:szCs w:val="18"/>
        </w:rPr>
        <w:t>Supplementary Figure S12. The impact of SCFAs on the amount of CD3</w:t>
      </w:r>
      <w:r>
        <w:rPr>
          <w:rFonts w:ascii="Arial Unicode MS" w:hAnsi="Calibri" w:cs="Arial Unicode MS"/>
          <w:b/>
          <w:bCs/>
          <w:sz w:val="18"/>
          <w:szCs w:val="18"/>
          <w:vertAlign w:val="superscript"/>
        </w:rPr>
        <w:t>+</w:t>
      </w:r>
      <w:r>
        <w:rPr>
          <w:rFonts w:ascii="Arial Unicode MS" w:hAnsi="Calibri" w:cs="Arial Unicode MS"/>
          <w:b/>
          <w:bCs/>
          <w:sz w:val="18"/>
          <w:szCs w:val="18"/>
        </w:rPr>
        <w:t xml:space="preserve"> cells and the tight junction (TJ)- associated OCLN at the brain barriers in healthy wild type (WT) mice</w:t>
      </w:r>
      <w:r>
        <w:rPr>
          <w:rFonts w:ascii="Arial Unicode MS" w:hAnsi="Calibri" w:cs="Arial Unicode MS"/>
          <w:sz w:val="18"/>
          <w:szCs w:val="18"/>
        </w:rPr>
        <w:t>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bCs/>
          <w:sz w:val="18"/>
          <w:szCs w:val="18"/>
        </w:rPr>
        <w:t>(A, B, C, E)</w:t>
      </w:r>
      <w:r>
        <w:rPr>
          <w:rFonts w:ascii="Arial Unicode MS" w:hAnsi="Calibri" w:cs="Arial Unicode MS"/>
          <w:sz w:val="18"/>
          <w:szCs w:val="18"/>
        </w:rPr>
        <w:t xml:space="preserve"> Representative images of CD3 (A, B; 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4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>5) and OCLN (C, E; 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3</w:t>
      </w:r>
      <w:r>
        <w:rPr>
          <w:rFonts w:ascii="Arial Unicode MS" w:hAnsi="Calibri" w:cs="Arial Unicode MS"/>
          <w:sz w:val="18"/>
          <w:szCs w:val="18"/>
        </w:rPr>
        <w:t>–</w:t>
      </w:r>
      <w:r>
        <w:rPr>
          <w:rFonts w:ascii="Arial Unicode MS" w:hAnsi="Calibri" w:cs="Arial Unicode MS"/>
          <w:sz w:val="18"/>
          <w:szCs w:val="18"/>
        </w:rPr>
        <w:t xml:space="preserve">6) staining at the hippocampus (A, C; scale bar 20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m) and the lateral ventricle bl</w:t>
      </w:r>
      <w:r>
        <w:rPr>
          <w:rFonts w:ascii="Arial Unicode MS" w:hAnsi="Calibri" w:cs="Arial Unicode MS" w:hint="eastAsia"/>
          <w:sz w:val="18"/>
          <w:szCs w:val="18"/>
        </w:rPr>
        <w:t>ood</w:t>
      </w:r>
      <w:r>
        <w:rPr>
          <w:rFonts w:ascii="Arial Unicode MS" w:hAnsi="Calibri" w:cs="Arial Unicode MS"/>
          <w:sz w:val="18"/>
          <w:szCs w:val="18"/>
        </w:rPr>
        <w:t xml:space="preserve">-CSF barrier (B, E; scale bar 100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m) of mice that were supplemented via oral gavage for three consecutive days with PBS,</w:t>
      </w:r>
      <w:r>
        <w:t xml:space="preserve"> </w:t>
      </w:r>
      <w:r>
        <w:rPr>
          <w:rFonts w:ascii="Arial Unicode MS" w:hAnsi="Calibri" w:cs="Arial Unicode MS"/>
          <w:sz w:val="18"/>
          <w:szCs w:val="18"/>
        </w:rPr>
        <w:t>sodium propionate (1 g/kg body weight) or sodium butyrate (1 g/kg body weight).</w:t>
      </w:r>
      <w:r>
        <w:rPr>
          <w:rFonts w:ascii="Arial Unicode MS" w:hAnsi="Calibri" w:cs="Arial Unicode MS" w:hint="eastAsia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sz w:val="18"/>
          <w:szCs w:val="18"/>
        </w:rPr>
        <w:t xml:space="preserve">(D, F) </w:t>
      </w:r>
      <w:r>
        <w:rPr>
          <w:rFonts w:ascii="Arial Unicode MS" w:hAnsi="Calibri" w:cs="Arial Unicode MS"/>
          <w:sz w:val="18"/>
          <w:szCs w:val="18"/>
        </w:rPr>
        <w:t>T</w:t>
      </w:r>
      <w:r>
        <w:rPr>
          <w:rFonts w:ascii="Arial Unicode MS" w:hAnsi="Calibri" w:cs="Arial Unicode MS"/>
          <w:bCs/>
          <w:sz w:val="18"/>
          <w:szCs w:val="18"/>
        </w:rPr>
        <w:t xml:space="preserve">he percentage of </w:t>
      </w:r>
      <w:r>
        <w:rPr>
          <w:rFonts w:ascii="Arial Unicode MS" w:hAnsi="Calibri" w:cs="Arial Unicode MS"/>
          <w:sz w:val="18"/>
          <w:szCs w:val="18"/>
        </w:rPr>
        <w:t>OCLN continuous length of &gt;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20 </w:t>
      </w:r>
      <w:r>
        <w:rPr>
          <w:rFonts w:ascii="Arial Unicode MS" w:hAnsi="Calibri" w:cs="Arial Unicode MS"/>
          <w:sz w:val="18"/>
          <w:szCs w:val="18"/>
        </w:rPr>
        <w:t>µ</w:t>
      </w:r>
      <w:r>
        <w:rPr>
          <w:rFonts w:ascii="Arial Unicode MS" w:hAnsi="Calibri" w:cs="Arial Unicode MS"/>
          <w:sz w:val="18"/>
          <w:szCs w:val="18"/>
        </w:rPr>
        <w:t>m in the hippocampus (D) and the blood-CSF barrier (F).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unpaired t-test. CSF, cerebrospinal fluid; OCLN, </w:t>
      </w:r>
      <w:proofErr w:type="spellStart"/>
      <w:r>
        <w:rPr>
          <w:rFonts w:ascii="Arial Unicode MS" w:hAnsi="Calibri" w:cs="Arial Unicode MS"/>
          <w:sz w:val="18"/>
          <w:szCs w:val="18"/>
        </w:rPr>
        <w:t>Occludin</w:t>
      </w:r>
      <w:proofErr w:type="spellEnd"/>
      <w:r>
        <w:rPr>
          <w:rFonts w:ascii="Arial Unicode MS" w:hAnsi="Calibri" w:cs="Arial Unicode MS"/>
          <w:sz w:val="18"/>
          <w:szCs w:val="18"/>
        </w:rPr>
        <w:t>; SCFA, short-chain fatty acid.</w:t>
      </w:r>
    </w:p>
    <w:p w14:paraId="215AB9D1" w14:textId="77777777" w:rsidR="00533C5A" w:rsidRDefault="00533C5A" w:rsidP="00533C5A">
      <w:pPr>
        <w:spacing w:beforeLines="100" w:before="240" w:after="120"/>
        <w:rPr>
          <w:rFonts w:ascii="Arial Unicode MS" w:hAnsi="Arial Unicode MS" w:cs="Arial Unicode MS"/>
          <w:sz w:val="18"/>
          <w:szCs w:val="18"/>
        </w:rPr>
      </w:pPr>
      <w:bookmarkStart w:id="12" w:name="[IMAGE-Fig19_Print.jpeg]"/>
      <w:r>
        <w:rPr>
          <w:rFonts w:ascii="Arial Unicode MS" w:hAnsi="Calibri" w:cs="Arial Unicode MS"/>
          <w:noProof/>
          <w:sz w:val="18"/>
          <w:szCs w:val="18"/>
        </w:rPr>
        <w:lastRenderedPageBreak/>
        <w:drawing>
          <wp:inline distT="0" distB="0" distL="0" distR="0" wp14:anchorId="2553B2E9" wp14:editId="17036618">
            <wp:extent cx="4322064" cy="36027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3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064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14:paraId="3097548E" w14:textId="77777777" w:rsidR="00533C5A" w:rsidRDefault="00533C5A" w:rsidP="00533C5A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hAnsi="Calibri" w:cs="Arial Unicode MS"/>
          <w:b/>
          <w:sz w:val="18"/>
          <w:szCs w:val="18"/>
        </w:rPr>
        <w:t>Supplementary Figure S13. Fecal propionate and butyrate levels are not altered upon fecal microbiota transfer (FMT).</w:t>
      </w:r>
      <w:r>
        <w:rPr>
          <w:rFonts w:ascii="Arial Unicode MS" w:hAnsi="Calibri" w:cs="Arial Unicode MS"/>
          <w:sz w:val="18"/>
          <w:szCs w:val="18"/>
        </w:rPr>
        <w:t xml:space="preserve"> </w:t>
      </w:r>
      <w:r>
        <w:rPr>
          <w:rFonts w:ascii="Arial Unicode MS" w:hAnsi="Calibri" w:cs="Arial Unicode MS"/>
          <w:b/>
          <w:sz w:val="18"/>
          <w:szCs w:val="18"/>
        </w:rPr>
        <w:t>(A, C)</w:t>
      </w:r>
      <w:r>
        <w:rPr>
          <w:rFonts w:ascii="Arial Unicode MS" w:hAnsi="Calibri" w:cs="Arial Unicode MS"/>
          <w:sz w:val="18"/>
          <w:szCs w:val="18"/>
        </w:rPr>
        <w:t xml:space="preserve"> Fecal propionate levels before the first FMT (pre-FMT) and 6 days after the last FMT (post-FMT) in healthy control (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) recipients which received fecal material from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 (A) and EAE (C)</w:t>
      </w:r>
      <w:r>
        <w:rPr>
          <w:rFonts w:ascii="Arial Unicode MS" w:hAnsi="Calibri" w:cs="Arial Unicode MS"/>
          <w:b/>
          <w:sz w:val="18"/>
          <w:szCs w:val="18"/>
        </w:rPr>
        <w:t xml:space="preserve"> </w:t>
      </w:r>
      <w:r>
        <w:rPr>
          <w:rFonts w:ascii="Arial Unicode MS" w:hAnsi="Calibri" w:cs="Arial Unicode MS"/>
          <w:sz w:val="18"/>
          <w:szCs w:val="18"/>
        </w:rPr>
        <w:t>donor mice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 xml:space="preserve">6). </w:t>
      </w:r>
      <w:r>
        <w:rPr>
          <w:rFonts w:ascii="Arial Unicode MS" w:hAnsi="Calibri" w:cs="Arial Unicode MS"/>
          <w:b/>
          <w:sz w:val="18"/>
          <w:szCs w:val="18"/>
        </w:rPr>
        <w:t>(B, D)</w:t>
      </w:r>
      <w:r>
        <w:rPr>
          <w:rFonts w:ascii="Arial Unicode MS" w:hAnsi="Calibri" w:cs="Arial Unicode MS"/>
          <w:sz w:val="18"/>
          <w:szCs w:val="18"/>
        </w:rPr>
        <w:t xml:space="preserve"> Fecal butyrate levels pre- and post-FMT in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 recipients which received fecal material from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 (B) and EAE (D) donor mice (n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=</w:t>
      </w:r>
      <w:r>
        <w:rPr>
          <w:rFonts w:ascii="Arial Unicode MS" w:hAnsi="Calibri" w:cs="Arial Unicode MS"/>
          <w:sz w:val="18"/>
          <w:szCs w:val="18"/>
        </w:rPr>
        <w:t> </w:t>
      </w:r>
      <w:r>
        <w:rPr>
          <w:rFonts w:ascii="Arial Unicode MS" w:hAnsi="Calibri" w:cs="Arial Unicode MS"/>
          <w:sz w:val="18"/>
          <w:szCs w:val="18"/>
        </w:rPr>
        <w:t>6). Datapoints represent mean</w:t>
      </w:r>
      <w:r>
        <w:rPr>
          <w:rFonts w:ascii="Arial Unicode MS" w:hAnsi="Calibri" w:cs="Arial Unicode MS"/>
          <w:sz w:val="18"/>
          <w:szCs w:val="18"/>
        </w:rPr>
        <w:t> ± </w:t>
      </w:r>
      <w:r>
        <w:rPr>
          <w:rFonts w:ascii="Arial Unicode MS" w:hAnsi="Calibri" w:cs="Arial Unicode MS"/>
          <w:sz w:val="18"/>
          <w:szCs w:val="18"/>
        </w:rPr>
        <w:t xml:space="preserve">SEM. Statistical analysis was performed with a Wilcoxon test. </w:t>
      </w:r>
      <w:r>
        <w:rPr>
          <w:rFonts w:ascii="Arial Unicode MS" w:hAnsi="Calibri" w:cs="Arial Unicode MS" w:hint="eastAsia"/>
          <w:sz w:val="18"/>
          <w:szCs w:val="18"/>
        </w:rPr>
        <w:t>Ctr</w:t>
      </w:r>
      <w:r>
        <w:rPr>
          <w:rFonts w:ascii="Arial Unicode MS" w:hAnsi="Calibri" w:cs="Arial Unicode MS"/>
          <w:sz w:val="18"/>
          <w:szCs w:val="18"/>
        </w:rPr>
        <w:t xml:space="preserve">, healthy control; EAE, </w:t>
      </w:r>
      <w:r>
        <w:rPr>
          <w:rFonts w:ascii="Arial Unicode MS" w:hAnsi="Calibri" w:cs="Arial Unicode MS"/>
          <w:sz w:val="18"/>
          <w:szCs w:val="20"/>
        </w:rPr>
        <w:t>experimental autoimmune encephalomyelitis</w:t>
      </w:r>
      <w:r>
        <w:rPr>
          <w:rFonts w:ascii="Arial Unicode MS" w:hAnsi="Calibri" w:cs="Arial Unicode MS"/>
          <w:sz w:val="18"/>
          <w:szCs w:val="18"/>
        </w:rPr>
        <w:t xml:space="preserve">; FMT, </w:t>
      </w:r>
      <w:r>
        <w:rPr>
          <w:rFonts w:ascii="Arial Unicode MS" w:hAnsi="Calibri" w:cs="Arial Unicode MS"/>
          <w:sz w:val="18"/>
          <w:szCs w:val="20"/>
        </w:rPr>
        <w:t>fecal microbiota transplantation</w:t>
      </w:r>
      <w:r>
        <w:rPr>
          <w:rFonts w:ascii="Arial Unicode MS" w:hAnsi="Calibri" w:cs="Arial Unicode MS"/>
          <w:sz w:val="18"/>
          <w:szCs w:val="18"/>
        </w:rPr>
        <w:t>.</w:t>
      </w:r>
    </w:p>
    <w:p w14:paraId="7A815978" w14:textId="77777777" w:rsidR="00097E7B" w:rsidRDefault="00097E7B"/>
    <w:sectPr w:rsidR="00097E7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5A"/>
    <w:rsid w:val="00097E7B"/>
    <w:rsid w:val="0053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9709"/>
  <w15:chartTrackingRefBased/>
  <w15:docId w15:val="{67EE12DB-620B-447B-84CB-F79D62E1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5A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image" Target="media/image9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tiff"/><Relationship Id="rId17" Type="http://schemas.openxmlformats.org/officeDocument/2006/relationships/image" Target="media/image13.tif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tiff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Dhansen Veerappan (integra)</dc:creator>
  <cp:keywords/>
  <dc:description/>
  <cp:lastModifiedBy>Dhansen Veerappan (integra)</cp:lastModifiedBy>
  <cp:revision>1</cp:revision>
  <dcterms:created xsi:type="dcterms:W3CDTF">2025-10-09T02:24:00Z</dcterms:created>
  <dcterms:modified xsi:type="dcterms:W3CDTF">2025-10-09T02:24:00Z</dcterms:modified>
</cp:coreProperties>
</file>