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193E1" w14:textId="4EE8EAAC" w:rsidR="000C4061" w:rsidRPr="00387E85" w:rsidRDefault="00A20093" w:rsidP="00387E85">
      <w:pPr>
        <w:spacing w:line="240" w:lineRule="auto"/>
        <w:rPr>
          <w:rFonts w:asciiTheme="majorBidi" w:eastAsiaTheme="majorEastAsia" w:hAnsiTheme="majorBidi" w:cstheme="majorBidi"/>
          <w:i/>
          <w:iCs/>
          <w:sz w:val="24"/>
          <w:szCs w:val="24"/>
          <w:u w:val="single"/>
        </w:rPr>
      </w:pPr>
      <w:r w:rsidRPr="00387E85">
        <w:rPr>
          <w:rFonts w:asciiTheme="majorBidi" w:eastAsiaTheme="majorEastAsia" w:hAnsiTheme="majorBidi" w:cstheme="majorBidi"/>
          <w:i/>
          <w:iCs/>
          <w:sz w:val="24"/>
          <w:szCs w:val="24"/>
          <w:u w:val="single"/>
        </w:rPr>
        <w:t>Supplementary:</w:t>
      </w:r>
    </w:p>
    <w:p w14:paraId="369F39E5" w14:textId="77777777" w:rsidR="00A20093" w:rsidRPr="00387E85" w:rsidRDefault="00A20093" w:rsidP="00F91D12">
      <w:pPr>
        <w:pStyle w:val="Heading2"/>
        <w:spacing w:line="480" w:lineRule="auto"/>
        <w:ind w:left="284"/>
        <w:rPr>
          <w:rFonts w:asciiTheme="majorBidi" w:hAnsiTheme="majorBidi"/>
          <w:i/>
          <w:iCs/>
          <w:color w:val="auto"/>
          <w:sz w:val="24"/>
          <w:szCs w:val="24"/>
          <w:u w:val="single"/>
        </w:rPr>
      </w:pPr>
      <w:r w:rsidRPr="00387E85">
        <w:rPr>
          <w:rFonts w:asciiTheme="majorBidi" w:hAnsiTheme="majorBidi"/>
          <w:i/>
          <w:iCs/>
          <w:color w:val="auto"/>
          <w:sz w:val="24"/>
          <w:szCs w:val="24"/>
          <w:u w:val="single"/>
        </w:rPr>
        <w:t>VPS implantation protocol</w:t>
      </w:r>
    </w:p>
    <w:p w14:paraId="157CCC2D" w14:textId="77777777" w:rsidR="00A20093" w:rsidRPr="00387E85" w:rsidRDefault="00A20093" w:rsidP="00F91D12">
      <w:pPr>
        <w:pStyle w:val="ListParagraph"/>
        <w:spacing w:line="480" w:lineRule="auto"/>
        <w:rPr>
          <w:sz w:val="24"/>
          <w:szCs w:val="24"/>
        </w:rPr>
      </w:pPr>
    </w:p>
    <w:p w14:paraId="6FB1A6D9" w14:textId="77777777" w:rsidR="00A20093" w:rsidRPr="00387E85" w:rsidRDefault="00A20093" w:rsidP="00F91D12">
      <w:pPr>
        <w:spacing w:line="480" w:lineRule="auto"/>
        <w:jc w:val="both"/>
        <w:rPr>
          <w:rFonts w:asciiTheme="majorBidi" w:hAnsiTheme="majorBidi" w:cstheme="majorBidi"/>
          <w:sz w:val="24"/>
          <w:szCs w:val="24"/>
        </w:rPr>
      </w:pPr>
      <w:r w:rsidRPr="00387E85">
        <w:rPr>
          <w:rFonts w:asciiTheme="majorBidi" w:hAnsiTheme="majorBidi" w:cstheme="majorBidi"/>
          <w:sz w:val="24"/>
          <w:szCs w:val="24"/>
        </w:rPr>
        <w:t xml:space="preserve">The VPS implantation protocol was the one routinely and regularly used for NPH cases in clinical practice [Yamada et al., 2022]. Patients lay on their back, </w:t>
      </w:r>
      <w:proofErr w:type="gramStart"/>
      <w:r w:rsidRPr="00387E85">
        <w:rPr>
          <w:rFonts w:asciiTheme="majorBidi" w:hAnsiTheme="majorBidi" w:cstheme="majorBidi"/>
          <w:sz w:val="24"/>
          <w:szCs w:val="24"/>
        </w:rPr>
        <w:t>head</w:t>
      </w:r>
      <w:proofErr w:type="gramEnd"/>
      <w:r w:rsidRPr="00387E85">
        <w:rPr>
          <w:rFonts w:asciiTheme="majorBidi" w:hAnsiTheme="majorBidi" w:cstheme="majorBidi"/>
          <w:sz w:val="24"/>
          <w:szCs w:val="24"/>
        </w:rPr>
        <w:t xml:space="preserve"> turned left followed by general anesthesia, disinfection, and draping. A right frontal or occipital incision to scalp and an incision to the right abdomen is performed. All patients are implanted with CODMAN CERTAS© Plus programable valve (DePuy Synthes, Johnson &amp; Johnson). The end of the shunt tube is guided through a subcutaneous tunnel along the neck to the abdominal cavity.  A hole is drilled and the dura mater cut open, followed by ablation of the dura and pia. Right lateral ventricle is entered using the ventricular end of shunt tube until clear CSF appears and the shunt tube is fixed appropriately. During the operation, the initial opening pressure is determined, and CSF specimens are collected for analysis. Shunt valve is fixed in place.  Initial pressure setting is based on a fixed level of 5 (corresponding to 145 ±35 mm </w:t>
      </w:r>
      <w:r w:rsidRPr="00387E85">
        <w:rPr>
          <w:rFonts w:asciiTheme="majorBidi" w:hAnsiTheme="majorBidi" w:cstheme="majorBidi"/>
          <w:sz w:val="24"/>
          <w:szCs w:val="24"/>
          <w:bdr w:val="none" w:sz="0" w:space="0" w:color="auto" w:frame="1"/>
          <w:shd w:val="clear" w:color="auto" w:fill="FFFFFF"/>
        </w:rPr>
        <w:t>H</w:t>
      </w:r>
      <w:r w:rsidRPr="00387E85">
        <w:rPr>
          <w:rFonts w:asciiTheme="majorBidi" w:hAnsiTheme="majorBidi" w:cstheme="majorBidi"/>
          <w:sz w:val="24"/>
          <w:szCs w:val="24"/>
          <w:bdr w:val="none" w:sz="0" w:space="0" w:color="auto" w:frame="1"/>
          <w:shd w:val="clear" w:color="auto" w:fill="FFFFFF"/>
          <w:vertAlign w:val="subscript"/>
        </w:rPr>
        <w:t>2</w:t>
      </w:r>
      <w:r w:rsidRPr="00387E85">
        <w:rPr>
          <w:rFonts w:asciiTheme="majorBidi" w:hAnsiTheme="majorBidi" w:cstheme="majorBidi"/>
          <w:sz w:val="24"/>
          <w:szCs w:val="24"/>
          <w:bdr w:val="none" w:sz="0" w:space="0" w:color="auto" w:frame="1"/>
          <w:shd w:val="clear" w:color="auto" w:fill="FFFFFF"/>
        </w:rPr>
        <w:t>O</w:t>
      </w:r>
      <w:r w:rsidRPr="00387E85">
        <w:rPr>
          <w:rFonts w:asciiTheme="majorBidi" w:hAnsiTheme="majorBidi" w:cstheme="majorBidi"/>
          <w:sz w:val="24"/>
          <w:szCs w:val="24"/>
        </w:rPr>
        <w:t>) while accounting to the height and weight of the patient.</w:t>
      </w:r>
    </w:p>
    <w:p w14:paraId="0D5ABE22" w14:textId="77777777" w:rsidR="00A20093" w:rsidRPr="00387E85" w:rsidRDefault="00A20093" w:rsidP="00F91D12">
      <w:pPr>
        <w:spacing w:line="480" w:lineRule="auto"/>
        <w:rPr>
          <w:rFonts w:asciiTheme="majorBidi" w:hAnsiTheme="majorBidi" w:cstheme="majorBidi"/>
          <w:sz w:val="24"/>
          <w:szCs w:val="24"/>
        </w:rPr>
      </w:pPr>
    </w:p>
    <w:p w14:paraId="6D3CD605" w14:textId="77777777" w:rsidR="00A20093" w:rsidRPr="00387E85" w:rsidRDefault="00A20093" w:rsidP="00F91D12">
      <w:pPr>
        <w:pStyle w:val="Heading2"/>
        <w:spacing w:line="480" w:lineRule="auto"/>
        <w:ind w:left="284"/>
        <w:rPr>
          <w:rFonts w:asciiTheme="majorBidi" w:hAnsiTheme="majorBidi"/>
          <w:i/>
          <w:iCs/>
          <w:color w:val="auto"/>
          <w:sz w:val="24"/>
          <w:szCs w:val="24"/>
          <w:u w:val="single"/>
        </w:rPr>
      </w:pPr>
      <w:r w:rsidRPr="00387E85">
        <w:rPr>
          <w:rFonts w:asciiTheme="majorBidi" w:hAnsiTheme="majorBidi"/>
          <w:i/>
          <w:iCs/>
          <w:color w:val="auto"/>
          <w:sz w:val="24"/>
          <w:szCs w:val="24"/>
          <w:u w:val="single"/>
        </w:rPr>
        <w:t>Post-ventriculoperitoneal shunt placement protocol</w:t>
      </w:r>
    </w:p>
    <w:p w14:paraId="51EB7C72" w14:textId="77777777" w:rsidR="00A20093" w:rsidRPr="00387E85" w:rsidRDefault="00A20093" w:rsidP="00F91D12">
      <w:pPr>
        <w:spacing w:line="480" w:lineRule="auto"/>
        <w:rPr>
          <w:sz w:val="24"/>
          <w:szCs w:val="24"/>
        </w:rPr>
      </w:pPr>
    </w:p>
    <w:p w14:paraId="5211FA5A" w14:textId="77777777" w:rsidR="00A20093" w:rsidRDefault="00A20093" w:rsidP="00F91D12">
      <w:pPr>
        <w:spacing w:line="480" w:lineRule="auto"/>
        <w:jc w:val="both"/>
        <w:rPr>
          <w:rStyle w:val="m-6452224808153580728contentpasted1"/>
          <w:rFonts w:asciiTheme="majorBidi" w:hAnsiTheme="majorBidi" w:cstheme="majorBidi"/>
          <w:color w:val="000000"/>
          <w:sz w:val="24"/>
          <w:szCs w:val="24"/>
          <w:bdr w:val="none" w:sz="0" w:space="0" w:color="auto" w:frame="1"/>
          <w:shd w:val="clear" w:color="auto" w:fill="FFFFFF"/>
        </w:rPr>
      </w:pPr>
      <w:r w:rsidRPr="00387E85">
        <w:rPr>
          <w:rStyle w:val="m-6452224808153580728contentpasted1"/>
          <w:rFonts w:asciiTheme="majorBidi" w:hAnsiTheme="majorBidi" w:cstheme="majorBidi"/>
          <w:color w:val="000000"/>
          <w:sz w:val="24"/>
          <w:szCs w:val="24"/>
          <w:bdr w:val="none" w:sz="0" w:space="0" w:color="auto" w:frame="1"/>
          <w:shd w:val="clear" w:color="auto" w:fill="FFFFFF"/>
        </w:rPr>
        <w:t>CT scans are performed on all patients within 24 hours from surgery to verify the catheter location and</w:t>
      </w:r>
      <w:r w:rsidRPr="00387E85">
        <w:rPr>
          <w:rStyle w:val="m-6452224808153580728contentpasted1"/>
          <w:rFonts w:asciiTheme="majorBidi" w:hAnsiTheme="majorBidi" w:cstheme="majorBidi"/>
          <w:color w:val="000000"/>
          <w:sz w:val="24"/>
          <w:szCs w:val="24"/>
          <w:bdr w:val="none" w:sz="0" w:space="0" w:color="auto" w:frame="1"/>
          <w:shd w:val="clear" w:color="auto" w:fill="FFFFFF"/>
          <w:rtl/>
        </w:rPr>
        <w:t xml:space="preserve"> </w:t>
      </w:r>
      <w:r w:rsidRPr="00387E85">
        <w:rPr>
          <w:rStyle w:val="m-6452224808153580728contentpasted1"/>
          <w:rFonts w:asciiTheme="majorBidi" w:hAnsiTheme="majorBidi" w:cstheme="majorBidi"/>
          <w:color w:val="000000"/>
          <w:sz w:val="24"/>
          <w:szCs w:val="24"/>
          <w:bdr w:val="none" w:sz="0" w:space="0" w:color="auto" w:frame="1"/>
          <w:shd w:val="clear" w:color="auto" w:fill="FFFFFF"/>
        </w:rPr>
        <w:t>absence of bleeding. Postoperative follow-up visits are routinely performed 1 month and 3 months post operation by the neurosurgeon and additional</w:t>
      </w:r>
      <w:r w:rsidRPr="00387E85">
        <w:rPr>
          <w:rStyle w:val="m-6452224808153580728contentpasted1"/>
          <w:rFonts w:asciiTheme="majorBidi" w:hAnsiTheme="majorBidi" w:cstheme="majorBidi"/>
          <w:color w:val="000000"/>
          <w:sz w:val="24"/>
          <w:szCs w:val="24"/>
          <w:bdr w:val="none" w:sz="0" w:space="0" w:color="auto" w:frame="1"/>
          <w:shd w:val="clear" w:color="auto" w:fill="FFFFFF"/>
          <w:rtl/>
        </w:rPr>
        <w:t xml:space="preserve"> </w:t>
      </w:r>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follow up visits are performed by the SMDI neurologists up to one year after operation. </w:t>
      </w:r>
      <w:r w:rsidRPr="00387E85">
        <w:rPr>
          <w:rFonts w:asciiTheme="majorBidi" w:hAnsiTheme="majorBidi" w:cstheme="majorBidi"/>
          <w:sz w:val="24"/>
          <w:szCs w:val="24"/>
          <w:bdr w:val="none" w:sz="0" w:space="0" w:color="auto" w:frame="1"/>
          <w:shd w:val="clear" w:color="auto" w:fill="FFFFFF"/>
        </w:rPr>
        <w:t xml:space="preserve">Additional follow-up visits may take place at neurosurgeons’ discretion. </w:t>
      </w:r>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Adjustments of valve pressure levels at 1 or 3 months </w:t>
      </w:r>
      <w:proofErr w:type="gramStart"/>
      <w:r w:rsidRPr="00387E85">
        <w:rPr>
          <w:rStyle w:val="m-6452224808153580728contentpasted1"/>
          <w:rFonts w:asciiTheme="majorBidi" w:hAnsiTheme="majorBidi" w:cstheme="majorBidi"/>
          <w:color w:val="000000"/>
          <w:sz w:val="24"/>
          <w:szCs w:val="24"/>
          <w:bdr w:val="none" w:sz="0" w:space="0" w:color="auto" w:frame="1"/>
          <w:shd w:val="clear" w:color="auto" w:fill="FFFFFF"/>
        </w:rPr>
        <w:t>follow up</w:t>
      </w:r>
      <w:proofErr w:type="gramEnd"/>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 are performed as needed. The setting may be adjusted to level 6 </w:t>
      </w:r>
      <w:r w:rsidRPr="00387E85">
        <w:rPr>
          <w:rFonts w:asciiTheme="majorBidi" w:hAnsiTheme="majorBidi" w:cstheme="majorBidi"/>
          <w:sz w:val="24"/>
          <w:szCs w:val="24"/>
          <w:bdr w:val="none" w:sz="0" w:space="0" w:color="auto" w:frame="1"/>
          <w:shd w:val="clear" w:color="auto" w:fill="FFFFFF"/>
        </w:rPr>
        <w:t>(180 ±35 mm H</w:t>
      </w:r>
      <w:r w:rsidRPr="00387E85">
        <w:rPr>
          <w:rFonts w:asciiTheme="majorBidi" w:hAnsiTheme="majorBidi" w:cstheme="majorBidi"/>
          <w:sz w:val="24"/>
          <w:szCs w:val="24"/>
          <w:bdr w:val="none" w:sz="0" w:space="0" w:color="auto" w:frame="1"/>
          <w:shd w:val="clear" w:color="auto" w:fill="FFFFFF"/>
          <w:vertAlign w:val="subscript"/>
        </w:rPr>
        <w:t>2</w:t>
      </w:r>
      <w:r w:rsidRPr="00387E85">
        <w:rPr>
          <w:rFonts w:asciiTheme="majorBidi" w:hAnsiTheme="majorBidi" w:cstheme="majorBidi"/>
          <w:sz w:val="24"/>
          <w:szCs w:val="24"/>
          <w:bdr w:val="none" w:sz="0" w:space="0" w:color="auto" w:frame="1"/>
          <w:shd w:val="clear" w:color="auto" w:fill="FFFFFF"/>
        </w:rPr>
        <w:t xml:space="preserve">O, according to device datasheet) </w:t>
      </w:r>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if symptoms of over-drainage are reported (postural </w:t>
      </w:r>
      <w:r w:rsidRPr="00387E85">
        <w:rPr>
          <w:rStyle w:val="m-6452224808153580728contentpasted1"/>
          <w:rFonts w:asciiTheme="majorBidi" w:hAnsiTheme="majorBidi" w:cstheme="majorBidi"/>
          <w:color w:val="000000"/>
          <w:sz w:val="24"/>
          <w:szCs w:val="24"/>
          <w:bdr w:val="none" w:sz="0" w:space="0" w:color="auto" w:frame="1"/>
          <w:shd w:val="clear" w:color="auto" w:fill="FFFFFF"/>
        </w:rPr>
        <w:lastRenderedPageBreak/>
        <w:t>headaches</w:t>
      </w:r>
      <w:r w:rsidRPr="00387E85">
        <w:rPr>
          <w:rStyle w:val="m-6452224808153580728contentpasted1"/>
          <w:rFonts w:asciiTheme="majorBidi" w:hAnsiTheme="majorBidi" w:cstheme="majorBidi"/>
          <w:color w:val="000000"/>
          <w:sz w:val="24"/>
          <w:szCs w:val="24"/>
          <w:bdr w:val="none" w:sz="0" w:space="0" w:color="auto" w:frame="1"/>
          <w:shd w:val="clear" w:color="auto" w:fill="FFFFFF"/>
          <w:rtl/>
        </w:rPr>
        <w:t>,</w:t>
      </w:r>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 dizziness, nausea, vomiting, diplopia and seizures). If </w:t>
      </w:r>
      <w:proofErr w:type="gramStart"/>
      <w:r w:rsidRPr="00387E85">
        <w:rPr>
          <w:rStyle w:val="m-6452224808153580728contentpasted1"/>
          <w:rFonts w:asciiTheme="majorBidi" w:hAnsiTheme="majorBidi" w:cstheme="majorBidi"/>
          <w:color w:val="000000"/>
          <w:sz w:val="24"/>
          <w:szCs w:val="24"/>
          <w:bdr w:val="none" w:sz="0" w:space="0" w:color="auto" w:frame="1"/>
          <w:shd w:val="clear" w:color="auto" w:fill="FFFFFF"/>
        </w:rPr>
        <w:t>patient does</w:t>
      </w:r>
      <w:proofErr w:type="gramEnd"/>
      <w:r w:rsidRPr="00387E85">
        <w:rPr>
          <w:rStyle w:val="m-6452224808153580728contentpasted1"/>
          <w:rFonts w:asciiTheme="majorBidi" w:hAnsiTheme="majorBidi" w:cstheme="majorBidi"/>
          <w:color w:val="000000"/>
          <w:sz w:val="24"/>
          <w:szCs w:val="24"/>
          <w:bdr w:val="none" w:sz="0" w:space="0" w:color="auto" w:frame="1"/>
          <w:shd w:val="clear" w:color="auto" w:fill="FFFFFF"/>
        </w:rPr>
        <w:t xml:space="preserve"> not experience improvement in gait, the level may be adjusted to 4 </w:t>
      </w:r>
      <w:r w:rsidRPr="00387E85">
        <w:rPr>
          <w:rFonts w:asciiTheme="majorBidi" w:hAnsiTheme="majorBidi" w:cstheme="majorBidi"/>
          <w:sz w:val="24"/>
          <w:szCs w:val="24"/>
          <w:bdr w:val="none" w:sz="0" w:space="0" w:color="auto" w:frame="1"/>
          <w:shd w:val="clear" w:color="auto" w:fill="FFFFFF"/>
        </w:rPr>
        <w:t>(110 ±25 mm H</w:t>
      </w:r>
      <w:r w:rsidRPr="00387E85">
        <w:rPr>
          <w:rFonts w:asciiTheme="majorBidi" w:hAnsiTheme="majorBidi" w:cstheme="majorBidi"/>
          <w:sz w:val="24"/>
          <w:szCs w:val="24"/>
          <w:bdr w:val="none" w:sz="0" w:space="0" w:color="auto" w:frame="1"/>
          <w:shd w:val="clear" w:color="auto" w:fill="FFFFFF"/>
          <w:vertAlign w:val="subscript"/>
        </w:rPr>
        <w:t>2</w:t>
      </w:r>
      <w:r w:rsidRPr="00387E85">
        <w:rPr>
          <w:rFonts w:asciiTheme="majorBidi" w:hAnsiTheme="majorBidi" w:cstheme="majorBidi"/>
          <w:sz w:val="24"/>
          <w:szCs w:val="24"/>
          <w:bdr w:val="none" w:sz="0" w:space="0" w:color="auto" w:frame="1"/>
          <w:shd w:val="clear" w:color="auto" w:fill="FFFFFF"/>
        </w:rPr>
        <w:t xml:space="preserve">O, according to device datasheet) </w:t>
      </w:r>
      <w:r w:rsidRPr="00387E85">
        <w:rPr>
          <w:rStyle w:val="m-6452224808153580728contentpasted1"/>
          <w:rFonts w:asciiTheme="majorBidi" w:hAnsiTheme="majorBidi" w:cstheme="majorBidi"/>
          <w:color w:val="000000"/>
          <w:sz w:val="24"/>
          <w:szCs w:val="24"/>
          <w:bdr w:val="none" w:sz="0" w:space="0" w:color="auto" w:frame="1"/>
          <w:shd w:val="clear" w:color="auto" w:fill="FFFFFF"/>
        </w:rPr>
        <w:t>at the neurosurgeon’s discretion. In cases of worsening of adverse effects, an additional CT may be performed</w:t>
      </w:r>
      <w:r w:rsidRPr="00387E85">
        <w:rPr>
          <w:rStyle w:val="m-6452224808153580728contentpasted1"/>
          <w:rFonts w:asciiTheme="majorBidi" w:hAnsiTheme="majorBidi" w:cstheme="majorBidi"/>
          <w:color w:val="000000"/>
          <w:sz w:val="24"/>
          <w:szCs w:val="24"/>
          <w:bdr w:val="none" w:sz="0" w:space="0" w:color="auto" w:frame="1"/>
          <w:shd w:val="clear" w:color="auto" w:fill="FFFFFF"/>
          <w:rtl/>
        </w:rPr>
        <w:t>.</w:t>
      </w:r>
    </w:p>
    <w:p w14:paraId="7F88209A" w14:textId="77777777" w:rsidR="001D6771" w:rsidRDefault="001D6771" w:rsidP="00F91D12">
      <w:pPr>
        <w:spacing w:line="480" w:lineRule="auto"/>
        <w:jc w:val="both"/>
        <w:rPr>
          <w:rStyle w:val="m-6452224808153580728contentpasted1"/>
          <w:rFonts w:asciiTheme="majorBidi" w:hAnsiTheme="majorBidi" w:cstheme="majorBidi"/>
          <w:color w:val="000000"/>
          <w:sz w:val="24"/>
          <w:szCs w:val="24"/>
          <w:bdr w:val="none" w:sz="0" w:space="0" w:color="auto" w:frame="1"/>
          <w:shd w:val="clear" w:color="auto" w:fill="FFFFFF"/>
        </w:rPr>
      </w:pPr>
    </w:p>
    <w:p w14:paraId="517380E6" w14:textId="2CDDEF3D" w:rsidR="001D6771" w:rsidRPr="00AB535F" w:rsidRDefault="001D6771" w:rsidP="00F91D12">
      <w:pPr>
        <w:spacing w:line="480" w:lineRule="auto"/>
        <w:jc w:val="both"/>
        <w:rPr>
          <w:rStyle w:val="m-6452224808153580728contentpasted1"/>
          <w:rFonts w:asciiTheme="majorBidi" w:hAnsiTheme="majorBidi" w:cstheme="majorBidi"/>
          <w:color w:val="EE0000"/>
          <w:sz w:val="24"/>
          <w:szCs w:val="24"/>
          <w:bdr w:val="none" w:sz="0" w:space="0" w:color="auto" w:frame="1"/>
          <w:shd w:val="clear" w:color="auto" w:fill="FFFFFF"/>
        </w:rPr>
      </w:pPr>
      <w:r w:rsidRPr="00AB535F">
        <w:rPr>
          <w:rStyle w:val="m-6452224808153580728contentpasted1"/>
          <w:rFonts w:asciiTheme="majorBidi" w:hAnsiTheme="majorBidi" w:cstheme="majorBidi"/>
          <w:color w:val="EE0000"/>
          <w:sz w:val="24"/>
          <w:szCs w:val="24"/>
          <w:bdr w:val="none" w:sz="0" w:space="0" w:color="auto" w:frame="1"/>
          <w:shd w:val="clear" w:color="auto" w:fill="FFFFFF"/>
        </w:rPr>
        <w:t>Supplementary Figure 1:</w:t>
      </w:r>
    </w:p>
    <w:p w14:paraId="1860D678" w14:textId="1C7134D7" w:rsidR="001D6771" w:rsidRPr="00387E85" w:rsidRDefault="005D4462" w:rsidP="00F91D12">
      <w:pPr>
        <w:spacing w:line="480" w:lineRule="auto"/>
        <w:jc w:val="both"/>
        <w:rPr>
          <w:rStyle w:val="m-6452224808153580728contentpasted1"/>
          <w:rFonts w:asciiTheme="majorBidi" w:hAnsiTheme="majorBidi" w:cstheme="majorBidi"/>
          <w:color w:val="000000"/>
          <w:sz w:val="24"/>
          <w:szCs w:val="24"/>
          <w:bdr w:val="none" w:sz="0" w:space="0" w:color="auto" w:frame="1"/>
          <w:shd w:val="clear" w:color="auto" w:fill="FFFFFF"/>
        </w:rPr>
      </w:pPr>
      <w:r>
        <w:rPr>
          <w:rStyle w:val="m-6452224808153580728contentpasted1"/>
          <w:rFonts w:asciiTheme="majorBidi" w:hAnsiTheme="majorBidi" w:cstheme="majorBidi"/>
          <w:noProof/>
          <w:color w:val="000000"/>
          <w:sz w:val="24"/>
          <w:szCs w:val="24"/>
          <w:bdr w:val="none" w:sz="0" w:space="0" w:color="auto" w:frame="1"/>
          <w:shd w:val="clear" w:color="auto" w:fill="FFFFFF"/>
        </w:rPr>
        <w:drawing>
          <wp:inline distT="0" distB="0" distL="0" distR="0" wp14:anchorId="3170FFCF" wp14:editId="522D415F">
            <wp:extent cx="4888523" cy="4847249"/>
            <wp:effectExtent l="0" t="0" r="7620" b="0"/>
            <wp:docPr id="1506064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92792" cy="4851482"/>
                    </a:xfrm>
                    <a:prstGeom prst="rect">
                      <a:avLst/>
                    </a:prstGeom>
                    <a:noFill/>
                  </pic:spPr>
                </pic:pic>
              </a:graphicData>
            </a:graphic>
          </wp:inline>
        </w:drawing>
      </w:r>
    </w:p>
    <w:p w14:paraId="77C17C0E" w14:textId="15A32C85" w:rsidR="00386F7A" w:rsidRPr="00AB535F" w:rsidRDefault="00386F7A" w:rsidP="00386F7A">
      <w:pPr>
        <w:spacing w:line="240" w:lineRule="auto"/>
        <w:jc w:val="both"/>
        <w:rPr>
          <w:rFonts w:asciiTheme="majorBidi" w:hAnsiTheme="majorBidi" w:cstheme="majorBidi"/>
          <w:b/>
          <w:bCs/>
          <w:color w:val="EE0000"/>
          <w:sz w:val="20"/>
          <w:szCs w:val="20"/>
        </w:rPr>
      </w:pPr>
      <w:r w:rsidRPr="00AB535F">
        <w:rPr>
          <w:rFonts w:asciiTheme="majorBidi" w:hAnsiTheme="majorBidi" w:cstheme="majorBidi"/>
          <w:b/>
          <w:bCs/>
          <w:color w:val="EE0000"/>
          <w:sz w:val="20"/>
          <w:szCs w:val="20"/>
        </w:rPr>
        <w:t xml:space="preserve">Supplementary </w:t>
      </w:r>
      <w:r w:rsidRPr="00AB535F">
        <w:rPr>
          <w:rFonts w:asciiTheme="majorBidi" w:hAnsiTheme="majorBidi" w:cstheme="majorBidi"/>
          <w:b/>
          <w:bCs/>
          <w:color w:val="EE0000"/>
          <w:sz w:val="20"/>
          <w:szCs w:val="20"/>
        </w:rPr>
        <w:t xml:space="preserve">Figure </w:t>
      </w:r>
      <w:r w:rsidRPr="00AB535F">
        <w:rPr>
          <w:rFonts w:asciiTheme="majorBidi" w:hAnsiTheme="majorBidi" w:cstheme="majorBidi"/>
          <w:b/>
          <w:bCs/>
          <w:color w:val="EE0000"/>
          <w:sz w:val="20"/>
          <w:szCs w:val="20"/>
        </w:rPr>
        <w:t>1</w:t>
      </w:r>
      <w:r w:rsidRPr="00AB535F">
        <w:rPr>
          <w:rFonts w:asciiTheme="majorBidi" w:hAnsiTheme="majorBidi" w:cstheme="majorBidi"/>
          <w:b/>
          <w:bCs/>
          <w:color w:val="EE0000"/>
          <w:sz w:val="20"/>
          <w:szCs w:val="20"/>
        </w:rPr>
        <w:t>. STROBE flow diagram of patient enrollment, treatment allocation, and longitudinal follow-up.</w:t>
      </w:r>
      <w:r w:rsidRPr="00AB535F">
        <w:rPr>
          <w:rFonts w:asciiTheme="majorBidi" w:hAnsiTheme="majorBidi" w:cstheme="majorBidi"/>
          <w:b/>
          <w:bCs/>
          <w:color w:val="EE0000"/>
          <w:sz w:val="20"/>
          <w:szCs w:val="20"/>
        </w:rPr>
        <w:t xml:space="preserve"> </w:t>
      </w:r>
      <w:r w:rsidRPr="00AB535F">
        <w:rPr>
          <w:rFonts w:asciiTheme="majorBidi" w:hAnsiTheme="majorBidi" w:cstheme="majorBidi"/>
          <w:color w:val="EE0000"/>
          <w:sz w:val="20"/>
          <w:szCs w:val="20"/>
        </w:rPr>
        <w:t xml:space="preserve">Forty-one patients with possible </w:t>
      </w:r>
      <w:proofErr w:type="spellStart"/>
      <w:r w:rsidRPr="00AB535F">
        <w:rPr>
          <w:rFonts w:asciiTheme="majorBidi" w:hAnsiTheme="majorBidi" w:cstheme="majorBidi"/>
          <w:color w:val="EE0000"/>
          <w:sz w:val="20"/>
          <w:szCs w:val="20"/>
        </w:rPr>
        <w:t>iNPH</w:t>
      </w:r>
      <w:proofErr w:type="spellEnd"/>
      <w:r w:rsidRPr="00AB535F">
        <w:rPr>
          <w:rFonts w:asciiTheme="majorBidi" w:hAnsiTheme="majorBidi" w:cstheme="majorBidi"/>
          <w:color w:val="EE0000"/>
          <w:sz w:val="20"/>
          <w:szCs w:val="20"/>
        </w:rPr>
        <w:t xml:space="preserve"> were screened and underwent TMS-EEG evaluation and LP/CSF tap test. Twenty-two patients proceeded to VPS, of whom 21 completed the 3-month follow-up, 19 completed the 6-month follow-up, and 18 completed the 12–18-month follow-up. Reasons for attrition included comorbidities precluding surgery, postoperative complications, and lack of compliance with additional onsite symptom evaluations.</w:t>
      </w:r>
    </w:p>
    <w:p w14:paraId="54C12942" w14:textId="77777777" w:rsidR="00386F7A" w:rsidRPr="00AB535F" w:rsidRDefault="00386F7A" w:rsidP="00386F7A">
      <w:pPr>
        <w:spacing w:line="240" w:lineRule="auto"/>
        <w:jc w:val="both"/>
        <w:rPr>
          <w:rFonts w:asciiTheme="majorBidi" w:hAnsiTheme="majorBidi" w:cstheme="majorBidi"/>
          <w:color w:val="EE0000"/>
          <w:sz w:val="20"/>
          <w:szCs w:val="20"/>
        </w:rPr>
      </w:pPr>
    </w:p>
    <w:p w14:paraId="48C131C5" w14:textId="1158B2B4" w:rsidR="00A20093" w:rsidRPr="00AB535F" w:rsidRDefault="00386F7A" w:rsidP="00386F7A">
      <w:pPr>
        <w:spacing w:line="240" w:lineRule="auto"/>
        <w:jc w:val="both"/>
        <w:rPr>
          <w:color w:val="EE0000"/>
          <w:sz w:val="24"/>
          <w:szCs w:val="24"/>
        </w:rPr>
      </w:pPr>
      <w:r w:rsidRPr="00AB535F">
        <w:rPr>
          <w:rFonts w:asciiTheme="majorBidi" w:hAnsiTheme="majorBidi" w:cstheme="majorBidi"/>
          <w:color w:val="EE0000"/>
          <w:sz w:val="20"/>
          <w:szCs w:val="20"/>
        </w:rPr>
        <w:lastRenderedPageBreak/>
        <w:t xml:space="preserve">Abbreviations: </w:t>
      </w:r>
      <w:proofErr w:type="spellStart"/>
      <w:r w:rsidRPr="00AB535F">
        <w:rPr>
          <w:rFonts w:asciiTheme="majorBidi" w:hAnsiTheme="majorBidi" w:cstheme="majorBidi"/>
          <w:color w:val="EE0000"/>
          <w:sz w:val="20"/>
          <w:szCs w:val="20"/>
        </w:rPr>
        <w:t>iNPH</w:t>
      </w:r>
      <w:proofErr w:type="spellEnd"/>
      <w:r w:rsidRPr="00AB535F">
        <w:rPr>
          <w:rFonts w:asciiTheme="majorBidi" w:hAnsiTheme="majorBidi" w:cstheme="majorBidi"/>
          <w:color w:val="EE0000"/>
          <w:sz w:val="20"/>
          <w:szCs w:val="20"/>
        </w:rPr>
        <w:t>, idiopathic normal pressure hydrocephalus; TMS-EEG, transcranial magnetic stimulation–electroencephalography; LP, lumbar puncture; CSF, cerebrospinal fluid; VPS, ventriculoperitoneal shunt; FU, follow-up; CTT, CSF tap test.</w:t>
      </w:r>
    </w:p>
    <w:sectPr w:rsidR="00A20093" w:rsidRPr="00AB5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093"/>
    <w:rsid w:val="000C4061"/>
    <w:rsid w:val="00174959"/>
    <w:rsid w:val="001805F5"/>
    <w:rsid w:val="001D6771"/>
    <w:rsid w:val="002D28F8"/>
    <w:rsid w:val="00325C05"/>
    <w:rsid w:val="00386F7A"/>
    <w:rsid w:val="00387E85"/>
    <w:rsid w:val="00543940"/>
    <w:rsid w:val="005A411A"/>
    <w:rsid w:val="005D4462"/>
    <w:rsid w:val="008863B7"/>
    <w:rsid w:val="009C5157"/>
    <w:rsid w:val="00A20093"/>
    <w:rsid w:val="00AB535F"/>
    <w:rsid w:val="00B466B6"/>
    <w:rsid w:val="00B53632"/>
    <w:rsid w:val="00BE5EAC"/>
    <w:rsid w:val="00C00D9D"/>
    <w:rsid w:val="00C71ED1"/>
    <w:rsid w:val="00D815D3"/>
    <w:rsid w:val="00DF7B4A"/>
    <w:rsid w:val="00F91D12"/>
    <w:rsid w:val="00FD7AE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0DA0F"/>
  <w15:chartTrackingRefBased/>
  <w15:docId w15:val="{EBA70DA8-90CC-42AB-B4F7-7CBE0AC50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2">
    <w:name w:val="heading 2"/>
    <w:basedOn w:val="Normal"/>
    <w:next w:val="Normal"/>
    <w:link w:val="Heading2Char"/>
    <w:uiPriority w:val="9"/>
    <w:unhideWhenUsed/>
    <w:qFormat/>
    <w:rsid w:val="00A20093"/>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20093"/>
    <w:rPr>
      <w:rFonts w:asciiTheme="majorHAnsi" w:eastAsiaTheme="majorEastAsia" w:hAnsiTheme="majorHAnsi" w:cstheme="majorBidi"/>
      <w:color w:val="404040" w:themeColor="text1" w:themeTint="BF"/>
      <w:sz w:val="28"/>
      <w:szCs w:val="28"/>
      <w:lang w:val="en-US"/>
    </w:rPr>
  </w:style>
  <w:style w:type="paragraph" w:styleId="ListParagraph">
    <w:name w:val="List Paragraph"/>
    <w:aliases w:val="Bullet"/>
    <w:basedOn w:val="Normal"/>
    <w:link w:val="ListParagraphChar"/>
    <w:autoRedefine/>
    <w:uiPriority w:val="34"/>
    <w:qFormat/>
    <w:rsid w:val="00A20093"/>
    <w:pPr>
      <w:autoSpaceDE w:val="0"/>
      <w:autoSpaceDN w:val="0"/>
      <w:spacing w:after="0" w:line="240" w:lineRule="auto"/>
      <w:ind w:left="720" w:right="4"/>
    </w:pPr>
    <w:rPr>
      <w:rFonts w:eastAsia="Times New Roman" w:cstheme="minorHAnsi"/>
      <w:sz w:val="20"/>
      <w:szCs w:val="20"/>
      <w:lang w:val="en-CA"/>
    </w:rPr>
  </w:style>
  <w:style w:type="character" w:customStyle="1" w:styleId="ListParagraphChar">
    <w:name w:val="List Paragraph Char"/>
    <w:aliases w:val="Bullet Char"/>
    <w:link w:val="ListParagraph"/>
    <w:uiPriority w:val="34"/>
    <w:qFormat/>
    <w:rsid w:val="00A20093"/>
    <w:rPr>
      <w:rFonts w:eastAsia="Times New Roman" w:cstheme="minorHAnsi"/>
      <w:sz w:val="20"/>
      <w:szCs w:val="20"/>
      <w:lang w:val="en-CA"/>
    </w:rPr>
  </w:style>
  <w:style w:type="character" w:customStyle="1" w:styleId="m-6452224808153580728contentpasted1">
    <w:name w:val="m_-6452224808153580728contentpasted1"/>
    <w:basedOn w:val="DefaultParagraphFont"/>
    <w:rsid w:val="00A200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249</TotalTime>
  <Pages>3</Pages>
  <Words>436</Words>
  <Characters>2490</Characters>
  <Application>Microsoft Office Word</Application>
  <DocSecurity>0</DocSecurity>
  <Lines>20</Lines>
  <Paragraphs>5</Paragraphs>
  <ScaleCrop>false</ScaleCrop>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נועה זיפמן</dc:creator>
  <cp:keywords/>
  <dc:description/>
  <cp:lastModifiedBy>Noa Zifman</cp:lastModifiedBy>
  <cp:revision>10</cp:revision>
  <dcterms:created xsi:type="dcterms:W3CDTF">2026-05-10T07:42:00Z</dcterms:created>
  <dcterms:modified xsi:type="dcterms:W3CDTF">2026-05-21T11:14:00Z</dcterms:modified>
</cp:coreProperties>
</file>