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0E4" w:rsidRDefault="00E851DC" w:rsidP="00A440E4">
      <w:pPr>
        <w:spacing w:line="480" w:lineRule="auto"/>
        <w:jc w:val="center"/>
        <w:rPr>
          <w:rFonts w:eastAsia="Times New Roman"/>
          <w:b/>
          <w:color w:val="000000"/>
        </w:rPr>
      </w:pPr>
      <w:r>
        <w:rPr>
          <w:rFonts w:eastAsia="Times New Roman"/>
          <w:b/>
          <w:color w:val="000000"/>
        </w:rPr>
        <w:t>Additional file 1</w:t>
      </w:r>
    </w:p>
    <w:p w:rsidR="00A440E4" w:rsidRDefault="00A440E4" w:rsidP="00A440E4">
      <w:pPr>
        <w:spacing w:line="480" w:lineRule="auto"/>
        <w:jc w:val="center"/>
        <w:rPr>
          <w:rFonts w:eastAsia="Times New Roman"/>
          <w:b/>
          <w:color w:val="000000"/>
        </w:rPr>
      </w:pPr>
    </w:p>
    <w:p w:rsidR="00D83D61" w:rsidRDefault="00D83D61" w:rsidP="00D83D61">
      <w:pPr>
        <w:spacing w:line="480" w:lineRule="auto"/>
        <w:jc w:val="center"/>
        <w:rPr>
          <w:b/>
          <w:color w:val="000000"/>
        </w:rPr>
      </w:pPr>
      <w:r w:rsidRPr="0001608D">
        <w:rPr>
          <w:b/>
          <w:color w:val="000000"/>
        </w:rPr>
        <w:t xml:space="preserve">Ozone co-exposure modifies cardiac responses to fine and ultrafine ambient </w:t>
      </w:r>
    </w:p>
    <w:p w:rsidR="00D83D61" w:rsidRDefault="00D83D61" w:rsidP="00D83D61">
      <w:pPr>
        <w:jc w:val="center"/>
        <w:rPr>
          <w:b/>
          <w:color w:val="000000"/>
        </w:rPr>
      </w:pPr>
      <w:r w:rsidRPr="0001608D">
        <w:rPr>
          <w:b/>
          <w:color w:val="000000"/>
        </w:rPr>
        <w:t>particulate matter in mice:</w:t>
      </w:r>
      <w:r>
        <w:rPr>
          <w:b/>
          <w:color w:val="000000"/>
        </w:rPr>
        <w:t xml:space="preserve"> concordance of electrocardiogram and mechanical responses</w:t>
      </w:r>
    </w:p>
    <w:p w:rsidR="00D83D61" w:rsidRDefault="00D83D61" w:rsidP="00D83D61">
      <w:pPr>
        <w:jc w:val="center"/>
        <w:rPr>
          <w:b/>
          <w:color w:val="000000"/>
        </w:rPr>
      </w:pPr>
    </w:p>
    <w:p w:rsidR="00D83D61" w:rsidRDefault="00D83D61" w:rsidP="00D83D61">
      <w:pPr>
        <w:jc w:val="center"/>
        <w:rPr>
          <w:b/>
          <w:color w:val="000000"/>
        </w:rPr>
      </w:pPr>
    </w:p>
    <w:p w:rsidR="00D83D61" w:rsidRDefault="00D83D61" w:rsidP="00D83D61">
      <w:pPr>
        <w:jc w:val="center"/>
      </w:pPr>
    </w:p>
    <w:p w:rsidR="00D83D61" w:rsidRDefault="00D83D61" w:rsidP="00D83D61">
      <w:pPr>
        <w:jc w:val="center"/>
        <w:rPr>
          <w:vertAlign w:val="superscript"/>
        </w:rPr>
      </w:pPr>
      <w:r w:rsidRPr="00A0428B">
        <w:t>Nicole Kurhanewicz</w:t>
      </w:r>
      <w:r>
        <w:rPr>
          <w:vertAlign w:val="superscript"/>
        </w:rPr>
        <w:t>1*</w:t>
      </w:r>
      <w:r w:rsidRPr="00A0428B">
        <w:t>, Rachel McIntosh-Kastrinsky</w:t>
      </w:r>
      <w:r>
        <w:rPr>
          <w:vertAlign w:val="superscript"/>
        </w:rPr>
        <w:t>2*</w:t>
      </w:r>
      <w:r w:rsidRPr="00A0428B">
        <w:t>,</w:t>
      </w:r>
      <w:r>
        <w:t xml:space="preserve"> Haiyan Tong</w:t>
      </w:r>
      <w:r>
        <w:rPr>
          <w:vertAlign w:val="superscript"/>
        </w:rPr>
        <w:t>3</w:t>
      </w:r>
      <w:r>
        <w:t>,</w:t>
      </w:r>
      <w:r w:rsidRPr="00A0428B">
        <w:t xml:space="preserve"> Leon Walsh</w:t>
      </w:r>
      <w:r>
        <w:rPr>
          <w:vertAlign w:val="superscript"/>
        </w:rPr>
        <w:t>3</w:t>
      </w:r>
      <w:r w:rsidRPr="00A0428B">
        <w:t>, Aimen Farraj</w:t>
      </w:r>
      <w:r>
        <w:rPr>
          <w:vertAlign w:val="superscript"/>
        </w:rPr>
        <w:t>3</w:t>
      </w:r>
      <w:r w:rsidRPr="00A0428B">
        <w:t xml:space="preserve"> and Mehdi Hazari</w:t>
      </w:r>
      <w:r>
        <w:rPr>
          <w:vertAlign w:val="superscript"/>
        </w:rPr>
        <w:t>3</w:t>
      </w:r>
    </w:p>
    <w:p w:rsidR="00A440E4" w:rsidRDefault="00A440E4" w:rsidP="00A440E4">
      <w:pPr>
        <w:jc w:val="center"/>
        <w:rPr>
          <w:vertAlign w:val="superscript"/>
        </w:rPr>
      </w:pPr>
    </w:p>
    <w:p w:rsidR="00A440E4" w:rsidRDefault="00A440E4" w:rsidP="00A440E4">
      <w:pPr>
        <w:jc w:val="center"/>
      </w:pPr>
    </w:p>
    <w:p w:rsidR="00067557" w:rsidRDefault="00067557" w:rsidP="00A440E4">
      <w:pPr>
        <w:jc w:val="center"/>
      </w:pPr>
    </w:p>
    <w:p w:rsidR="00067557" w:rsidRDefault="00067557" w:rsidP="00A440E4">
      <w:pPr>
        <w:jc w:val="center"/>
      </w:pPr>
    </w:p>
    <w:p w:rsidR="00067557" w:rsidRDefault="00067557"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bookmarkStart w:id="0" w:name="_GoBack"/>
      <w:bookmarkEnd w:id="0"/>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D83D61" w:rsidRDefault="00D83D61" w:rsidP="00A440E4">
      <w:pPr>
        <w:jc w:val="center"/>
      </w:pPr>
    </w:p>
    <w:p w:rsidR="001C3B43" w:rsidRDefault="001C3B43" w:rsidP="001C3B43"/>
    <w:p w:rsidR="001C3B43" w:rsidRDefault="001C3B43" w:rsidP="001C3B43"/>
    <w:p w:rsidR="001C3B43" w:rsidRDefault="001C3B43" w:rsidP="001C3B43">
      <w:pPr>
        <w:rPr>
          <w:b/>
        </w:rPr>
      </w:pPr>
      <w:r>
        <w:rPr>
          <w:b/>
        </w:rPr>
        <w:lastRenderedPageBreak/>
        <w:t>MATERIALS AND METHODS</w:t>
      </w:r>
    </w:p>
    <w:p w:rsidR="001C3B43" w:rsidRDefault="001C3B43" w:rsidP="001C3B43">
      <w:pPr>
        <w:rPr>
          <w:b/>
        </w:rPr>
      </w:pPr>
    </w:p>
    <w:p w:rsidR="001C3B43" w:rsidRPr="002C434A" w:rsidRDefault="001C3B43" w:rsidP="001C3B43">
      <w:pPr>
        <w:spacing w:line="480" w:lineRule="auto"/>
        <w:rPr>
          <w:rFonts w:eastAsia="Times New Roman"/>
          <w:b/>
          <w:bCs/>
          <w:vertAlign w:val="subscript"/>
        </w:rPr>
      </w:pPr>
      <w:r w:rsidRPr="002C434A">
        <w:rPr>
          <w:rFonts w:eastAsia="Times New Roman"/>
          <w:bCs/>
          <w:i/>
        </w:rPr>
        <w:t>Concentrated ambient particle and ozone exposure</w:t>
      </w:r>
      <w:r>
        <w:rPr>
          <w:rFonts w:eastAsia="Times New Roman"/>
          <w:b/>
          <w:bCs/>
        </w:rPr>
        <w:t xml:space="preserve"> - </w:t>
      </w:r>
      <w:r w:rsidRPr="00454ED8">
        <w:t xml:space="preserve">Concentrated ambient particles (CAPs) and </w:t>
      </w:r>
      <w:r>
        <w:t>o</w:t>
      </w:r>
      <w:r w:rsidRPr="00454ED8">
        <w:t>zone (O</w:t>
      </w:r>
      <w:r w:rsidRPr="00454ED8">
        <w:rPr>
          <w:vertAlign w:val="subscript"/>
        </w:rPr>
        <w:t>3</w:t>
      </w:r>
      <w:r w:rsidRPr="00454ED8">
        <w:t>) were generated in the U</w:t>
      </w:r>
      <w:r>
        <w:t>.</w:t>
      </w:r>
      <w:r w:rsidRPr="00454ED8">
        <w:t>S</w:t>
      </w:r>
      <w:r>
        <w:t>.</w:t>
      </w:r>
      <w:r w:rsidRPr="00454ED8">
        <w:t xml:space="preserve"> EPA’s Concentrated Air Particles Laboratory, Research Triangle Park, NC</w:t>
      </w:r>
      <w:r>
        <w:t xml:space="preserve">. </w:t>
      </w:r>
      <w:r w:rsidRPr="00454ED8">
        <w:t xml:space="preserve">Fine (FCAPs) </w:t>
      </w:r>
      <w:r>
        <w:t xml:space="preserve">and ultrafine </w:t>
      </w:r>
      <w:r w:rsidRPr="00454ED8">
        <w:t>(UFCAPs)</w:t>
      </w:r>
      <w:r>
        <w:t xml:space="preserve"> CAPs</w:t>
      </w:r>
      <w:r w:rsidRPr="00454ED8">
        <w:t xml:space="preserve"> are defined as having an aerodynamic diameter of </w:t>
      </w:r>
      <w:r>
        <w:t>0</w:t>
      </w:r>
      <w:r w:rsidRPr="00454ED8">
        <w:t>.</w:t>
      </w:r>
      <w:r>
        <w:t>1</w:t>
      </w:r>
      <w:r w:rsidRPr="00454ED8">
        <w:t xml:space="preserve"> to </w:t>
      </w:r>
      <w:r>
        <w:t xml:space="preserve">2.5 </w:t>
      </w:r>
      <w:r w:rsidRPr="00454ED8">
        <w:t>µm</w:t>
      </w:r>
      <w:r>
        <w:t xml:space="preserve"> and </w:t>
      </w:r>
      <w:r w:rsidRPr="00454ED8">
        <w:t>100 nm and below</w:t>
      </w:r>
      <w:r>
        <w:t>, respectively</w:t>
      </w:r>
      <w:r w:rsidRPr="00454ED8">
        <w:t>.</w:t>
      </w:r>
      <w:r>
        <w:t xml:space="preserve"> A</w:t>
      </w:r>
      <w:r w:rsidRPr="00E84E13">
        <w:t xml:space="preserve">mbient air </w:t>
      </w:r>
      <w:r>
        <w:t>(10,000 L/</w:t>
      </w:r>
      <w:r w:rsidRPr="00E84E13">
        <w:t>m</w:t>
      </w:r>
      <w:r>
        <w:t>)</w:t>
      </w:r>
      <w:r w:rsidRPr="00E84E13">
        <w:t xml:space="preserve"> containing PM </w:t>
      </w:r>
      <w:r>
        <w:t xml:space="preserve">from outside the facility </w:t>
      </w:r>
      <w:r w:rsidRPr="00E84E13">
        <w:t>entered the systems, was transported via heated stainless</w:t>
      </w:r>
      <w:r>
        <w:t xml:space="preserve"> steel ductwork, and passed through</w:t>
      </w:r>
      <w:r w:rsidRPr="00E84E13">
        <w:t xml:space="preserve"> a size selective inlet removing PM &gt; 2.5 </w:t>
      </w:r>
      <w:r>
        <w:t>μ</w:t>
      </w:r>
      <w:r w:rsidRPr="00E84E13">
        <w:t>m so that remaining particles were in the size fractions of interest.</w:t>
      </w:r>
      <w:r>
        <w:t xml:space="preserve"> Air</w:t>
      </w:r>
      <w:r w:rsidRPr="00E84E13">
        <w:t xml:space="preserve"> was split </w:t>
      </w:r>
      <w:r>
        <w:t>into two</w:t>
      </w:r>
      <w:r w:rsidRPr="006C236A">
        <w:t xml:space="preserve"> 5000 L</w:t>
      </w:r>
      <w:r>
        <w:t>/</w:t>
      </w:r>
      <w:r w:rsidRPr="006C236A">
        <w:t>m streams and delivered to specialized pa</w:t>
      </w:r>
      <w:r>
        <w:t xml:space="preserve">rticle concentrating equipment and then </w:t>
      </w:r>
      <w:r w:rsidRPr="006C236A">
        <w:t>separat</w:t>
      </w:r>
      <w:r>
        <w:t xml:space="preserve">e chambers for animal exposures: (1) </w:t>
      </w:r>
      <w:r w:rsidRPr="00E84E13">
        <w:t>5000 L</w:t>
      </w:r>
      <w:r>
        <w:t>/m stream</w:t>
      </w:r>
      <w:r w:rsidRPr="00E84E13">
        <w:t xml:space="preserve"> </w:t>
      </w:r>
      <w:r>
        <w:t>was</w:t>
      </w:r>
      <w:r w:rsidRPr="00E84E13">
        <w:t xml:space="preserve"> delivered to a Harvard Fine Mode Concentra</w:t>
      </w:r>
      <w:r>
        <w:t>ted Air Particles system, which concentrated</w:t>
      </w:r>
      <w:r w:rsidRPr="00E84E13">
        <w:t xml:space="preserve"> </w:t>
      </w:r>
      <w:r>
        <w:t>f</w:t>
      </w:r>
      <w:r w:rsidRPr="00E84E13">
        <w:t xml:space="preserve">ine mode particles </w:t>
      </w:r>
      <w:r>
        <w:t>between</w:t>
      </w:r>
      <w:r w:rsidRPr="00E84E13">
        <w:t xml:space="preserve"> 0.1</w:t>
      </w:r>
      <w:r>
        <w:t xml:space="preserve"> and</w:t>
      </w:r>
      <w:r w:rsidRPr="00E84E13">
        <w:t xml:space="preserve"> 2.5 </w:t>
      </w:r>
      <w:r>
        <w:t>μ</w:t>
      </w:r>
      <w:r w:rsidRPr="00E84E13">
        <w:t xml:space="preserve">m using </w:t>
      </w:r>
      <w:r>
        <w:t>three</w:t>
      </w:r>
      <w:r w:rsidRPr="00E84E13">
        <w:t xml:space="preserve"> stages of slit virtual impactors producing an output of </w:t>
      </w:r>
      <w:r>
        <w:t>approximately</w:t>
      </w:r>
      <w:r w:rsidRPr="00E84E13">
        <w:t xml:space="preserve"> 50 L</w:t>
      </w:r>
      <w:r>
        <w:t>/</w:t>
      </w:r>
      <w:r w:rsidRPr="00E84E13">
        <w:t xml:space="preserve">m air with PM concentrated up to 30 </w:t>
      </w:r>
      <w:r>
        <w:t>times</w:t>
      </w:r>
      <w:r w:rsidRPr="00E84E13">
        <w:t xml:space="preserve"> </w:t>
      </w:r>
      <w:r>
        <w:t xml:space="preserve">the </w:t>
      </w:r>
      <w:r w:rsidRPr="00E84E13">
        <w:t>entr</w:t>
      </w:r>
      <w:r>
        <w:t>y</w:t>
      </w:r>
      <w:r w:rsidRPr="00E84E13">
        <w:t xml:space="preserve"> lev</w:t>
      </w:r>
      <w:r>
        <w:t>els depending on particle size; and (2)</w:t>
      </w:r>
      <w:r w:rsidRPr="00E84E13">
        <w:t xml:space="preserve"> 5,000 L</w:t>
      </w:r>
      <w:r>
        <w:t>/</w:t>
      </w:r>
      <w:r w:rsidRPr="00E84E13">
        <w:t>m stream passed thru a Harvard Ultraf</w:t>
      </w:r>
      <w:r>
        <w:t>ine Concentrated Air Particles s</w:t>
      </w:r>
      <w:r w:rsidRPr="00E84E13">
        <w:t>ystem</w:t>
      </w:r>
      <w:r>
        <w:t>,</w:t>
      </w:r>
      <w:r w:rsidRPr="00E84E13">
        <w:t xml:space="preserve"> which concentrated ultrafine PM of &lt;</w:t>
      </w:r>
      <w:r>
        <w:t xml:space="preserve"> </w:t>
      </w:r>
      <w:r w:rsidRPr="00E84E13">
        <w:t>300 nm into a 58 L</w:t>
      </w:r>
      <w:r>
        <w:t>/</w:t>
      </w:r>
      <w:r w:rsidRPr="00E84E13">
        <w:t xml:space="preserve">m flow. An inline size selective outlet removed PM greater than ~300 nm from the air stream prior to delivery to the </w:t>
      </w:r>
      <w:r>
        <w:t>UFCAPs</w:t>
      </w:r>
      <w:r w:rsidRPr="00E84E13">
        <w:t xml:space="preserve"> exposure chamber. </w:t>
      </w:r>
      <w:r w:rsidRPr="00E61EC4">
        <w:t xml:space="preserve">Output concentration of each system was dependent on the makeup and condition of the entering ambient PM fractions and varied over time with changing ambient conditions. </w:t>
      </w:r>
      <w:r>
        <w:t>Exposures</w:t>
      </w:r>
      <w:r w:rsidRPr="008527A5">
        <w:t xml:space="preserve"> were</w:t>
      </w:r>
      <w:r>
        <w:t xml:space="preserve"> carried out in</w:t>
      </w:r>
      <w:r w:rsidRPr="008527A5">
        <w:t xml:space="preserve"> </w:t>
      </w:r>
      <w:r>
        <w:t>three</w:t>
      </w:r>
      <w:r w:rsidRPr="008527A5">
        <w:t xml:space="preserve"> stainless steel and glass</w:t>
      </w:r>
      <w:r>
        <w:t xml:space="preserve"> </w:t>
      </w:r>
      <w:r w:rsidRPr="008527A5">
        <w:t>wh</w:t>
      </w:r>
      <w:r>
        <w:t>ole-</w:t>
      </w:r>
      <w:r w:rsidRPr="008527A5">
        <w:t>body exposure chambers with adjustable inlet plumbing and pollutant gas injection allowing mul</w:t>
      </w:r>
      <w:r>
        <w:t>tiple exposure configurations</w:t>
      </w:r>
      <w:r w:rsidRPr="008527A5">
        <w:t>.</w:t>
      </w:r>
      <w:r>
        <w:t xml:space="preserve"> </w:t>
      </w:r>
    </w:p>
    <w:p w:rsidR="001C3B43" w:rsidRDefault="001C3B43" w:rsidP="001C3B43">
      <w:pPr>
        <w:spacing w:line="480" w:lineRule="auto"/>
      </w:pPr>
    </w:p>
    <w:p w:rsidR="001C3B43" w:rsidRDefault="001C3B43" w:rsidP="001C3B43">
      <w:pPr>
        <w:spacing w:line="480" w:lineRule="auto"/>
      </w:pPr>
      <w:r>
        <w:t>Ozone</w:t>
      </w:r>
      <w:r w:rsidRPr="005D0841">
        <w:t xml:space="preserve"> was generated by passing extra dry oxygen past an arcing transformer in a model V5-0 </w:t>
      </w:r>
      <w:r>
        <w:t>O</w:t>
      </w:r>
      <w:r>
        <w:rPr>
          <w:vertAlign w:val="subscript"/>
        </w:rPr>
        <w:t>3</w:t>
      </w:r>
      <w:r w:rsidRPr="005D0841">
        <w:t xml:space="preserve"> generator (Ozone Research &amp; Equipment Corp., Phoenix,</w:t>
      </w:r>
      <w:r>
        <w:t xml:space="preserve"> AZ). The chamber concentration</w:t>
      </w:r>
      <w:r w:rsidRPr="005D0841">
        <w:t xml:space="preserve"> (0.</w:t>
      </w:r>
      <w:r>
        <w:t>3</w:t>
      </w:r>
      <w:r w:rsidRPr="005D0841">
        <w:t xml:space="preserve"> </w:t>
      </w:r>
      <w:r w:rsidRPr="005D0841">
        <w:lastRenderedPageBreak/>
        <w:t>ppm) w</w:t>
      </w:r>
      <w:r>
        <w:t>as</w:t>
      </w:r>
      <w:r w:rsidRPr="005D0841">
        <w:t xml:space="preserve"> controlled by the computer program DASYLab (version 9.0; DasyTec USA, Amherst, NH), which controlled the opening and closing of a mass flow controller at each chamber. The actual concentration was then read by an O</w:t>
      </w:r>
      <w:r w:rsidRPr="005D0841">
        <w:rPr>
          <w:vertAlign w:val="subscript"/>
        </w:rPr>
        <w:t>3</w:t>
      </w:r>
      <w:r w:rsidRPr="005D0841">
        <w:t xml:space="preserve"> analyzer (model 400; Teledyne-Advanced Pollution Instruments, Inc., Thousand Oaks, CA), which fed a signal to a proportional, integral, derivative loop control, which then either opened or closed the mass flow controller to maintain the O</w:t>
      </w:r>
      <w:r w:rsidRPr="005D0841">
        <w:rPr>
          <w:vertAlign w:val="subscript"/>
        </w:rPr>
        <w:t>3</w:t>
      </w:r>
      <w:r w:rsidRPr="005D0841">
        <w:t xml:space="preserve"> concentration in the chamber at the desired level.</w:t>
      </w:r>
      <w:r w:rsidRPr="00A86979">
        <w:t xml:space="preserve"> </w:t>
      </w:r>
    </w:p>
    <w:p w:rsidR="001C3B43" w:rsidRDefault="001C3B43" w:rsidP="001C3B43">
      <w:pPr>
        <w:spacing w:line="480" w:lineRule="auto"/>
      </w:pPr>
    </w:p>
    <w:p w:rsidR="001C3B43" w:rsidRDefault="001C3B43" w:rsidP="00046ADC">
      <w:pPr>
        <w:spacing w:line="480" w:lineRule="auto"/>
      </w:pPr>
      <w:r w:rsidRPr="00E61EC4">
        <w:t>Chamber plumbing was altered to allow different con</w:t>
      </w:r>
      <w:r>
        <w:t>figurations of concentrated PM and/or</w:t>
      </w:r>
      <w:r w:rsidRPr="00E61EC4">
        <w:t xml:space="preserve"> </w:t>
      </w:r>
      <w:r>
        <w:t>O</w:t>
      </w:r>
      <w:r>
        <w:rPr>
          <w:vertAlign w:val="subscript"/>
        </w:rPr>
        <w:t>3</w:t>
      </w:r>
      <w:r w:rsidRPr="00E61EC4">
        <w:t xml:space="preserve"> including: </w:t>
      </w:r>
      <w:r>
        <w:t>F</w:t>
      </w:r>
      <w:r w:rsidRPr="00E61EC4">
        <w:t xml:space="preserve">CAPs </w:t>
      </w:r>
      <w:r>
        <w:t>alone</w:t>
      </w:r>
      <w:r w:rsidRPr="00E61EC4">
        <w:t>, U</w:t>
      </w:r>
      <w:r>
        <w:t>F</w:t>
      </w:r>
      <w:r w:rsidRPr="00E61EC4">
        <w:t xml:space="preserve">CAPs </w:t>
      </w:r>
      <w:r>
        <w:t>alone</w:t>
      </w:r>
      <w:r w:rsidRPr="00E61EC4">
        <w:t xml:space="preserve">, </w:t>
      </w:r>
      <w:r>
        <w:t>F</w:t>
      </w:r>
      <w:r w:rsidRPr="00E61EC4">
        <w:t>CAPs+O</w:t>
      </w:r>
      <w:r w:rsidRPr="005D0841">
        <w:rPr>
          <w:vertAlign w:val="subscript"/>
        </w:rPr>
        <w:t>3</w:t>
      </w:r>
      <w:r w:rsidRPr="00E61EC4">
        <w:t>, U</w:t>
      </w:r>
      <w:r>
        <w:t>F</w:t>
      </w:r>
      <w:r w:rsidRPr="00E61EC4">
        <w:t>CAPs+O</w:t>
      </w:r>
      <w:r w:rsidRPr="005D0841">
        <w:rPr>
          <w:vertAlign w:val="subscript"/>
        </w:rPr>
        <w:t>3</w:t>
      </w:r>
      <w:r w:rsidRPr="00E61EC4">
        <w:t>, O</w:t>
      </w:r>
      <w:r w:rsidRPr="005D0841">
        <w:rPr>
          <w:vertAlign w:val="subscript"/>
        </w:rPr>
        <w:t>3</w:t>
      </w:r>
      <w:r>
        <w:rPr>
          <w:vertAlign w:val="subscript"/>
        </w:rPr>
        <w:t xml:space="preserve"> </w:t>
      </w:r>
      <w:r>
        <w:t>alone</w:t>
      </w:r>
      <w:r w:rsidRPr="00E61EC4">
        <w:t xml:space="preserve">, or filtered </w:t>
      </w:r>
      <w:r>
        <w:t>a</w:t>
      </w:r>
      <w:r w:rsidRPr="00E61EC4">
        <w:t>ir</w:t>
      </w:r>
      <w:r>
        <w:t xml:space="preserve"> (FA)</w:t>
      </w:r>
      <w:r w:rsidRPr="00E61EC4">
        <w:t xml:space="preserve">. </w:t>
      </w:r>
      <w:r>
        <w:t>The s</w:t>
      </w:r>
      <w:r w:rsidRPr="006C236A">
        <w:t xml:space="preserve">tudy protocol included </w:t>
      </w:r>
      <w:r>
        <w:t>two</w:t>
      </w:r>
      <w:r w:rsidRPr="006C236A">
        <w:t xml:space="preserve"> days of animal</w:t>
      </w:r>
      <w:r>
        <w:t>-</w:t>
      </w:r>
      <w:r w:rsidRPr="006C236A">
        <w:t>to</w:t>
      </w:r>
      <w:r>
        <w:t>-chamber</w:t>
      </w:r>
      <w:r w:rsidRPr="006C236A">
        <w:t xml:space="preserve"> acclimat</w:t>
      </w:r>
      <w:r>
        <w:t>izat</w:t>
      </w:r>
      <w:r w:rsidRPr="006C236A">
        <w:t>ion prior to exposure</w:t>
      </w:r>
      <w:r>
        <w:t>. A normal exposure started with one</w:t>
      </w:r>
      <w:r w:rsidRPr="006C236A">
        <w:t xml:space="preserve"> hour of additional chamber acclimat</w:t>
      </w:r>
      <w:r>
        <w:t>ization. All m</w:t>
      </w:r>
      <w:r w:rsidRPr="00454ED8">
        <w:t>ice were moved back to their home-cages</w:t>
      </w:r>
      <w:r>
        <w:t xml:space="preserve"> after the exposure. </w:t>
      </w:r>
      <w:r w:rsidRPr="006C236A">
        <w:t>Chamber environment and system operating parameters were continuously monitored, controlled, and recorded using computerized data acquisition and control systems (DAS) (DASYLab Pro, v9.0</w:t>
      </w:r>
      <w:r>
        <w:t xml:space="preserve">, </w:t>
      </w:r>
      <w:r w:rsidRPr="006C236A">
        <w:t>Data</w:t>
      </w:r>
      <w:r>
        <w:t xml:space="preserve"> Acquisition System Laboratory, </w:t>
      </w:r>
      <w:r w:rsidRPr="006C236A">
        <w:t>Measurement Computing Corp.).</w:t>
      </w:r>
      <w:r>
        <w:t xml:space="preserve"> </w:t>
      </w:r>
      <w:r w:rsidRPr="006C236A">
        <w:t xml:space="preserve">Particle size and number concentration was continuously monitored and recorded using TSI </w:t>
      </w:r>
      <w:r>
        <w:t>scanning mobility particle sizer (</w:t>
      </w:r>
      <w:r w:rsidRPr="006C236A">
        <w:t>SMPS</w:t>
      </w:r>
      <w:r>
        <w:t>)</w:t>
      </w:r>
      <w:r w:rsidRPr="006C236A">
        <w:t xml:space="preserve"> and APS II particle instruments.  </w:t>
      </w:r>
      <w:r w:rsidRPr="00F707A9">
        <w:t xml:space="preserve">Exposure conditions such as </w:t>
      </w:r>
      <w:r>
        <w:t>t</w:t>
      </w:r>
      <w:r w:rsidRPr="00F707A9">
        <w:t xml:space="preserve">emperature, </w:t>
      </w:r>
      <w:r>
        <w:t>r</w:t>
      </w:r>
      <w:r w:rsidRPr="00F707A9">
        <w:t xml:space="preserve">elative </w:t>
      </w:r>
      <w:r>
        <w:t>h</w:t>
      </w:r>
      <w:r w:rsidRPr="00F707A9">
        <w:t>umidity, O</w:t>
      </w:r>
      <w:r w:rsidRPr="00F707A9">
        <w:rPr>
          <w:vertAlign w:val="subscript"/>
        </w:rPr>
        <w:t>3</w:t>
      </w:r>
      <w:r>
        <w:rPr>
          <w:vertAlign w:val="subscript"/>
        </w:rPr>
        <w:t xml:space="preserve"> </w:t>
      </w:r>
      <w:r>
        <w:t>concentration</w:t>
      </w:r>
      <w:r w:rsidRPr="00F707A9">
        <w:t>, PM mass concentration (µg/m</w:t>
      </w:r>
      <w:r w:rsidRPr="00F707A9">
        <w:rPr>
          <w:vertAlign w:val="superscript"/>
        </w:rPr>
        <w:t>3</w:t>
      </w:r>
      <w:r w:rsidRPr="00F707A9">
        <w:t xml:space="preserve">), number concentration (pt/cc), and particle size (nm) were averaged for all animals in each exposure group. PM samples were individually analyzed and the data for all samples of each group were then averaged to establish the group’s results. </w:t>
      </w:r>
    </w:p>
    <w:p w:rsidR="00046ADC" w:rsidRPr="00046ADC" w:rsidRDefault="00046ADC" w:rsidP="00046ADC">
      <w:pPr>
        <w:spacing w:line="480" w:lineRule="auto"/>
      </w:pPr>
    </w:p>
    <w:p w:rsidR="00046ADC" w:rsidRDefault="00046ADC" w:rsidP="00046ADC">
      <w:pPr>
        <w:spacing w:before="240" w:line="480" w:lineRule="auto"/>
      </w:pPr>
      <w:r w:rsidRPr="00F10865">
        <w:rPr>
          <w:i/>
          <w:iCs/>
        </w:rPr>
        <w:lastRenderedPageBreak/>
        <w:t xml:space="preserve">Tissue collection and analysis. </w:t>
      </w:r>
      <w:r>
        <w:rPr>
          <w:iCs/>
        </w:rPr>
        <w:t>Twenty-four hours after</w:t>
      </w:r>
      <w:r>
        <w:t xml:space="preserve"> </w:t>
      </w:r>
      <w:r w:rsidRPr="00F10865">
        <w:t xml:space="preserve">exposure, </w:t>
      </w:r>
      <w:r>
        <w:t xml:space="preserve">mice </w:t>
      </w:r>
      <w:r w:rsidRPr="00F10865">
        <w:t>were deeply anesthetized with an intra</w:t>
      </w:r>
      <w:r>
        <w:t>-</w:t>
      </w:r>
      <w:r w:rsidRPr="00F10865">
        <w:t>p</w:t>
      </w:r>
      <w:r>
        <w:t xml:space="preserve">eritoneal injection of a sodium </w:t>
      </w:r>
      <w:r w:rsidRPr="00F10865">
        <w:t>pentobarbital/phenytoin solut</w:t>
      </w:r>
      <w:r>
        <w:t>ion. Blood and</w:t>
      </w:r>
      <w:r w:rsidRPr="00F10865">
        <w:t xml:space="preserve"> lung </w:t>
      </w:r>
      <w:r>
        <w:t>lavage fluid (BAL) were collected</w:t>
      </w:r>
      <w:r w:rsidRPr="00F10865">
        <w:t>,</w:t>
      </w:r>
      <w:r>
        <w:t xml:space="preserve"> </w:t>
      </w:r>
      <w:r w:rsidRPr="00F10865">
        <w:t>processed, and analyzed as previously described (</w:t>
      </w:r>
      <w:r>
        <w:t>Hazari et al. 2009</w:t>
      </w:r>
      <w:r w:rsidRPr="00F10865">
        <w:t xml:space="preserve">). To </w:t>
      </w:r>
      <w:r>
        <w:t>assess</w:t>
      </w:r>
      <w:r w:rsidRPr="00F10865">
        <w:t xml:space="preserve"> cardi</w:t>
      </w:r>
      <w:r>
        <w:t>opulmonary inflammation, injury and</w:t>
      </w:r>
      <w:r w:rsidRPr="00F10865">
        <w:t xml:space="preserve"> oxidative stress,</w:t>
      </w:r>
      <w:r>
        <w:t xml:space="preserve"> </w:t>
      </w:r>
      <w:r w:rsidRPr="00F10865">
        <w:t xml:space="preserve">multiple biochemical markers </w:t>
      </w:r>
      <w:r>
        <w:t xml:space="preserve">and inflammatory cells </w:t>
      </w:r>
      <w:r w:rsidRPr="00F10865">
        <w:t>were assayed. Lavage supernatants were analyzed for lactate dehydrogenase</w:t>
      </w:r>
      <w:r w:rsidR="00950D90">
        <w:t xml:space="preserve"> (LDH)</w:t>
      </w:r>
      <w:r w:rsidRPr="00F10865">
        <w:t xml:space="preserve">, N-acetyl-b-d-glucosaminidase (NAG), </w:t>
      </w:r>
      <w:r w:rsidR="00B346C8">
        <w:t>microalbumin (MIA)</w:t>
      </w:r>
      <w:r w:rsidRPr="00F10865">
        <w:t>, and total protein. Serum supernatants were analyzed for creatine</w:t>
      </w:r>
      <w:r>
        <w:t xml:space="preserve"> </w:t>
      </w:r>
      <w:r w:rsidRPr="00F10865">
        <w:t>kinase</w:t>
      </w:r>
      <w:r w:rsidR="00B346C8">
        <w:t xml:space="preserve"> (CK)</w:t>
      </w:r>
      <w:r w:rsidRPr="00F10865">
        <w:t>, C-reactive protein (CRP), total prote</w:t>
      </w:r>
      <w:r w:rsidR="00950D90">
        <w:t xml:space="preserve">in, </w:t>
      </w:r>
      <w:r w:rsidRPr="00F10865">
        <w:t xml:space="preserve">and </w:t>
      </w:r>
      <w:r>
        <w:t>glutathione</w:t>
      </w:r>
      <w:r w:rsidRPr="00F10865">
        <w:t>-S-transferase</w:t>
      </w:r>
      <w:r>
        <w:t xml:space="preserve"> (GTR)</w:t>
      </w:r>
      <w:r w:rsidRPr="00F10865">
        <w:t>;</w:t>
      </w:r>
      <w:r>
        <w:t xml:space="preserve"> </w:t>
      </w:r>
      <w:r w:rsidRPr="00F10865">
        <w:t>and supernatants from plasma were assayed for angio</w:t>
      </w:r>
      <w:r w:rsidR="00950D90">
        <w:t xml:space="preserve">tensin converting enzyme (ACE). </w:t>
      </w:r>
      <w:r w:rsidRPr="00F10865">
        <w:t xml:space="preserve">Serum was also analyzed for </w:t>
      </w:r>
      <w:r w:rsidRPr="00F10865">
        <w:rPr>
          <w:rFonts w:hint="eastAsia"/>
        </w:rPr>
        <w:t>α</w:t>
      </w:r>
      <w:r w:rsidRPr="00F10865">
        <w:t>-hydroxybutyrate dehydrogenase</w:t>
      </w:r>
      <w:r w:rsidR="00950D90">
        <w:t xml:space="preserve"> (HBDH)</w:t>
      </w:r>
      <w:r w:rsidRPr="00F10865">
        <w:t>, lactate dehydrogenase-1</w:t>
      </w:r>
      <w:r w:rsidR="00950D90">
        <w:t xml:space="preserve"> (LDH), </w:t>
      </w:r>
      <w:r w:rsidRPr="00F10865">
        <w:t>superoxide dismutase</w:t>
      </w:r>
      <w:r>
        <w:t xml:space="preserve"> </w:t>
      </w:r>
      <w:r w:rsidR="00950D90">
        <w:t xml:space="preserve">(SOD) </w:t>
      </w:r>
      <w:r w:rsidRPr="00F10865">
        <w:t>according to previous procedures</w:t>
      </w:r>
      <w:r>
        <w:t xml:space="preserve"> (Farraj et al. 2009)</w:t>
      </w:r>
      <w:r w:rsidRPr="00F10865">
        <w:t>.</w:t>
      </w:r>
    </w:p>
    <w:p w:rsidR="001C3B43" w:rsidRDefault="001C3B43" w:rsidP="001C3B43">
      <w:pPr>
        <w:rPr>
          <w:b/>
        </w:rPr>
      </w:pPr>
    </w:p>
    <w:p w:rsidR="001C3B43" w:rsidRDefault="001C3B43" w:rsidP="001C3B43">
      <w:pPr>
        <w:rPr>
          <w:b/>
        </w:rPr>
      </w:pPr>
    </w:p>
    <w:p w:rsidR="00046ADC" w:rsidRDefault="00046ADC" w:rsidP="001C3B43">
      <w:pPr>
        <w:rPr>
          <w:b/>
        </w:rPr>
      </w:pPr>
    </w:p>
    <w:p w:rsidR="00046ADC" w:rsidRDefault="00046ADC" w:rsidP="001C3B43">
      <w:pPr>
        <w:rPr>
          <w:b/>
        </w:rPr>
      </w:pPr>
    </w:p>
    <w:p w:rsidR="00046ADC" w:rsidRDefault="00046ADC" w:rsidP="001C3B43">
      <w:pPr>
        <w:rPr>
          <w:b/>
        </w:rPr>
      </w:pPr>
    </w:p>
    <w:p w:rsidR="00046ADC" w:rsidRDefault="00046ADC" w:rsidP="001C3B43">
      <w:pPr>
        <w:rPr>
          <w:b/>
        </w:rPr>
      </w:pPr>
    </w:p>
    <w:p w:rsidR="00046ADC" w:rsidRDefault="00046ADC" w:rsidP="001C3B43">
      <w:pPr>
        <w:rPr>
          <w:b/>
        </w:rPr>
      </w:pPr>
    </w:p>
    <w:p w:rsidR="00046ADC" w:rsidRDefault="00046ADC" w:rsidP="001C3B43">
      <w:pPr>
        <w:rPr>
          <w:b/>
        </w:rPr>
      </w:pPr>
    </w:p>
    <w:p w:rsidR="00046ADC" w:rsidRDefault="00046ADC" w:rsidP="001C3B43">
      <w:pPr>
        <w:rPr>
          <w:b/>
        </w:rPr>
      </w:pPr>
    </w:p>
    <w:p w:rsidR="00046ADC" w:rsidRDefault="00046ADC" w:rsidP="001C3B43">
      <w:pPr>
        <w:rPr>
          <w:b/>
        </w:rPr>
      </w:pPr>
    </w:p>
    <w:p w:rsidR="00046ADC" w:rsidRDefault="00046ADC" w:rsidP="001C3B43">
      <w:pPr>
        <w:rPr>
          <w:b/>
        </w:rPr>
      </w:pPr>
    </w:p>
    <w:p w:rsidR="00046ADC" w:rsidRDefault="00046ADC" w:rsidP="001C3B43">
      <w:pPr>
        <w:rPr>
          <w:b/>
        </w:rPr>
      </w:pPr>
    </w:p>
    <w:p w:rsidR="00046ADC" w:rsidRDefault="00046ADC" w:rsidP="001C3B43">
      <w:pPr>
        <w:rPr>
          <w:b/>
        </w:rPr>
      </w:pPr>
    </w:p>
    <w:p w:rsidR="00046ADC" w:rsidRDefault="00046ADC" w:rsidP="001C3B43">
      <w:pPr>
        <w:rPr>
          <w:b/>
        </w:rPr>
      </w:pPr>
    </w:p>
    <w:p w:rsidR="00046ADC" w:rsidRDefault="00046ADC" w:rsidP="001C3B43">
      <w:pPr>
        <w:rPr>
          <w:b/>
        </w:rPr>
      </w:pPr>
    </w:p>
    <w:p w:rsidR="00046ADC" w:rsidRDefault="00046ADC" w:rsidP="001C3B43">
      <w:pPr>
        <w:rPr>
          <w:b/>
        </w:rPr>
      </w:pPr>
    </w:p>
    <w:p w:rsidR="00A440E4" w:rsidRDefault="00A440E4" w:rsidP="00A440E4"/>
    <w:sectPr w:rsidR="00A440E4" w:rsidSect="004D16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440E4"/>
    <w:rsid w:val="00013788"/>
    <w:rsid w:val="00046ADC"/>
    <w:rsid w:val="00067557"/>
    <w:rsid w:val="001565CF"/>
    <w:rsid w:val="001C3B43"/>
    <w:rsid w:val="00296BA6"/>
    <w:rsid w:val="00300853"/>
    <w:rsid w:val="00385207"/>
    <w:rsid w:val="004D1602"/>
    <w:rsid w:val="006914BE"/>
    <w:rsid w:val="006937EB"/>
    <w:rsid w:val="0078296B"/>
    <w:rsid w:val="007A3A72"/>
    <w:rsid w:val="00831A3E"/>
    <w:rsid w:val="00886E2E"/>
    <w:rsid w:val="008C4B9A"/>
    <w:rsid w:val="00947085"/>
    <w:rsid w:val="00950D90"/>
    <w:rsid w:val="009D5D3A"/>
    <w:rsid w:val="00A440E4"/>
    <w:rsid w:val="00AF7716"/>
    <w:rsid w:val="00B346C8"/>
    <w:rsid w:val="00B862F6"/>
    <w:rsid w:val="00C534EA"/>
    <w:rsid w:val="00D41F48"/>
    <w:rsid w:val="00D83D61"/>
    <w:rsid w:val="00E409CC"/>
    <w:rsid w:val="00E42175"/>
    <w:rsid w:val="00E851DC"/>
    <w:rsid w:val="00E904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0E4"/>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1A3E"/>
    <w:rPr>
      <w:rFonts w:ascii="Tahoma" w:hAnsi="Tahoma" w:cs="Tahoma"/>
      <w:sz w:val="16"/>
      <w:szCs w:val="16"/>
    </w:rPr>
  </w:style>
  <w:style w:type="character" w:customStyle="1" w:styleId="BalloonTextChar">
    <w:name w:val="Balloon Text Char"/>
    <w:basedOn w:val="DefaultParagraphFont"/>
    <w:link w:val="BalloonText"/>
    <w:uiPriority w:val="99"/>
    <w:semiHidden/>
    <w:rsid w:val="00831A3E"/>
    <w:rPr>
      <w:rFonts w:ascii="Tahoma" w:eastAsiaTheme="minorEastAsia" w:hAnsi="Tahoma" w:cs="Tahoma"/>
      <w:sz w:val="16"/>
      <w:szCs w:val="16"/>
    </w:rPr>
  </w:style>
  <w:style w:type="paragraph" w:styleId="NormalWeb">
    <w:name w:val="Normal (Web)"/>
    <w:basedOn w:val="Normal"/>
    <w:uiPriority w:val="99"/>
    <w:rsid w:val="00067557"/>
    <w:pPr>
      <w:spacing w:before="100" w:beforeAutospacing="1" w:after="100" w:afterAutospacing="1"/>
    </w:pPr>
    <w:rPr>
      <w:rFonts w:eastAsia="Times New Roman"/>
    </w:rPr>
  </w:style>
  <w:style w:type="table" w:styleId="TableGrid">
    <w:name w:val="Table Grid"/>
    <w:basedOn w:val="TableNormal"/>
    <w:uiPriority w:val="59"/>
    <w:rsid w:val="00D83D61"/>
    <w:pPr>
      <w:spacing w:after="0" w:line="240" w:lineRule="auto"/>
    </w:pPr>
    <w:rPr>
      <w:rFonts w:ascii="Times New Roman" w:eastAsiaTheme="minorEastAsia" w:hAnsi="Times New Roman"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AE8C1B-B30E-4885-BC8C-78C6886C2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4974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 Hazari</dc:creator>
  <cp:keywords/>
  <dc:description/>
  <cp:lastModifiedBy>GSabordo</cp:lastModifiedBy>
  <cp:revision>14</cp:revision>
  <dcterms:created xsi:type="dcterms:W3CDTF">2014-04-29T17:11:00Z</dcterms:created>
  <dcterms:modified xsi:type="dcterms:W3CDTF">2014-10-03T16:55:00Z</dcterms:modified>
</cp:coreProperties>
</file>