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03D" w:rsidRDefault="00DF0902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Supporting information</w:t>
      </w:r>
    </w:p>
    <w:p w:rsidR="003A5AD1" w:rsidRDefault="005E50D8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50D8">
        <w:rPr>
          <w:noProof/>
          <w:lang w:eastAsia="it-IT"/>
        </w:rPr>
        <w:drawing>
          <wp:inline distT="0" distB="0" distL="0" distR="0" wp14:anchorId="63F8E568" wp14:editId="5E85A0EB">
            <wp:extent cx="6120130" cy="779433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7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D1" w:rsidRDefault="003A5AD1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5AD1" w:rsidRDefault="003A5AD1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4C00" w:rsidRPr="00305C77" w:rsidRDefault="003A5AD1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AD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ntary figure S1</w:t>
      </w:r>
      <w:r w:rsidRPr="003A5A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Time course of T cell responses to DEP treatment. </w:t>
      </w:r>
      <w:bookmarkStart w:id="0" w:name="OLE_LINK2"/>
      <w:r w:rsidR="005837E4" w:rsidRPr="005837E4">
        <w:rPr>
          <w:rFonts w:ascii="Times New Roman" w:hAnsi="Times New Roman" w:cs="Times New Roman"/>
          <w:sz w:val="24"/>
          <w:szCs w:val="24"/>
          <w:lang w:val="en-US"/>
        </w:rPr>
        <w:t xml:space="preserve">Preliminary time course (24, 48 and 72 h and 6 and 9 days) experiments were carried out on T cells from 3 healthy donors. DEP effects on T cell function (i.e., apoptosis, autophagy, mitochondrial membrane potential, proliferation and cytokine production) and phenotype (CD69, CD25, HLA-DR and CD95 expression) were studied using 30 </w:t>
      </w:r>
      <w:r w:rsidR="005837E4">
        <w:rPr>
          <w:rFonts w:ascii="Times New Roman" w:hAnsi="Times New Roman" w:cs="Times New Roman"/>
          <w:sz w:val="24"/>
          <w:szCs w:val="24"/>
          <w:lang w:val="en-US"/>
        </w:rPr>
        <w:sym w:font="Symbol" w:char="F06D"/>
      </w:r>
      <w:r w:rsidR="005837E4" w:rsidRPr="005837E4">
        <w:rPr>
          <w:rFonts w:ascii="Times New Roman" w:hAnsi="Times New Roman" w:cs="Times New Roman"/>
          <w:sz w:val="24"/>
          <w:szCs w:val="24"/>
          <w:lang w:val="en-US"/>
        </w:rPr>
        <w:t xml:space="preserve">g/ml of DEP per condition. </w:t>
      </w:r>
      <w:r w:rsidR="00AC17C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C17C4" w:rsidRPr="00AC17C4">
        <w:rPr>
          <w:rFonts w:ascii="Times New Roman" w:hAnsi="Times New Roman" w:cs="Times New Roman"/>
          <w:sz w:val="24"/>
          <w:szCs w:val="24"/>
          <w:lang w:val="en-US"/>
        </w:rPr>
        <w:t xml:space="preserve">hanged parameters after </w:t>
      </w:r>
      <w:r w:rsidR="00AC17C4">
        <w:rPr>
          <w:rFonts w:ascii="Times New Roman" w:hAnsi="Times New Roman" w:cs="Times New Roman"/>
          <w:sz w:val="24"/>
          <w:szCs w:val="24"/>
          <w:lang w:val="en-US"/>
        </w:rPr>
        <w:t xml:space="preserve">DEP </w:t>
      </w:r>
      <w:r w:rsidR="00AC17C4" w:rsidRPr="00AC17C4">
        <w:rPr>
          <w:rFonts w:ascii="Times New Roman" w:hAnsi="Times New Roman" w:cs="Times New Roman"/>
          <w:sz w:val="24"/>
          <w:szCs w:val="24"/>
          <w:lang w:val="en-US"/>
        </w:rPr>
        <w:t xml:space="preserve">treatment </w:t>
      </w:r>
      <w:r w:rsidR="00282AF2">
        <w:rPr>
          <w:rFonts w:ascii="Times New Roman" w:hAnsi="Times New Roman" w:cs="Times New Roman"/>
          <w:sz w:val="24"/>
          <w:szCs w:val="24"/>
          <w:lang w:val="en-US"/>
        </w:rPr>
        <w:t>are shown</w:t>
      </w:r>
      <w:bookmarkEnd w:id="0"/>
      <w:r w:rsidR="00282A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82AF2" w:rsidRPr="003A5AD1">
        <w:rPr>
          <w:rFonts w:ascii="Times New Roman" w:hAnsi="Times New Roman" w:cs="Times New Roman"/>
          <w:sz w:val="24"/>
          <w:szCs w:val="24"/>
          <w:lang w:val="en-US"/>
        </w:rPr>
        <w:t xml:space="preserve">The y axis </w:t>
      </w:r>
      <w:r w:rsidR="00282AF2">
        <w:rPr>
          <w:rFonts w:ascii="Times New Roman" w:hAnsi="Times New Roman" w:cs="Times New Roman"/>
          <w:sz w:val="24"/>
          <w:szCs w:val="24"/>
          <w:lang w:val="en-US"/>
        </w:rPr>
        <w:t>indicates</w:t>
      </w:r>
      <w:r w:rsidR="00282AF2" w:rsidRPr="003A5AD1">
        <w:rPr>
          <w:rFonts w:ascii="Times New Roman" w:hAnsi="Times New Roman" w:cs="Times New Roman"/>
          <w:sz w:val="24"/>
          <w:szCs w:val="24"/>
          <w:lang w:val="en-US"/>
        </w:rPr>
        <w:t xml:space="preserve"> the ratio between treated </w:t>
      </w:r>
      <w:r w:rsidR="00282AF2" w:rsidRPr="00282AF2">
        <w:rPr>
          <w:rFonts w:ascii="Times New Roman" w:hAnsi="Times New Roman" w:cs="Times New Roman"/>
          <w:i/>
          <w:sz w:val="24"/>
          <w:szCs w:val="24"/>
          <w:lang w:val="en-US"/>
        </w:rPr>
        <w:t>versus</w:t>
      </w:r>
      <w:r w:rsidR="00282AF2" w:rsidRPr="003A5AD1">
        <w:rPr>
          <w:rFonts w:ascii="Times New Roman" w:hAnsi="Times New Roman" w:cs="Times New Roman"/>
          <w:sz w:val="24"/>
          <w:szCs w:val="24"/>
          <w:lang w:val="en-US"/>
        </w:rPr>
        <w:t xml:space="preserve"> untreated cells.</w:t>
      </w:r>
      <w:r w:rsidR="00282AF2">
        <w:rPr>
          <w:rFonts w:ascii="Times New Roman" w:hAnsi="Times New Roman" w:cs="Times New Roman"/>
          <w:sz w:val="24"/>
          <w:szCs w:val="24"/>
          <w:lang w:val="en-US"/>
        </w:rPr>
        <w:t xml:space="preserve"> Results </w:t>
      </w:r>
      <w:r w:rsidR="00282AF2" w:rsidRPr="003A5AD1">
        <w:rPr>
          <w:rFonts w:ascii="Times New Roman" w:hAnsi="Times New Roman" w:cs="Times New Roman"/>
          <w:sz w:val="24"/>
          <w:szCs w:val="24"/>
          <w:lang w:val="en-US"/>
        </w:rPr>
        <w:t>showed that both E4 and E5 particles should be used at 24 h – 72 h of culture (depending on the studied parameters, see arrows) to obtain</w:t>
      </w:r>
      <w:r w:rsidR="00282AF2">
        <w:rPr>
          <w:rFonts w:ascii="Times New Roman" w:hAnsi="Times New Roman" w:cs="Times New Roman"/>
          <w:sz w:val="24"/>
          <w:szCs w:val="24"/>
          <w:lang w:val="en-US"/>
        </w:rPr>
        <w:t xml:space="preserve"> the highest detectable changes with the exception of apoptosis. </w:t>
      </w:r>
      <w:r w:rsidR="00282AF2" w:rsidRPr="00282AF2">
        <w:rPr>
          <w:rFonts w:ascii="Times New Roman" w:hAnsi="Times New Roman" w:cs="Times New Roman"/>
          <w:sz w:val="24"/>
          <w:szCs w:val="24"/>
          <w:lang w:val="en-US"/>
        </w:rPr>
        <w:t xml:space="preserve">In fact, differences of apoptosis levels </w:t>
      </w:r>
      <w:r w:rsidR="007362D8">
        <w:rPr>
          <w:rFonts w:ascii="Times New Roman" w:hAnsi="Times New Roman" w:cs="Times New Roman"/>
          <w:sz w:val="24"/>
          <w:szCs w:val="24"/>
          <w:lang w:val="en-US"/>
        </w:rPr>
        <w:t xml:space="preserve">(although not significant) </w:t>
      </w:r>
      <w:bookmarkStart w:id="1" w:name="_GoBack"/>
      <w:bookmarkEnd w:id="1"/>
      <w:r w:rsidR="00282AF2" w:rsidRPr="00282AF2">
        <w:rPr>
          <w:rFonts w:ascii="Times New Roman" w:hAnsi="Times New Roman" w:cs="Times New Roman"/>
          <w:sz w:val="24"/>
          <w:szCs w:val="24"/>
          <w:lang w:val="en-US"/>
        </w:rPr>
        <w:t>between untreated and treated cells were only detectable at day 6 and 9 of culture.</w:t>
      </w:r>
    </w:p>
    <w:p w:rsidR="00B977F4" w:rsidRPr="00F673E2" w:rsidRDefault="00061046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46">
        <w:rPr>
          <w:noProof/>
          <w:lang w:eastAsia="it-IT"/>
        </w:rPr>
        <w:lastRenderedPageBreak/>
        <w:drawing>
          <wp:inline distT="0" distB="0" distL="0" distR="0">
            <wp:extent cx="5924550" cy="7086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68" w:rsidRDefault="005D7268" w:rsidP="00061046">
      <w:pPr>
        <w:pStyle w:val="Normale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:rsidR="00061046" w:rsidRPr="00061046" w:rsidRDefault="00F3657A" w:rsidP="00061046">
      <w:pPr>
        <w:pStyle w:val="NormaleWeb"/>
        <w:spacing w:before="0" w:beforeAutospacing="0" w:after="0" w:afterAutospacing="0" w:line="480" w:lineRule="auto"/>
        <w:jc w:val="both"/>
        <w:rPr>
          <w:lang w:val="en-US"/>
        </w:rPr>
      </w:pPr>
      <w:r>
        <w:rPr>
          <w:rFonts w:eastAsiaTheme="minorEastAsia"/>
          <w:b/>
          <w:bCs/>
          <w:color w:val="000000" w:themeColor="text1"/>
          <w:kern w:val="24"/>
          <w:lang w:val="en-US"/>
        </w:rPr>
        <w:t>Supplementary f</w:t>
      </w:r>
      <w:r w:rsidR="00061046" w:rsidRPr="00061046">
        <w:rPr>
          <w:rFonts w:eastAsiaTheme="minorEastAsia"/>
          <w:b/>
          <w:bCs/>
          <w:color w:val="000000" w:themeColor="text1"/>
          <w:kern w:val="24"/>
          <w:lang w:val="en-US"/>
        </w:rPr>
        <w:t>igure S</w:t>
      </w:r>
      <w:r w:rsidR="005E50D8">
        <w:rPr>
          <w:rFonts w:eastAsiaTheme="minorEastAsia"/>
          <w:b/>
          <w:bCs/>
          <w:color w:val="000000" w:themeColor="text1"/>
          <w:kern w:val="24"/>
          <w:lang w:val="en-US"/>
        </w:rPr>
        <w:t>2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:</w:t>
      </w:r>
      <w:r w:rsidR="00061046" w:rsidRPr="00061046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BS-induced </w:t>
      </w:r>
      <w:proofErr w:type="spellStart"/>
      <w:r w:rsidR="00061046" w:rsidRPr="00061046">
        <w:rPr>
          <w:rFonts w:eastAsiaTheme="minorEastAsia"/>
          <w:b/>
          <w:bCs/>
          <w:color w:val="000000" w:themeColor="text1"/>
          <w:kern w:val="24"/>
          <w:lang w:val="en-US"/>
        </w:rPr>
        <w:t>autophagic-lysosomal</w:t>
      </w:r>
      <w:proofErr w:type="spellEnd"/>
      <w:r w:rsidR="00061046" w:rsidRPr="00061046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blockade in human T lymphocytes</w:t>
      </w:r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. </w:t>
      </w:r>
      <w:r w:rsidR="00061046" w:rsidRPr="00061046">
        <w:rPr>
          <w:rFonts w:eastAsiaTheme="minorEastAsia"/>
          <w:b/>
          <w:bCs/>
          <w:color w:val="000000" w:themeColor="text1"/>
          <w:kern w:val="24"/>
          <w:lang w:val="en-US"/>
        </w:rPr>
        <w:t>(A)</w:t>
      </w:r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LC3-II Western blot analysis of T-cell lysates (30 µg/lane) from one representative healthy donor (of the 3 analyzed) after treatment with different concentrations (0.15-60 µg/ml for 48 h) of BS particles. Densitometry analysis of LC3-II levels relative to β-actin is also </w:t>
      </w:r>
      <w:r w:rsidR="00061046" w:rsidRPr="00061046">
        <w:rPr>
          <w:rFonts w:eastAsiaTheme="minorEastAsia"/>
          <w:color w:val="000000" w:themeColor="text1"/>
          <w:kern w:val="24"/>
          <w:lang w:val="en-US"/>
        </w:rPr>
        <w:lastRenderedPageBreak/>
        <w:t xml:space="preserve">shown. Values are expressed as mean ± SD obtained from independent experiments performed in cells from 3 healthy donors. Statistically significant differences are indicated in the figure. *, p &lt; 0.05 </w:t>
      </w:r>
      <w:r w:rsidR="00061046" w:rsidRPr="00061046">
        <w:rPr>
          <w:rFonts w:eastAsiaTheme="minorEastAsia"/>
          <w:i/>
          <w:iCs/>
          <w:color w:val="000000" w:themeColor="text1"/>
          <w:kern w:val="24"/>
          <w:lang w:val="en-US"/>
        </w:rPr>
        <w:t>versus</w:t>
      </w:r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untreated cells. A significant increase of LC3-II level was detected starting from a concentration of 0.15 </w:t>
      </w:r>
      <w:r w:rsidR="00061046" w:rsidRPr="00061046">
        <w:rPr>
          <w:rFonts w:eastAsiaTheme="minorEastAsia" w:hAnsi="Symbol"/>
          <w:color w:val="000000" w:themeColor="text1"/>
          <w:kern w:val="24"/>
          <w:lang w:val="en-US"/>
        </w:rPr>
        <w:sym w:font="Symbol" w:char="F06D"/>
      </w:r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g/ml </w:t>
      </w:r>
      <w:r w:rsidR="00061046" w:rsidRPr="00061046">
        <w:rPr>
          <w:rFonts w:eastAsiaTheme="minorEastAsia"/>
          <w:b/>
          <w:bCs/>
          <w:color w:val="000000" w:themeColor="text1"/>
          <w:kern w:val="24"/>
          <w:lang w:val="en-US"/>
        </w:rPr>
        <w:t>(B)</w:t>
      </w:r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Western blot analysis of </w:t>
      </w:r>
      <w:proofErr w:type="spellStart"/>
      <w:r w:rsidR="00061046" w:rsidRPr="00061046">
        <w:rPr>
          <w:rFonts w:eastAsiaTheme="minorEastAsia"/>
          <w:color w:val="000000" w:themeColor="text1"/>
          <w:kern w:val="24"/>
          <w:lang w:val="en-US"/>
        </w:rPr>
        <w:t>autophagic-lysosomal</w:t>
      </w:r>
      <w:proofErr w:type="spellEnd"/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proteins (SQSTM1, NBR1, SNCA) in T-cell lysates from one representative healthy donor (of the 3 analyzed) after treatment with BS (30 µg/ml for 48 h) particles. Densitometry analysis of specific protein levels relative to β-actin is also shown. Values are expressed as mean ± SD obtained from independent experiments performed in cells from 3 healthy donors. Statistically significant differences are indicated in the figure. *, p &lt; 0.05 versus untreated cells. </w:t>
      </w:r>
      <w:r w:rsidR="00061046" w:rsidRPr="00061046">
        <w:rPr>
          <w:rFonts w:eastAsiaTheme="minorEastAsia"/>
          <w:b/>
          <w:bCs/>
          <w:color w:val="000000" w:themeColor="text1"/>
          <w:kern w:val="24"/>
          <w:lang w:val="en-US"/>
        </w:rPr>
        <w:t>(C)</w:t>
      </w:r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LC3-II Western blot analysis of T-cell lysates from one representative healthy donor (of the 3 analyzed) after treatment with BS (30 µg/ml for 48 h) particles in the absence or presence of the </w:t>
      </w:r>
      <w:proofErr w:type="spellStart"/>
      <w:r w:rsidR="00061046" w:rsidRPr="00061046">
        <w:rPr>
          <w:rFonts w:eastAsiaTheme="minorEastAsia"/>
          <w:color w:val="000000" w:themeColor="text1"/>
          <w:kern w:val="24"/>
          <w:lang w:val="en-US"/>
        </w:rPr>
        <w:t>lysosomal</w:t>
      </w:r>
      <w:proofErr w:type="spellEnd"/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inhibitors E64d and </w:t>
      </w:r>
      <w:proofErr w:type="spellStart"/>
      <w:r w:rsidR="00061046" w:rsidRPr="00061046">
        <w:rPr>
          <w:rFonts w:eastAsiaTheme="minorEastAsia"/>
          <w:color w:val="000000" w:themeColor="text1"/>
          <w:kern w:val="24"/>
          <w:lang w:val="en-US"/>
        </w:rPr>
        <w:t>pepstatin</w:t>
      </w:r>
      <w:proofErr w:type="spellEnd"/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A. Densitometry analysis of LC3-II levels relative to β-actin is also shown. Values are expressed as mean ± SD obtained from independent experiments performed in cells from 3 healthy donors. Statistically significant differences are indicated in the figure. *, p &lt; 0.05 </w:t>
      </w:r>
      <w:r w:rsidR="00061046" w:rsidRPr="00061046">
        <w:rPr>
          <w:rFonts w:eastAsiaTheme="minorEastAsia"/>
          <w:i/>
          <w:iCs/>
          <w:color w:val="000000" w:themeColor="text1"/>
          <w:kern w:val="24"/>
          <w:lang w:val="en-US"/>
        </w:rPr>
        <w:t>versus</w:t>
      </w:r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untreated cells. SQSTM1, </w:t>
      </w:r>
      <w:proofErr w:type="spellStart"/>
      <w:r w:rsidR="00061046" w:rsidRPr="00061046">
        <w:rPr>
          <w:rFonts w:eastAsiaTheme="minorEastAsia"/>
          <w:color w:val="000000" w:themeColor="text1"/>
          <w:kern w:val="24"/>
          <w:lang w:val="en-US"/>
        </w:rPr>
        <w:t>sequestosome</w:t>
      </w:r>
      <w:proofErr w:type="spellEnd"/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1; NBR1, neighbor of BRCA1 gene 1; SNCA, α-</w:t>
      </w:r>
      <w:proofErr w:type="spellStart"/>
      <w:r w:rsidR="00061046" w:rsidRPr="00061046">
        <w:rPr>
          <w:rFonts w:eastAsiaTheme="minorEastAsia"/>
          <w:color w:val="000000" w:themeColor="text1"/>
          <w:kern w:val="24"/>
          <w:lang w:val="en-US"/>
        </w:rPr>
        <w:t>synuclein</w:t>
      </w:r>
      <w:proofErr w:type="spellEnd"/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; Pep A, </w:t>
      </w:r>
      <w:proofErr w:type="spellStart"/>
      <w:r w:rsidR="00061046" w:rsidRPr="00061046">
        <w:rPr>
          <w:rFonts w:eastAsiaTheme="minorEastAsia"/>
          <w:color w:val="000000" w:themeColor="text1"/>
          <w:kern w:val="24"/>
          <w:lang w:val="en-US"/>
        </w:rPr>
        <w:t>pepstatin</w:t>
      </w:r>
      <w:proofErr w:type="spellEnd"/>
      <w:r w:rsidR="00061046" w:rsidRPr="00061046">
        <w:rPr>
          <w:rFonts w:eastAsiaTheme="minorEastAsia"/>
          <w:color w:val="000000" w:themeColor="text1"/>
          <w:kern w:val="24"/>
          <w:lang w:val="en-US"/>
        </w:rPr>
        <w:t xml:space="preserve"> A.</w:t>
      </w:r>
    </w:p>
    <w:p w:rsidR="00B61C1F" w:rsidRDefault="00B61C1F" w:rsidP="0006104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16893" w:rsidRPr="00F673E2" w:rsidRDefault="00216893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73E2">
        <w:rPr>
          <w:rFonts w:ascii="Times New Roman" w:hAnsi="Times New Roman" w:cs="Times New Roman"/>
          <w:b/>
          <w:sz w:val="24"/>
          <w:szCs w:val="24"/>
          <w:lang w:val="en-US"/>
        </w:rPr>
        <w:t>Methods</w:t>
      </w:r>
    </w:p>
    <w:p w:rsidR="00E4503D" w:rsidRPr="00F673E2" w:rsidRDefault="00B977F4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73E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5077B1">
        <w:rPr>
          <w:rFonts w:ascii="Times New Roman" w:hAnsi="Times New Roman" w:cs="Times New Roman"/>
          <w:b/>
          <w:sz w:val="24"/>
          <w:szCs w:val="24"/>
          <w:lang w:val="en-US"/>
        </w:rPr>
        <w:t>lack soot (B</w:t>
      </w:r>
      <w:r w:rsidRPr="00F673E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5077B1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16893" w:rsidRPr="00F673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collection and characterization</w:t>
      </w:r>
    </w:p>
    <w:p w:rsidR="00216893" w:rsidRPr="00F673E2" w:rsidRDefault="00E4503D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73E2">
        <w:rPr>
          <w:rFonts w:ascii="Times New Roman" w:hAnsi="Times New Roman" w:cs="Times New Roman"/>
          <w:sz w:val="24"/>
          <w:szCs w:val="24"/>
          <w:lang w:val="en-US"/>
        </w:rPr>
        <w:t>The methods of BS soot production and collection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have been described elsewhere [1,2].</w:t>
      </w:r>
      <w:r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Briefly, the BS soot originated from a D2876 CR 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truck </w:t>
      </w:r>
      <w:r w:rsidRPr="00F673E2">
        <w:rPr>
          <w:rFonts w:ascii="Times New Roman" w:hAnsi="Times New Roman" w:cs="Times New Roman"/>
          <w:sz w:val="24"/>
          <w:szCs w:val="24"/>
          <w:lang w:val="en-US"/>
        </w:rPr>
        <w:t>engine, operated at 30% load, extra-low rail pressure, and air throttling (blackening number 5). The emission rate of the BS engine is 200</w:t>
      </w:r>
      <w:r w:rsidR="00E360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73E2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E360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600 mg/kWh. 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The diesel fuel used was a standard low-sulfur type, containing 78% parafﬁn and 22% aromatic hydrocarbons (European Norm 590). </w:t>
      </w:r>
      <w:r w:rsidRPr="00F673E2">
        <w:rPr>
          <w:rFonts w:ascii="Times New Roman" w:hAnsi="Times New Roman" w:cs="Times New Roman"/>
          <w:sz w:val="24"/>
          <w:szCs w:val="24"/>
          <w:lang w:val="en-US"/>
        </w:rPr>
        <w:t>The sample was collected directly from the exhaust gas of the engine using a special particle collector that was heated to the exhaust gas temperature at the collection position (200</w:t>
      </w:r>
      <w:r w:rsidR="000770DD" w:rsidRPr="00F673E2">
        <w:rPr>
          <w:rFonts w:ascii="Times New Roman" w:hAnsi="Times New Roman" w:cs="Times New Roman"/>
          <w:sz w:val="24"/>
          <w:szCs w:val="24"/>
          <w:lang w:val="en-US"/>
        </w:rPr>
        <w:t>°C</w:t>
      </w:r>
      <w:r w:rsidRPr="00F673E2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>Transmission electro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n microscopy, energy-dispersive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X-ray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lastRenderedPageBreak/>
        <w:t>spectroscopy, and t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emperature programmed oxidation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studies revealed that 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>BS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soot </w:t>
      </w:r>
      <w:r w:rsidR="00671AF1">
        <w:rPr>
          <w:rFonts w:ascii="Times New Roman" w:hAnsi="Times New Roman" w:cs="Times New Roman"/>
          <w:sz w:val="24"/>
          <w:szCs w:val="24"/>
          <w:lang w:val="en-US"/>
        </w:rPr>
        <w:t>did not contain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ash from the combusted engine lubricant oil. </w:t>
      </w:r>
      <w:r w:rsidR="000770DD" w:rsidRPr="00F673E2">
        <w:rPr>
          <w:rFonts w:ascii="Times New Roman" w:hAnsi="Times New Roman" w:cs="Times New Roman"/>
          <w:sz w:val="24"/>
          <w:szCs w:val="24"/>
          <w:lang w:val="en-US"/>
        </w:rPr>
        <w:t>The mean size of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70DD" w:rsidRPr="00F673E2">
        <w:rPr>
          <w:rFonts w:ascii="Times New Roman" w:hAnsi="Times New Roman" w:cs="Times New Roman"/>
          <w:sz w:val="24"/>
          <w:szCs w:val="24"/>
          <w:lang w:val="en-US"/>
        </w:rPr>
        <w:t>BS soot was 35</w:t>
      </w:r>
      <w:r w:rsidR="00032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70DD" w:rsidRPr="00F673E2">
        <w:rPr>
          <w:rFonts w:ascii="Times New Roman" w:hAnsi="Times New Roman" w:cs="Times New Roman"/>
          <w:sz w:val="24"/>
          <w:szCs w:val="24"/>
          <w:lang w:val="en-US"/>
        </w:rPr>
        <w:t>nm. BS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>exhibited a secondary structure co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nsisting of a number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>of agglomerated spherical particles much larger than the</w:t>
      </w:r>
    </w:p>
    <w:p w:rsidR="00216893" w:rsidRPr="005F2D02" w:rsidRDefault="008C4349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E4/E5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particles. For the </w:t>
      </w:r>
      <w:r w:rsidR="00216893" w:rsidRPr="00F673E2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studies, 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>BS soot were sterilized by heating at 180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°C, at a temperature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>lower than that of the exhaust gas at the collection po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>sition (200°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>C), in order to avoiding to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affect the particle properties.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Then the particles were 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washed three times in distilled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water, suspended in </w:t>
      </w:r>
      <w:r w:rsidR="00032E3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32E3B" w:rsidRPr="00032E3B">
        <w:rPr>
          <w:rFonts w:ascii="Times New Roman" w:hAnsi="Times New Roman" w:cs="Times New Roman"/>
          <w:sz w:val="24"/>
          <w:szCs w:val="24"/>
          <w:lang w:val="en-US"/>
        </w:rPr>
        <w:t>hosphate buffered saline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t a stock concentration of 1mg/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ml and </w:t>
      </w:r>
      <w:proofErr w:type="spellStart"/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>sonicated</w:t>
      </w:r>
      <w:proofErr w:type="spellEnd"/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in a wate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>r bath at low intensity for 48</w:t>
      </w:r>
      <w:r w:rsidR="008314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h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>before the use, in order to ob</w:t>
      </w:r>
      <w:r w:rsidR="00247F61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tain a better dispersion of the </w:t>
      </w:r>
      <w:r w:rsidR="00216893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particles that tend to </w:t>
      </w:r>
      <w:r w:rsidR="00216893" w:rsidRPr="004A5C91">
        <w:rPr>
          <w:rFonts w:ascii="Times New Roman" w:hAnsi="Times New Roman" w:cs="Times New Roman"/>
          <w:sz w:val="24"/>
          <w:szCs w:val="24"/>
          <w:lang w:val="en-US"/>
        </w:rPr>
        <w:t>agglomerate.</w:t>
      </w:r>
      <w:r w:rsidR="004A5C91" w:rsidRPr="004A5C91">
        <w:rPr>
          <w:rFonts w:ascii="Times New Roman" w:hAnsi="Times New Roman" w:cs="Times New Roman"/>
          <w:sz w:val="24"/>
          <w:szCs w:val="24"/>
          <w:lang w:val="en-US"/>
        </w:rPr>
        <w:t xml:space="preserve"> BS contained &lt; 0.00025 ng of endotoxin/</w:t>
      </w:r>
      <w:proofErr w:type="spellStart"/>
      <w:r w:rsidR="004A5C91" w:rsidRPr="004A5C91">
        <w:rPr>
          <w:rFonts w:ascii="Times New Roman" w:hAnsi="Times New Roman" w:cs="Times New Roman"/>
          <w:sz w:val="24"/>
          <w:szCs w:val="24"/>
          <w:lang w:val="en-US"/>
        </w:rPr>
        <w:t>μg</w:t>
      </w:r>
      <w:proofErr w:type="spellEnd"/>
      <w:r w:rsidR="004A5C91" w:rsidRPr="004A5C91">
        <w:rPr>
          <w:rFonts w:ascii="Times New Roman" w:hAnsi="Times New Roman" w:cs="Times New Roman"/>
          <w:sz w:val="24"/>
          <w:szCs w:val="24"/>
          <w:lang w:val="en-US"/>
        </w:rPr>
        <w:t xml:space="preserve"> of protein, as determined by the quantitative chromogenic Limulus </w:t>
      </w:r>
      <w:proofErr w:type="spellStart"/>
      <w:r w:rsidR="004A5C91" w:rsidRPr="004A5C91">
        <w:rPr>
          <w:rFonts w:ascii="Times New Roman" w:hAnsi="Times New Roman" w:cs="Times New Roman"/>
          <w:sz w:val="24"/>
          <w:szCs w:val="24"/>
          <w:lang w:val="en-US"/>
        </w:rPr>
        <w:t>amebocyte</w:t>
      </w:r>
      <w:proofErr w:type="spellEnd"/>
      <w:r w:rsidR="004A5C91" w:rsidRPr="004A5C91">
        <w:rPr>
          <w:rFonts w:ascii="Times New Roman" w:hAnsi="Times New Roman" w:cs="Times New Roman"/>
          <w:sz w:val="24"/>
          <w:szCs w:val="24"/>
          <w:lang w:val="en-US"/>
        </w:rPr>
        <w:t xml:space="preserve"> lysate </w:t>
      </w:r>
      <w:r w:rsidR="004A5C91" w:rsidRPr="005F2D02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5F2D02" w:rsidRPr="005F2D0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(QCL-1000; </w:t>
      </w:r>
      <w:proofErr w:type="spellStart"/>
      <w:r w:rsidR="005F2D02" w:rsidRPr="005F2D0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BioWhittaker</w:t>
      </w:r>
      <w:proofErr w:type="spellEnd"/>
      <w:r w:rsidR="005F2D02" w:rsidRPr="005F2D0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, Walkersville, MD, USA)</w:t>
      </w:r>
      <w:r w:rsidR="004A5C91" w:rsidRPr="005F2D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673E2" w:rsidRPr="00F673E2" w:rsidRDefault="00F673E2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2656" w:rsidRPr="00F673E2" w:rsidRDefault="00CC3AEF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73E2">
        <w:rPr>
          <w:rFonts w:ascii="Times New Roman" w:hAnsi="Times New Roman" w:cs="Times New Roman"/>
          <w:b/>
          <w:sz w:val="24"/>
          <w:szCs w:val="24"/>
          <w:lang w:val="en-US"/>
        </w:rPr>
        <w:t>Refer</w:t>
      </w:r>
      <w:r w:rsidR="0032767E" w:rsidRPr="00F673E2">
        <w:rPr>
          <w:rFonts w:ascii="Times New Roman" w:hAnsi="Times New Roman" w:cs="Times New Roman"/>
          <w:b/>
          <w:sz w:val="24"/>
          <w:szCs w:val="24"/>
          <w:lang w:val="en-US"/>
        </w:rPr>
        <w:t>ences</w:t>
      </w:r>
    </w:p>
    <w:p w:rsidR="00EE3A17" w:rsidRPr="00F673E2" w:rsidRDefault="00247F61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73E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. Su DS,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Serafino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A, Muller JO,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Jentoft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RE,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Schlogl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Fiorito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S: </w:t>
      </w:r>
      <w:r w:rsidR="00EE3A17" w:rsidRPr="00F673E2">
        <w:rPr>
          <w:rFonts w:ascii="Times New Roman" w:hAnsi="Times New Roman" w:cs="Times New Roman"/>
          <w:b/>
          <w:sz w:val="24"/>
          <w:szCs w:val="24"/>
          <w:lang w:val="en-US"/>
        </w:rPr>
        <w:t>Cytotoxicity and inflammatory potential of soot particles of low-emission diesel engines</w:t>
      </w:r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E3A17" w:rsidRPr="00945D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Environ </w:t>
      </w:r>
      <w:proofErr w:type="spellStart"/>
      <w:r w:rsidR="00EE3A17" w:rsidRPr="00945D20">
        <w:rPr>
          <w:rFonts w:ascii="Times New Roman" w:hAnsi="Times New Roman" w:cs="Times New Roman"/>
          <w:i/>
          <w:sz w:val="24"/>
          <w:szCs w:val="24"/>
          <w:lang w:val="en-US"/>
        </w:rPr>
        <w:t>Sci</w:t>
      </w:r>
      <w:proofErr w:type="spellEnd"/>
      <w:r w:rsidR="00EE3A17" w:rsidRPr="00945D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EE3A17" w:rsidRPr="00945D20">
        <w:rPr>
          <w:rFonts w:ascii="Times New Roman" w:hAnsi="Times New Roman" w:cs="Times New Roman"/>
          <w:i/>
          <w:sz w:val="24"/>
          <w:szCs w:val="24"/>
          <w:lang w:val="en-US"/>
        </w:rPr>
        <w:t>Technol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2008, </w:t>
      </w:r>
      <w:r w:rsidR="00EE3A17" w:rsidRPr="00945D20">
        <w:rPr>
          <w:rFonts w:ascii="Times New Roman" w:hAnsi="Times New Roman" w:cs="Times New Roman"/>
          <w:b/>
          <w:sz w:val="24"/>
          <w:szCs w:val="24"/>
          <w:lang w:val="en-US"/>
        </w:rPr>
        <w:t>42</w:t>
      </w:r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:1761-1765.</w:t>
      </w:r>
    </w:p>
    <w:p w:rsidR="00216893" w:rsidRPr="00F673E2" w:rsidRDefault="00247F61" w:rsidP="00F673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3E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Fiorito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Mastrofrancesco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Cardinali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Rosato</w:t>
      </w:r>
      <w:proofErr w:type="spellEnd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Salsan</w:t>
      </w:r>
      <w:r w:rsidRPr="00F673E2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F, Su DS, </w:t>
      </w:r>
      <w:proofErr w:type="spellStart"/>
      <w:r w:rsidRPr="00F673E2">
        <w:rPr>
          <w:rFonts w:ascii="Times New Roman" w:hAnsi="Times New Roman" w:cs="Times New Roman"/>
          <w:sz w:val="24"/>
          <w:szCs w:val="24"/>
          <w:lang w:val="en-US"/>
        </w:rPr>
        <w:t>Serafino</w:t>
      </w:r>
      <w:proofErr w:type="spellEnd"/>
      <w:r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F673E2">
        <w:rPr>
          <w:rFonts w:ascii="Times New Roman" w:hAnsi="Times New Roman" w:cs="Times New Roman"/>
          <w:sz w:val="24"/>
          <w:szCs w:val="24"/>
          <w:lang w:val="en-US"/>
        </w:rPr>
        <w:t>Picardi</w:t>
      </w:r>
      <w:proofErr w:type="spellEnd"/>
      <w:r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M: </w:t>
      </w:r>
      <w:r w:rsidR="00EE3A17" w:rsidRPr="00F673E2">
        <w:rPr>
          <w:rFonts w:ascii="Times New Roman" w:hAnsi="Times New Roman" w:cs="Times New Roman"/>
          <w:b/>
          <w:sz w:val="24"/>
          <w:szCs w:val="24"/>
          <w:lang w:val="en-US"/>
        </w:rPr>
        <w:t>Effects of carbonaceous nanoparticles from low-emission and older diesel engines on human skin cells</w:t>
      </w:r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E3A17" w:rsidRPr="00945D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Carbon </w:t>
      </w:r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 xml:space="preserve">2011, </w:t>
      </w:r>
      <w:r w:rsidR="00EE3A17" w:rsidRPr="00945D20">
        <w:rPr>
          <w:rFonts w:ascii="Times New Roman" w:hAnsi="Times New Roman" w:cs="Times New Roman"/>
          <w:b/>
          <w:sz w:val="24"/>
          <w:szCs w:val="24"/>
          <w:lang w:val="en-US"/>
        </w:rPr>
        <w:t>49</w:t>
      </w:r>
      <w:r w:rsidR="00EE3A17" w:rsidRPr="00F673E2">
        <w:rPr>
          <w:rFonts w:ascii="Times New Roman" w:hAnsi="Times New Roman" w:cs="Times New Roman"/>
          <w:sz w:val="24"/>
          <w:szCs w:val="24"/>
          <w:lang w:val="en-US"/>
        </w:rPr>
        <w:t>:5038-5048.</w:t>
      </w:r>
    </w:p>
    <w:sectPr w:rsidR="00216893" w:rsidRPr="00F673E2" w:rsidSect="00F068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3D"/>
    <w:rsid w:val="00032E3B"/>
    <w:rsid w:val="00061046"/>
    <w:rsid w:val="000770DD"/>
    <w:rsid w:val="00180D62"/>
    <w:rsid w:val="00216893"/>
    <w:rsid w:val="00247F61"/>
    <w:rsid w:val="00282AF2"/>
    <w:rsid w:val="00305C77"/>
    <w:rsid w:val="0032767E"/>
    <w:rsid w:val="003A5AD1"/>
    <w:rsid w:val="003F2656"/>
    <w:rsid w:val="00470B91"/>
    <w:rsid w:val="004A5C91"/>
    <w:rsid w:val="005077B1"/>
    <w:rsid w:val="005837E4"/>
    <w:rsid w:val="005D7268"/>
    <w:rsid w:val="005E50D8"/>
    <w:rsid w:val="005F2D02"/>
    <w:rsid w:val="00671AF1"/>
    <w:rsid w:val="007362D8"/>
    <w:rsid w:val="00831424"/>
    <w:rsid w:val="008C4349"/>
    <w:rsid w:val="008D7A5B"/>
    <w:rsid w:val="00945D20"/>
    <w:rsid w:val="00A16F54"/>
    <w:rsid w:val="00AC17C4"/>
    <w:rsid w:val="00B61C1F"/>
    <w:rsid w:val="00B977F4"/>
    <w:rsid w:val="00C45168"/>
    <w:rsid w:val="00C94208"/>
    <w:rsid w:val="00CC3AEF"/>
    <w:rsid w:val="00DF0902"/>
    <w:rsid w:val="00E06FD0"/>
    <w:rsid w:val="00E360F3"/>
    <w:rsid w:val="00E4503D"/>
    <w:rsid w:val="00E54C00"/>
    <w:rsid w:val="00E92AD9"/>
    <w:rsid w:val="00EE3A17"/>
    <w:rsid w:val="00F06890"/>
    <w:rsid w:val="00F3657A"/>
    <w:rsid w:val="00F6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68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">
    <w:name w:val="st"/>
    <w:basedOn w:val="Carpredefinitoparagrafo"/>
    <w:rsid w:val="00F673E2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04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61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68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">
    <w:name w:val="st"/>
    <w:basedOn w:val="Carpredefinitoparagrafo"/>
    <w:rsid w:val="00F673E2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04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61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Pierdominici Marina</cp:lastModifiedBy>
  <cp:revision>23</cp:revision>
  <dcterms:created xsi:type="dcterms:W3CDTF">2014-10-15T09:48:00Z</dcterms:created>
  <dcterms:modified xsi:type="dcterms:W3CDTF">2014-12-02T09:09:00Z</dcterms:modified>
</cp:coreProperties>
</file>