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55" w:type="dxa"/>
        <w:tblInd w:w="93" w:type="dxa"/>
        <w:tblLook w:val="04A0" w:firstRow="1" w:lastRow="0" w:firstColumn="1" w:lastColumn="0" w:noHBand="0" w:noVBand="1"/>
      </w:tblPr>
      <w:tblGrid>
        <w:gridCol w:w="2175"/>
        <w:gridCol w:w="1710"/>
        <w:gridCol w:w="2160"/>
        <w:gridCol w:w="1710"/>
      </w:tblGrid>
      <w:tr w:rsidR="00325A4A" w:rsidRPr="00325A4A" w:rsidTr="00096E5C">
        <w:trPr>
          <w:trHeight w:val="300"/>
        </w:trPr>
        <w:tc>
          <w:tcPr>
            <w:tcW w:w="7755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b/>
                <w:bCs/>
                <w:color w:val="000000"/>
              </w:rPr>
              <w:t>Table S4:</w:t>
            </w:r>
            <w:r w:rsidRPr="00325A4A">
              <w:rPr>
                <w:rFonts w:ascii="Arial" w:eastAsia="Times New Roman" w:hAnsi="Arial" w:cs="Arial"/>
                <w:color w:val="000000"/>
              </w:rPr>
              <w:t xml:space="preserve"> Odds ratios (95% CI) of the association between miRNAs in extracellular vesicles and coronary heart disease history.</w:t>
            </w:r>
          </w:p>
        </w:tc>
      </w:tr>
      <w:tr w:rsidR="00325A4A" w:rsidRPr="00325A4A" w:rsidTr="00096E5C">
        <w:trPr>
          <w:trHeight w:val="315"/>
        </w:trPr>
        <w:tc>
          <w:tcPr>
            <w:tcW w:w="7755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25A4A" w:rsidRPr="00325A4A" w:rsidTr="00096E5C">
        <w:trPr>
          <w:trHeight w:val="615"/>
        </w:trPr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A4A">
              <w:rPr>
                <w:rFonts w:ascii="Arial" w:eastAsia="Times New Roman" w:hAnsi="Arial" w:cs="Arial"/>
                <w:b/>
                <w:bCs/>
                <w:color w:val="000000"/>
              </w:rPr>
              <w:t>miRNA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A4A">
              <w:rPr>
                <w:rFonts w:ascii="Arial" w:eastAsia="Times New Roman" w:hAnsi="Arial" w:cs="Arial"/>
                <w:b/>
                <w:bCs/>
                <w:color w:val="000000"/>
              </w:rPr>
              <w:t>OR</w:t>
            </w:r>
            <w:r w:rsidRPr="00325A4A">
              <w:rPr>
                <w:rFonts w:ascii="Calibri" w:eastAsia="Times New Roman" w:hAnsi="Calibri" w:cs="Arial"/>
                <w:b/>
                <w:bCs/>
                <w:color w:val="000000"/>
                <w:vertAlign w:val="superscript"/>
              </w:rPr>
              <w:t>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A4A">
              <w:rPr>
                <w:rFonts w:ascii="Arial" w:eastAsia="Times New Roman" w:hAnsi="Arial" w:cs="Arial"/>
                <w:b/>
                <w:bCs/>
                <w:color w:val="000000"/>
              </w:rPr>
              <w:t>95% CI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  <w:r w:rsidRPr="00325A4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FDR adjusted </w:t>
            </w:r>
            <w:r w:rsidRPr="00325A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                </w:t>
            </w:r>
            <w:r w:rsidRPr="00325A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     P value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miR-130a-3p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(0.20, 0.74)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0.04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miR-4454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2.32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(1.33, 4.04)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miR-106b-5p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0.47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(0.27, 0.81)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miR-720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2.24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(1.34, 3.75)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0.07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miR-23a-3p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(0.39, 0.94)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miR-30d-5p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(0.34, 0.95)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miR-142-3p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0.56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(0.33, 0.97)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miR-144-3p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(0.24, 0.98)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miR-19b-3p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(0.22, 1.07)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miR-223-3p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0.68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(0.40, 1.14)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miR-15a-5p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0.69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(0.40, 1.19)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0.37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miR-146a-5p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(0.65, 1.08)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let-7g-5p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(0.35, 1.15)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miR-15b-5p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(0.32, 1.15)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miR-320e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(0.29, 1.24)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0.40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miR-16-5p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(0.44, 1.20)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0.41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miR-126-3p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(0.51, 1.17)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let-7a-5p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0.86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(0.65, 1.13)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0.47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miR-1246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1.09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(0.88, 1.36)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0.68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miR-93-5p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0.86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(0.57, 1.28)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0.70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miR-191-5p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(0.70, 1.19)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0.74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miR-199a/b-3p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(0.64, 1.27)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miR-20a/b-5p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(0.63, 1.32)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  <w:bookmarkStart w:id="0" w:name="_GoBack"/>
        <w:bookmarkEnd w:id="0"/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miR-505-3p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(0.68, 1.31)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0.91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miR-25-3p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0.86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(0.40, 1.88)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0.92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miR-150-5p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1.02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(0.77, 1.36)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0.94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let-7b-5p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(0.62, 1.56)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0.96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miR-342-3p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1.04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(0.65, 1.66)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0.97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miR-181a-5p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1.02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(0.79, 1.32)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0.98</w:t>
            </w:r>
          </w:p>
        </w:tc>
      </w:tr>
      <w:tr w:rsidR="00325A4A" w:rsidRPr="00325A4A" w:rsidTr="00096E5C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miR-451a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1.10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(0.47, 2.57)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0.99</w:t>
            </w:r>
          </w:p>
        </w:tc>
      </w:tr>
      <w:tr w:rsidR="00325A4A" w:rsidRPr="00325A4A" w:rsidTr="00096E5C">
        <w:trPr>
          <w:trHeight w:val="315"/>
        </w:trPr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miR-185-5p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(0.27, 3.68)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5A4A" w:rsidRPr="00325A4A" w:rsidRDefault="00325A4A" w:rsidP="00325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325A4A" w:rsidRPr="00325A4A" w:rsidTr="00096E5C">
        <w:trPr>
          <w:trHeight w:val="300"/>
        </w:trPr>
        <w:tc>
          <w:tcPr>
            <w:tcW w:w="7755" w:type="dxa"/>
            <w:gridSpan w:val="4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5A4A" w:rsidRPr="00325A4A" w:rsidRDefault="00325A4A" w:rsidP="00096E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A4A">
              <w:rPr>
                <w:rFonts w:ascii="Calibri" w:eastAsia="Times New Roman" w:hAnsi="Calibri" w:cs="Arial"/>
                <w:color w:val="000000"/>
              </w:rPr>
              <w:t>†</w:t>
            </w:r>
            <w:r w:rsidRPr="00325A4A">
              <w:rPr>
                <w:rFonts w:ascii="Arial" w:eastAsia="Times New Roman" w:hAnsi="Arial" w:cs="Arial"/>
                <w:color w:val="000000"/>
              </w:rPr>
              <w:t>All models were adjusted for age, body mass index (BMI), pack-years of smoking, total miRNA counts, and the number of red blood cells (RBCs), white blood cells (WBCs), and platelets.</w:t>
            </w:r>
          </w:p>
        </w:tc>
      </w:tr>
      <w:tr w:rsidR="00325A4A" w:rsidRPr="00325A4A" w:rsidTr="00096E5C">
        <w:trPr>
          <w:trHeight w:val="300"/>
        </w:trPr>
        <w:tc>
          <w:tcPr>
            <w:tcW w:w="7755" w:type="dxa"/>
            <w:gridSpan w:val="4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25A4A" w:rsidRPr="00325A4A" w:rsidTr="00096E5C">
        <w:trPr>
          <w:trHeight w:val="300"/>
        </w:trPr>
        <w:tc>
          <w:tcPr>
            <w:tcW w:w="7755" w:type="dxa"/>
            <w:gridSpan w:val="4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25A4A" w:rsidRPr="00325A4A" w:rsidRDefault="00325A4A" w:rsidP="00325A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9B36F1" w:rsidRDefault="00096E5C"/>
    <w:sectPr w:rsidR="009B3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1D"/>
    <w:rsid w:val="00096E5C"/>
    <w:rsid w:val="00325A4A"/>
    <w:rsid w:val="004E742E"/>
    <w:rsid w:val="006D41ED"/>
    <w:rsid w:val="00F3451D"/>
    <w:rsid w:val="00F7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HSPH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Rodos</dc:creator>
  <cp:keywords/>
  <dc:description/>
  <cp:lastModifiedBy>Rodos</cp:lastModifiedBy>
  <cp:revision>3</cp:revision>
  <dcterms:created xsi:type="dcterms:W3CDTF">2016-01-14T20:41:00Z</dcterms:created>
  <dcterms:modified xsi:type="dcterms:W3CDTF">2016-01-14T20:59:00Z</dcterms:modified>
</cp:coreProperties>
</file>