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949" w:rsidRDefault="00524949" w:rsidP="00524949">
      <w:pPr>
        <w:spacing w:line="480" w:lineRule="auto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noProof/>
          <w:sz w:val="32"/>
          <w:szCs w:val="32"/>
        </w:rPr>
        <w:drawing>
          <wp:inline distT="0" distB="0" distL="0" distR="0">
            <wp:extent cx="5478145" cy="3862705"/>
            <wp:effectExtent l="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386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07C" w:rsidRPr="00577DFB" w:rsidRDefault="00CC607C" w:rsidP="00CC607C">
      <w:pPr>
        <w:spacing w:line="276" w:lineRule="auto"/>
        <w:jc w:val="center"/>
        <w:rPr>
          <w:rFonts w:ascii="Arial" w:hAnsi="Arial"/>
          <w:b/>
        </w:rPr>
      </w:pPr>
      <w:r w:rsidRPr="00577DFB">
        <w:rPr>
          <w:rFonts w:ascii="Arial" w:hAnsi="Arial"/>
          <w:b/>
          <w:bCs/>
        </w:rPr>
        <w:t xml:space="preserve">Figure </w:t>
      </w:r>
      <w:r>
        <w:rPr>
          <w:rFonts w:ascii="Arial" w:hAnsi="Arial"/>
          <w:b/>
          <w:bCs/>
        </w:rPr>
        <w:t>S1</w:t>
      </w:r>
      <w:r w:rsidRPr="00577DFB">
        <w:rPr>
          <w:rFonts w:ascii="Arial" w:hAnsi="Arial"/>
          <w:b/>
        </w:rPr>
        <w:t>. Quantification of Cadmium (Cd) in the feces</w:t>
      </w:r>
      <w:r>
        <w:rPr>
          <w:rFonts w:ascii="Arial" w:hAnsi="Arial"/>
          <w:b/>
        </w:rPr>
        <w:t>.</w:t>
      </w:r>
    </w:p>
    <w:p w:rsidR="00CC607C" w:rsidRPr="00577DFB" w:rsidRDefault="00CC607C" w:rsidP="00CC607C">
      <w:pPr>
        <w:spacing w:line="276" w:lineRule="auto"/>
        <w:jc w:val="both"/>
        <w:rPr>
          <w:rFonts w:ascii="Arial" w:hAnsi="Arial"/>
        </w:rPr>
      </w:pPr>
      <w:r w:rsidRPr="00577DFB">
        <w:rPr>
          <w:rFonts w:ascii="Arial" w:hAnsi="Arial"/>
        </w:rPr>
        <w:t xml:space="preserve">To assess the potential for QD ingestion, AAS analysis of excreted QDs in the feces of the mice used in this study (UVR treated mice + QD with collar) was compared to untreated control mice (Control), mice exposed to QDs topically without a collar, and mice exposed to QDs via oral gavage. The graph represents the mean +/- standard error, N=4. The statistics are based on a </w:t>
      </w:r>
      <w:proofErr w:type="spellStart"/>
      <w:r w:rsidRPr="00577DFB">
        <w:rPr>
          <w:rFonts w:ascii="Arial" w:hAnsi="Arial"/>
        </w:rPr>
        <w:t>Kruskal</w:t>
      </w:r>
      <w:proofErr w:type="spellEnd"/>
      <w:r w:rsidRPr="00577DFB">
        <w:rPr>
          <w:rFonts w:ascii="Arial" w:hAnsi="Arial"/>
        </w:rPr>
        <w:t>-Wallis test with post-hoc Wilcoxon analysis.</w:t>
      </w:r>
      <w:r>
        <w:rPr>
          <w:rFonts w:ascii="Arial" w:hAnsi="Arial"/>
        </w:rPr>
        <w:t xml:space="preserve"> </w:t>
      </w:r>
      <w:r w:rsidR="00C279E6">
        <w:rPr>
          <w:rFonts w:ascii="Arial" w:hAnsi="Arial"/>
        </w:rPr>
        <w:t>*p&lt;0.05, significant with respect to</w:t>
      </w:r>
      <w:r w:rsidRPr="00577DFB">
        <w:rPr>
          <w:rFonts w:ascii="Arial" w:hAnsi="Arial"/>
        </w:rPr>
        <w:t xml:space="preserve"> Control</w:t>
      </w:r>
      <w:r>
        <w:rPr>
          <w:rFonts w:ascii="Arial" w:hAnsi="Arial"/>
        </w:rPr>
        <w:t xml:space="preserve">. </w:t>
      </w:r>
      <w:r w:rsidRPr="00577DFB">
        <w:rPr>
          <w:rFonts w:ascii="Arial" w:hAnsi="Arial"/>
        </w:rPr>
        <w:t>#p&lt;0</w:t>
      </w:r>
      <w:r w:rsidR="00C279E6">
        <w:rPr>
          <w:rFonts w:ascii="Arial" w:hAnsi="Arial"/>
        </w:rPr>
        <w:t>.05, Oral gavage significant with respect to</w:t>
      </w:r>
      <w:r>
        <w:rPr>
          <w:rFonts w:ascii="Arial" w:hAnsi="Arial"/>
        </w:rPr>
        <w:t xml:space="preserve"> all UVR + QD treated groups.  </w:t>
      </w:r>
      <w:r w:rsidRPr="00577DFB">
        <w:rPr>
          <w:rFonts w:ascii="Arial" w:hAnsi="Arial"/>
        </w:rPr>
        <w:t xml:space="preserve">$p&lt;0.05, No collar </w:t>
      </w:r>
      <w:r w:rsidR="00C279E6">
        <w:rPr>
          <w:rFonts w:ascii="Arial" w:hAnsi="Arial"/>
        </w:rPr>
        <w:t>QD treated group significant with respect to</w:t>
      </w:r>
      <w:r>
        <w:rPr>
          <w:rFonts w:ascii="Arial" w:hAnsi="Arial"/>
        </w:rPr>
        <w:t xml:space="preserve"> all UVR + QD treated groups.</w:t>
      </w:r>
    </w:p>
    <w:p w:rsidR="00524949" w:rsidRDefault="00524949">
      <w:pPr>
        <w:rPr>
          <w:rFonts w:ascii="Arial" w:hAnsi="Arial" w:cs="Arial"/>
        </w:rPr>
      </w:pPr>
    </w:p>
    <w:p w:rsidR="00524949" w:rsidRDefault="00524949">
      <w:pPr>
        <w:rPr>
          <w:rFonts w:ascii="Arial" w:hAnsi="Arial" w:cs="Arial"/>
        </w:rPr>
      </w:pPr>
    </w:p>
    <w:p w:rsidR="00524949" w:rsidRDefault="00524949">
      <w:pPr>
        <w:rPr>
          <w:rFonts w:ascii="Arial" w:hAnsi="Arial" w:cs="Arial"/>
        </w:rPr>
      </w:pPr>
    </w:p>
    <w:p w:rsidR="00C279E6" w:rsidRDefault="00C279E6">
      <w:pPr>
        <w:rPr>
          <w:rFonts w:ascii="Arial" w:hAnsi="Arial" w:cs="Arial"/>
        </w:rPr>
      </w:pPr>
    </w:p>
    <w:p w:rsidR="00524949" w:rsidRDefault="00524949">
      <w:pPr>
        <w:rPr>
          <w:rFonts w:ascii="Arial" w:hAnsi="Arial" w:cs="Arial"/>
        </w:rPr>
      </w:pPr>
    </w:p>
    <w:p w:rsidR="00524949" w:rsidRDefault="00524949">
      <w:pPr>
        <w:rPr>
          <w:rFonts w:ascii="Arial" w:hAnsi="Arial" w:cs="Arial"/>
        </w:rPr>
      </w:pPr>
    </w:p>
    <w:p w:rsidR="00524949" w:rsidRDefault="00524949">
      <w:pPr>
        <w:rPr>
          <w:rFonts w:ascii="Arial" w:hAnsi="Arial" w:cs="Arial"/>
        </w:rPr>
      </w:pPr>
    </w:p>
    <w:p w:rsidR="00524949" w:rsidRDefault="00524949">
      <w:pPr>
        <w:rPr>
          <w:rFonts w:ascii="Arial" w:hAnsi="Arial" w:cs="Arial"/>
        </w:rPr>
      </w:pPr>
    </w:p>
    <w:p w:rsidR="003628F5" w:rsidRDefault="00376F4C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margin-left:289.45pt;margin-top:157.9pt;width:21.6pt;height:2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2TAfgIAAGoFAAAOAAAAZHJzL2Uyb0RvYy54bWysVN9P2zAQfp+0/8Hy+0gbSmFVU9SBmCYh&#10;QIOJZ9exaTTH59nXJt1fz9lJStXthWkvzuXu8+f7Pb9sa8O2yocKbMHHJyPOlJVQVval4D+ebj5d&#10;cBZQ2FIYsKrgOxX45eLjh3njZiqHNZhSeUYkNswaV/A1optlWZBrVYtwAk5ZMmrwtUD69S9Z6UVD&#10;7LXJ8tFomjXgS+dBqhBIe90Z+SLxa60k3msdFDJTcPIN0+nTuYpntpiL2YsXbl3J3g3xD17UorL0&#10;6J7qWqBgG1/9QVVX0kMAjScS6gy0rqRKMVA049FRNI9r4VSKhZIT3D5N4f/Ryrvtg2dVSbWj9FhR&#10;U42eVIvsC7SMVJSfxoUZwR4dAbElPWEHfSBlDLvVvo5fCoiRnah2++xGNknK/HxympNFkimf5uP8&#10;IrJkb5edD/hVQc2iUHBPxUs5FdvbgB10gMS3LNxUxqQCGsuagk9Pz0bpwt5C5MZGrEqt0NPEgDrH&#10;k4Q7oyLG2O9KUyqS/1GRmlBdGc+2gtpHSKksptATL6EjSpMT77nY49+8es/lLo7hZbC4v1xXFnyK&#10;/sjt8ufgsu7wlPODuKOI7apNPTAd6rqCckfl9tANTHDypqKi3IqAD8LThFAdaerxng5tgJIPvcTZ&#10;Gvzvv+kjnhqXrJw1NHEFD782wivOzDdLLf15PJkQLaafydl57BV/aFkdWuymvgKqypj2i5NJjHg0&#10;g6g91M+0HJbxVTIJK+ntguMgXmG3B2i5SLVcJhANpRN4ax+djNSxSLHlntpn4V3fl0gNfQfDbIrZ&#10;UXt22HjTwnKDoKvUuzHPXVb7/NNAp+7vl0/cGIf/CfW2IhevAAAA//8DAFBLAwQUAAYACAAAACEA&#10;8FU+s+IAAAALAQAADwAAAGRycy9kb3ducmV2LnhtbEyPwU6DQBCG7ya+w2ZMvNkFDC0iS9OQNCZG&#10;D629eFvYKRDZWWS3Lfr0jic9zsyXf76/WM92EGecfO9IQbyIQCA1zvTUKji8be8yED5oMnpwhAq+&#10;0MO6vL4qdG7chXZ43odWcAj5XCvoQhhzKX3TodV+4UYkvh3dZHXgcWqlmfSFw+0gkyhaSqt74g+d&#10;HrHqsPnYn6yC52r7qnd1YrPvoXp6OW7Gz8N7qtTtzbx5BBFwDn8w/OqzOpTsVLsTGS8GBekqe2BU&#10;wX2ccgcmlkkSg6h5k65ikGUh/3cofwAAAP//AwBQSwECLQAUAAYACAAAACEAtoM4kv4AAADhAQAA&#10;EwAAAAAAAAAAAAAAAAAAAAAAW0NvbnRlbnRfVHlwZXNdLnhtbFBLAQItABQABgAIAAAAIQA4/SH/&#10;1gAAAJQBAAALAAAAAAAAAAAAAAAAAC8BAABfcmVscy8ucmVsc1BLAQItABQABgAIAAAAIQCkj2TA&#10;fgIAAGoFAAAOAAAAAAAAAAAAAAAAAC4CAABkcnMvZTJvRG9jLnhtbFBLAQItABQABgAIAAAAIQDw&#10;VT6z4gAAAAsBAAAPAAAAAAAAAAAAAAAAANgEAABkcnMvZG93bnJldi54bWxQSwUGAAAAAAQABADz&#10;AAAA5wUAAAAA&#10;" filled="f" stroked="f" strokeweight=".5pt">
            <v:textbox>
              <w:txbxContent>
                <w:p w:rsidR="00C3768C" w:rsidRPr="00C3768C" w:rsidRDefault="00C3768C" w:rsidP="00C3768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E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Text Box 9" o:spid="_x0000_s1027" type="#_x0000_t202" style="position:absolute;margin-left:149.75pt;margin-top:158.4pt;width:21.6pt;height:2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lcfgAIAAGgFAAAOAAAAZHJzL2Uyb0RvYy54bWysVN9v2jAQfp+0/8Hy+wik0BZEqBgV06Sq&#10;rdZOfTaOXaLZPs82JOyv39lJKGJ76bQX53L3+Xw/vrv5TaMV2QvnKzAFHQ2GlAjDoazMa0G/P68/&#10;XVPiAzMlU2BEQQ/C05vFxw/z2s5EDltQpXAEnRg/q21BtyHYWZZ5vhWa+QFYYdAowWkW8Ne9ZqVj&#10;NXrXKsuHw8usBldaB1x4j9rb1kgXyb+UgocHKb0IRBUUYwvpdOncxDNbzNns1TG7rXgXBvuHKDSr&#10;DD56dHXLAiM7V/3hSlfcgQcZBhx0BlJWXKQcMJvR8Cybpy2zIuWCxfH2WCb//9zy+/2jI1VZ0Ckl&#10;hmls0bNoAvkMDZnG6tTWzxD0ZBEWGlRjl3u9R2VMupFOxy+mQ9COdT4caxudcVTmV+OLHC0cTfll&#10;Psqvo5fs7bJ1PnwRoEkUCuqwdamibH/nQwvtIfEtA+tKqdQ+ZUhd0MuLyTBdOFrQuTIRKxIROjcx&#10;oTbwJIWDEhGjzDchsRAp/qhIFBQr5cieIXkY58KElHryi+iIkhjEey52+Leo3nO5zaN/GUw4XtaV&#10;AZeyPwu7/NGHLFs81vwk7yiGZtMkBkz6vm6gPGC7HbTj4i1fV9iUO+bDI3M4H9hHnPnwgIdUgMWH&#10;TqJkC+7X3/QRj7RFKyU1zltB/c8dc4IS9dUgoaej8TgOaPoZT64iV9ypZXNqMTu9AuzKCLeL5UmM&#10;+KB6UTrQL7galvFVNDHD8e2Chl5chXYL4GrhYrlMIBxJy8KdebI8uo5NipR7bl6Ysx0vAxL6HvrJ&#10;ZLMzerbYeNPAchdAVom7sc5tVbv64zgn9nerJ+6L0/+EeluQi98AAAD//wMAUEsDBBQABgAIAAAA&#10;IQC9Un+f4wAAAAsBAAAPAAAAZHJzL2Rvd25yZXYueG1sTI9NT4NAEIbvJv6HzZh4swtUKkWWpiFp&#10;TIweWnvxtrBTIO4HstsW++udnvQ2k3nyzvMWq8lodsLR984KiGcRMLSNU71tBew/Ng8ZMB+kVVI7&#10;iwJ+0MOqvL0pZK7c2W7xtAstoxDrcymgC2HIOfdNh0b6mRvQ0u3gRiMDrWPL1SjPFG40T6JowY3s&#10;LX3o5IBVh83X7mgEvFabd7mtE5NddPXydlgP3/vPVIj7u2n9DCzgFP5guOqTOpTkVLujVZ5pAcly&#10;mRIqYB4vqAMR88fkCVhNQ5rFwMuC/+9Q/gIAAP//AwBQSwECLQAUAAYACAAAACEAtoM4kv4AAADh&#10;AQAAEwAAAAAAAAAAAAAAAAAAAAAAW0NvbnRlbnRfVHlwZXNdLnhtbFBLAQItABQABgAIAAAAIQA4&#10;/SH/1gAAAJQBAAALAAAAAAAAAAAAAAAAAC8BAABfcmVscy8ucmVsc1BLAQItABQABgAIAAAAIQAB&#10;SlcfgAIAAGgFAAAOAAAAAAAAAAAAAAAAAC4CAABkcnMvZTJvRG9jLnhtbFBLAQItABQABgAIAAAA&#10;IQC9Un+f4wAAAAsBAAAPAAAAAAAAAAAAAAAAANoEAABkcnMvZG93bnJldi54bWxQSwUGAAAAAAQA&#10;BADzAAAA6gUAAAAA&#10;" filled="f" stroked="f" strokeweight=".5pt">
            <v:textbox>
              <w:txbxContent>
                <w:p w:rsidR="00C3768C" w:rsidRPr="00C3768C" w:rsidRDefault="00C3768C" w:rsidP="00C3768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D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Text Box 8" o:spid="_x0000_s1028" type="#_x0000_t202" style="position:absolute;margin-left:297.6pt;margin-top:2.4pt;width:21.6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KZzgAIAAGgFAAAOAAAAZHJzL2Uyb0RvYy54bWysVN9P2zAQfp+0/8Hy+0gbCmMVKepATJMQ&#10;oMHEs+vYNJrt8+xrk+6v39lJSsX2wrQXx7n77nw/vrvzi84atlUhNuAqPj2acKachLpxzxX//nj9&#10;4YyziMLVwoBTFd+pyC8W79+dt36uSliDqVVg5MTFeesrvkb086KIcq2siEfglSOlhmAF0m94Luog&#10;WvJuTVFOJqdFC6H2AaSKkaRXvZIvsn+tlcQ7raNCZipOsWE+Qz5X6SwW52L+HIRfN3IIQ/xDFFY0&#10;jh7du7oSKNgmNH+4so0MEEHjkQRbgNaNVDkHymY6eZXNw1p4lXOh4kS/L1P8f27l7fY+sKauODXK&#10;CUstelQdss/QsbNUndbHOYEePMGwIzF1eZRHEqakOx1s+lI6jPRU592+tsmZJGH5cXZckkaSqjwt&#10;p2X2XrwY+xDxiwLL0qXigVqXKyq2NxEpEIKOkPSWg+vGmNw+41hb8dPjk0k22GvIwriEVZkIg5uU&#10;UB94vuHOqIQx7pvSVIgcfxJkCqpLE9hWEHmElMphTj37JXRCaQriLYYD/iWqtxj3eYwvg8O9sW0c&#10;hJz9q7DrH2PIusdTIQ/yTlfsVl1mwGzs6wrqHbU7QD8u0cvrhppyIyLei0DzQX2kmcc7OrQBKj4M&#10;N87WEH79TZ7wRFvSctbSvFU8/tyIoDgzXx0R+tN0NksDmn9mJx8TV8KhZnWocRt7CdSVKW0XL/M1&#10;4dGMVx3APtFqWKZXSSWcpLcrjuP1EvstQKtFquUyg2gkvcAb9+Blcp2alCj32D2J4AdeIhH6FsbJ&#10;FPNX9OyxydLBcoOgm8zdVOe+qkP9aZwzpYfVk/bF4X9GvSzIxW8AAAD//wMAUEsDBBQABgAIAAAA&#10;IQBDUWuo3wAAAAgBAAAPAAAAZHJzL2Rvd25yZXYueG1sTI9BT4NAFITvJv6HzTPxZpdiIYgsTUPS&#10;mBg9tPbi7cG+ApHdRXbbor/e50mPk5nMfFOsZzOIM02+d1bBchGBINs43dtWweFte5eB8AGtxsFZ&#10;UvBFHtbl9VWBuXYXu6PzPrSCS6zPUUEXwphL6ZuODPqFG8myd3STwcByaqWe8MLlZpBxFKXSYG95&#10;ocORqo6aj/3JKHiutq+4q2OTfQ/V08txM34e3hOlbm/mzSOIQHP4C8MvPqNDyUy1O1ntxaAgeUhi&#10;jipY8QP20/tsBaJmnS5BloX8f6D8AQAA//8DAFBLAQItABQABgAIAAAAIQC2gziS/gAAAOEBAAAT&#10;AAAAAAAAAAAAAAAAAAAAAABbQ29udGVudF9UeXBlc10ueG1sUEsBAi0AFAAGAAgAAAAhADj9If/W&#10;AAAAlAEAAAsAAAAAAAAAAAAAAAAALwEAAF9yZWxzLy5yZWxzUEsBAi0AFAAGAAgAAAAhAHlMpnOA&#10;AgAAaAUAAA4AAAAAAAAAAAAAAAAALgIAAGRycy9lMm9Eb2MueG1sUEsBAi0AFAAGAAgAAAAhAENR&#10;a6jfAAAACAEAAA8AAAAAAAAAAAAAAAAA2gQAAGRycy9kb3ducmV2LnhtbFBLBQYAAAAABAAEAPMA&#10;AADmBQAAAAA=&#10;" filled="f" stroked="f" strokeweight=".5pt">
            <v:textbox>
              <w:txbxContent>
                <w:p w:rsidR="00C3768C" w:rsidRPr="00C3768C" w:rsidRDefault="00C3768C" w:rsidP="00C3768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C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Text Box 7" o:spid="_x0000_s1029" type="#_x0000_t202" style="position:absolute;margin-left:162.7pt;margin-top:3.35pt;width:21.6pt;height:2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qJjgAIAAGgFAAAOAAAAZHJzL2Uyb0RvYy54bWysVN9v2jAQfp+0/8Hy+wikFDpEqFgrpkmo&#10;rdZOfTaOXaLZPs82JOyv79lJKGJ76bQX53L3+Xw/vrv5daMV2QvnKzAFHQ2GlAjDoazMS0F/PK0+&#10;XVHiAzMlU2BEQQ/C0+vFxw/z2s5EDltQpXAEnRg/q21BtyHYWZZ5vhWa+QFYYdAowWkW8Ne9ZKVj&#10;NXrXKsuHw0lWgyutAy68R+1ta6SL5F9KwcO9lF4EogqKsYV0unRu4pkt5mz24pjdVrwLg/1DFJpV&#10;Bh89urplgZGdq/5wpSvuwIMMAw46AykrLlIOmM1oeJbN45ZZkXLB4nh7LJP/f2753f7Bkaos6JQS&#10;wzS26Ek0gXyBhkxjdWrrZwh6tAgLDaqxy73eozIm3Uin4xfTIWjHOh+OtY3OOCrz6fgiRwtHUz7J&#10;R/lV9JK9XbbOh68CNIlCQR22LlWU7dc+tNAeEt8ysKqUSu1ThtQFnVxcDtOFowWdKxOxIhGhcxMT&#10;agNPUjgoETHKfBcSC5Hij4pEQXGjHNkzJA/jXJiQUk9+ER1REoN4z8UO/xbVey63efQvgwnHy7oy&#10;4FL2Z2GXP/uQZYvHmp/kHcXQbJrEgIu+rxsoD9huB+24eMtXFTZlzXx4YA7nA/uIMx/u8ZAKsPjQ&#10;SZRswf3+mz7ikbZopaTGeSuo/7VjTlCivhkk9OfReBwHNP2ML6eRK+7Usjm1mJ2+AezKCLeL5UmM&#10;+KB6UTrQz7galvFVNDHD8e2Chl68Ce0WwNXCxXKZQDiSloW1ebQ8uo5NipR7ap6Zsx0vAxL6DvrJ&#10;ZLMzerbYeNPAchdAVom7sc5tVbv64zgn9nerJ+6L0/+EeluQi1cAAAD//wMAUEsDBBQABgAIAAAA&#10;IQBZgpIF4AAAAAgBAAAPAAAAZHJzL2Rvd25yZXYueG1sTI9BS8NAFITvgv9heYI3uzFtY0jzUkqg&#10;CKKH1l5622Rfk2D2bcxu2+ivdz3pcZhh5pt8PZleXGh0nWWEx1kEgri2uuMG4fC+fUhBOK9Yq94y&#10;IXyRg3Vxe5OrTNsr7+iy940IJewyhdB6P2RSurolo9zMDsTBO9nRKB/k2Eg9qmsoN72MoyiRRnUc&#10;Flo1UNlS/bE/G4SXcvumdlVs0u++fH49bYbPw3GJeH83bVYgPE3+Lwy/+AEdisBU2TNrJ3qEebxc&#10;hChC8gQi+PMkTUBUCIs0Alnk8v+B4gcAAP//AwBQSwECLQAUAAYACAAAACEAtoM4kv4AAADhAQAA&#10;EwAAAAAAAAAAAAAAAAAAAAAAW0NvbnRlbnRfVHlwZXNdLnhtbFBLAQItABQABgAIAAAAIQA4/SH/&#10;1gAAAJQBAAALAAAAAAAAAAAAAAAAAC8BAABfcmVscy8ucmVsc1BLAQItABQABgAIAAAAIQCv6qJj&#10;gAIAAGgFAAAOAAAAAAAAAAAAAAAAAC4CAABkcnMvZTJvRG9jLnhtbFBLAQItABQABgAIAAAAIQBZ&#10;gpIF4AAAAAgBAAAPAAAAAAAAAAAAAAAAANoEAABkcnMvZG93bnJldi54bWxQSwUGAAAAAAQABADz&#10;AAAA5wUAAAAA&#10;" filled="f" stroked="f" strokeweight=".5pt">
            <v:textbox>
              <w:txbxContent>
                <w:p w:rsidR="00C3768C" w:rsidRPr="00C3768C" w:rsidRDefault="00C3768C" w:rsidP="00C3768C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B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Text Box 6" o:spid="_x0000_s1030" type="#_x0000_t202" style="position:absolute;margin-left:17.75pt;margin-top:3.35pt;width:21.6pt;height:2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FMPfwIAAGgFAAAOAAAAZHJzL2Uyb0RvYy54bWysVN9v2jAQfp+0/8Hy+wiklHaIULFWnSah&#10;thpMfTaOXaLZPs82JOyv79lJKGJ76bQX53L3+Xw/vrvZTaMV2QvnKzAFHQ2GlAjDoazMS0F/rO8/&#10;XVPiAzMlU2BEQQ/C05v5xw+z2k5FDltQpXAEnRg/rW1BtyHYaZZ5vhWa+QFYYdAowWkW8Ne9ZKVj&#10;NXrXKsuHw0lWgyutAy68R+1da6Tz5F9KwcOjlF4EogqKsYV0unRu4pnNZ2z64pjdVrwLg/1DFJpV&#10;Bh89urpjgZGdq/5wpSvuwIMMAw46AykrLlIOmM1oeJbNasusSLlgcbw9lsn/P7f8Yf/kSFUWdEKJ&#10;YRpbtBZNIF+gIZNYndr6KYJWFmGhQTV2udd7VMakG+l0/GI6BO1Y58OxttEZR2V+Nb7I0cLRlE/y&#10;UX4dvWRvl63z4asATaJQUIetSxVl+6UPLbSHxLcM3FdKpfYpQ2qM/+JymC4cLehcmYgViQidm5hQ&#10;G3iSwkGJiFHmu5BYiBR/VCQKilvlyJ4heRjnwoSUevKL6IiSGMR7Lnb4t6jec7nNo38ZTDhe1pUB&#10;l7I/C7v82YcsWzzW/CTvKIZm0yQG5H1fN1AesN0O2nHxlt9X2JQl8+GJOZwP7CPOfHjEQyrA4kMn&#10;UbIF9/tv+ohH2qKVkhrnraD+1445QYn6ZpDQn0fjcRzQ9DO+vIpccaeWzanF7PQtYFdGuF0sT2LE&#10;B9WL0oF+xtWwiK+iiRmObxc09OJtaLcArhYuFosEwpG0LCzNyvLoOjYpUm7dPDNnO14GJPQD9JPJ&#10;pmf0bLHxpoHFLoCsEndjnduqdvXHcU7s71ZP3Ben/wn1tiDnrwAAAP//AwBQSwMEFAAGAAgAAAAh&#10;AHPtAqPeAAAABgEAAA8AAABkcnMvZG93bnJldi54bWxMjkFLw0AUhO+C/2F5gje7sZo2xGxKCRRB&#10;9NDai7eX7DYJ7r6N2W0b/fU+T/U0DDPMfMVqclaczBh6TwruZwkIQ43XPbUK9u+buwxEiEgarSej&#10;4NsEWJXXVwXm2p9pa0672AoeoZCjgi7GIZcyNJ1xGGZ+MMTZwY8OI9uxlXrEM487K+dJspAOe+KH&#10;DgdTdab53B2dgpdq84bbeu6yH1s9vx7Ww9f+I1Xq9mZaP4GIZoqXMvzhMzqUzFT7I+kgrIKHNOWm&#10;gsUSBMfLjLVW8JglIMtC/scvfwEAAP//AwBQSwECLQAUAAYACAAAACEAtoM4kv4AAADhAQAAEwAA&#10;AAAAAAAAAAAAAAAAAAAAW0NvbnRlbnRfVHlwZXNdLnhtbFBLAQItABQABgAIAAAAIQA4/SH/1gAA&#10;AJQBAAALAAAAAAAAAAAAAAAAAC8BAABfcmVscy8ucmVsc1BLAQItABQABgAIAAAAIQDX7FMPfwIA&#10;AGgFAAAOAAAAAAAAAAAAAAAAAC4CAABkcnMvZTJvRG9jLnhtbFBLAQItABQABgAIAAAAIQBz7QKj&#10;3gAAAAYBAAAPAAAAAAAAAAAAAAAAANkEAABkcnMvZG93bnJldi54bWxQSwUGAAAAAAQABADzAAAA&#10;5AUAAAAA&#10;" filled="f" stroked="f" strokeweight=".5pt">
            <v:textbox>
              <w:txbxContent>
                <w:p w:rsidR="00C3768C" w:rsidRPr="00C3768C" w:rsidRDefault="00C3768C">
                  <w:pPr>
                    <w:rPr>
                      <w:rFonts w:ascii="Arial" w:hAnsi="Arial" w:cs="Arial"/>
                      <w:b/>
                    </w:rPr>
                  </w:pPr>
                  <w:r w:rsidRPr="00C3768C">
                    <w:rPr>
                      <w:rFonts w:ascii="Arial" w:hAnsi="Arial" w:cs="Arial"/>
                      <w:b/>
                    </w:rPr>
                    <w:t>A</w:t>
                  </w:r>
                </w:p>
              </w:txbxContent>
            </v:textbox>
          </v:shape>
        </w:pict>
      </w:r>
      <w:bookmarkStart w:id="0" w:name="_GoBack"/>
      <w:r w:rsidR="003628F5" w:rsidRPr="003628F5">
        <w:rPr>
          <w:rFonts w:ascii="Arial" w:hAnsi="Arial" w:cs="Arial"/>
          <w:noProof/>
        </w:rPr>
        <w:drawing>
          <wp:inline distT="0" distB="0" distL="0" distR="0">
            <wp:extent cx="5943600" cy="4098791"/>
            <wp:effectExtent l="0" t="0" r="0" b="0"/>
            <wp:docPr id="5" name="Picture 5" descr="C:\Users\jatanas\Pictures\Screenshots\Screenshot (4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tanas\Pictures\Screenshots\Screenshot (44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628F5" w:rsidRDefault="003628F5">
      <w:pPr>
        <w:rPr>
          <w:rFonts w:ascii="Arial" w:hAnsi="Arial" w:cs="Arial"/>
        </w:rPr>
      </w:pPr>
    </w:p>
    <w:p w:rsidR="00C3768C" w:rsidRPr="00C3768C" w:rsidRDefault="003628F5" w:rsidP="00C3768C">
      <w:pPr>
        <w:jc w:val="center"/>
        <w:rPr>
          <w:rFonts w:ascii="Arial" w:hAnsi="Arial" w:cs="Arial"/>
          <w:b/>
          <w:sz w:val="20"/>
          <w:szCs w:val="20"/>
        </w:rPr>
      </w:pPr>
      <w:r w:rsidRPr="00C3768C">
        <w:rPr>
          <w:rFonts w:ascii="Arial" w:hAnsi="Arial" w:cs="Arial"/>
          <w:b/>
          <w:bCs/>
          <w:sz w:val="20"/>
          <w:szCs w:val="20"/>
        </w:rPr>
        <w:t>Figure S2</w:t>
      </w:r>
      <w:r w:rsidR="00C3768C" w:rsidRPr="00C3768C">
        <w:rPr>
          <w:rFonts w:ascii="Arial" w:hAnsi="Arial" w:cs="Arial"/>
          <w:b/>
          <w:bCs/>
          <w:sz w:val="20"/>
          <w:szCs w:val="20"/>
        </w:rPr>
        <w:t xml:space="preserve">. </w:t>
      </w:r>
      <w:r w:rsidR="00C3768C" w:rsidRPr="00C3768C">
        <w:rPr>
          <w:rFonts w:ascii="Arial" w:hAnsi="Arial" w:cs="Arial"/>
          <w:b/>
          <w:sz w:val="20"/>
          <w:szCs w:val="20"/>
        </w:rPr>
        <w:t xml:space="preserve">Gating Strategy used to analyze flow cytometry </w:t>
      </w:r>
      <w:proofErr w:type="gramStart"/>
      <w:r w:rsidR="00C3768C" w:rsidRPr="00C3768C">
        <w:rPr>
          <w:rFonts w:ascii="Arial" w:hAnsi="Arial" w:cs="Arial"/>
          <w:b/>
          <w:sz w:val="20"/>
          <w:szCs w:val="20"/>
        </w:rPr>
        <w:t>data</w:t>
      </w:r>
      <w:r w:rsidR="000A0E48">
        <w:rPr>
          <w:rFonts w:ascii="Arial" w:hAnsi="Arial" w:cs="Arial"/>
          <w:b/>
          <w:sz w:val="20"/>
          <w:szCs w:val="20"/>
        </w:rPr>
        <w:t xml:space="preserve"> </w:t>
      </w:r>
      <w:r w:rsidR="00C3768C" w:rsidRPr="00C3768C">
        <w:rPr>
          <w:rFonts w:ascii="Arial" w:hAnsi="Arial" w:cs="Arial"/>
          <w:b/>
          <w:sz w:val="20"/>
          <w:szCs w:val="20"/>
        </w:rPr>
        <w:t>.</w:t>
      </w:r>
      <w:proofErr w:type="gramEnd"/>
    </w:p>
    <w:p w:rsidR="003628F5" w:rsidRPr="00464FE3" w:rsidRDefault="000A0E48" w:rsidP="003628F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is a representative example of the gating strategy used to quantify different populations using flow cytometr</w:t>
      </w:r>
      <w:r w:rsidR="00505CFB">
        <w:rPr>
          <w:rFonts w:ascii="Arial" w:hAnsi="Arial" w:cs="Arial"/>
          <w:sz w:val="20"/>
          <w:szCs w:val="20"/>
        </w:rPr>
        <w:t xml:space="preserve">y. </w:t>
      </w:r>
      <w:r w:rsidR="001B045C" w:rsidRPr="001B045C">
        <w:rPr>
          <w:rFonts w:ascii="Arial" w:hAnsi="Arial" w:cs="Arial"/>
          <w:sz w:val="20"/>
          <w:szCs w:val="20"/>
        </w:rPr>
        <w:t>Beads were used for single stain controls to set the fluorophore voltages and calculate the compensation matrix on the flow cytometer. Approximately 10</w:t>
      </w:r>
      <w:r w:rsidR="001B045C" w:rsidRPr="001B045C">
        <w:rPr>
          <w:rFonts w:ascii="Arial" w:hAnsi="Arial" w:cs="Arial"/>
          <w:sz w:val="20"/>
          <w:szCs w:val="20"/>
          <w:vertAlign w:val="superscript"/>
        </w:rPr>
        <w:t>6</w:t>
      </w:r>
      <w:r w:rsidR="001B045C" w:rsidRPr="001B045C">
        <w:rPr>
          <w:rFonts w:ascii="Arial" w:hAnsi="Arial" w:cs="Arial"/>
          <w:sz w:val="20"/>
          <w:szCs w:val="20"/>
        </w:rPr>
        <w:t xml:space="preserve"> events were collected for each sample. However, for samples where total number of events were &lt;10</w:t>
      </w:r>
      <w:r w:rsidR="001B045C" w:rsidRPr="001B045C">
        <w:rPr>
          <w:rFonts w:ascii="Arial" w:hAnsi="Arial" w:cs="Arial"/>
          <w:sz w:val="20"/>
          <w:szCs w:val="20"/>
          <w:vertAlign w:val="superscript"/>
        </w:rPr>
        <w:t>6</w:t>
      </w:r>
      <w:r w:rsidR="001B045C" w:rsidRPr="001B045C">
        <w:rPr>
          <w:rFonts w:ascii="Arial" w:hAnsi="Arial" w:cs="Arial"/>
          <w:sz w:val="20"/>
          <w:szCs w:val="20"/>
        </w:rPr>
        <w:t>, the data was normalized to 10</w:t>
      </w:r>
      <w:r w:rsidR="001B045C" w:rsidRPr="001B045C">
        <w:rPr>
          <w:rFonts w:ascii="Arial" w:hAnsi="Arial" w:cs="Arial"/>
          <w:sz w:val="20"/>
          <w:szCs w:val="20"/>
          <w:vertAlign w:val="superscript"/>
        </w:rPr>
        <w:t>6</w:t>
      </w:r>
      <w:r w:rsidR="001B045C" w:rsidRPr="001B045C">
        <w:rPr>
          <w:rFonts w:ascii="Arial" w:hAnsi="Arial" w:cs="Arial"/>
          <w:sz w:val="20"/>
          <w:szCs w:val="20"/>
        </w:rPr>
        <w:t xml:space="preserve"> events.</w:t>
      </w:r>
      <w:r w:rsidR="001B045C">
        <w:rPr>
          <w:rFonts w:ascii="Arial" w:hAnsi="Arial" w:cs="Arial"/>
          <w:sz w:val="20"/>
          <w:szCs w:val="20"/>
        </w:rPr>
        <w:t xml:space="preserve"> </w:t>
      </w:r>
      <w:r w:rsidR="00C3768C">
        <w:rPr>
          <w:rFonts w:ascii="Arial" w:hAnsi="Arial" w:cs="Arial"/>
          <w:sz w:val="20"/>
          <w:szCs w:val="20"/>
        </w:rPr>
        <w:t>The primary gate wa</w:t>
      </w:r>
      <w:r w:rsidR="00505CFB">
        <w:rPr>
          <w:rFonts w:ascii="Arial" w:hAnsi="Arial" w:cs="Arial"/>
          <w:sz w:val="20"/>
          <w:szCs w:val="20"/>
        </w:rPr>
        <w:t xml:space="preserve">s drawn on all collected events </w:t>
      </w:r>
      <w:r>
        <w:rPr>
          <w:rFonts w:ascii="Arial" w:hAnsi="Arial" w:cs="Arial"/>
          <w:sz w:val="20"/>
          <w:szCs w:val="20"/>
        </w:rPr>
        <w:t>to include lymphocytes</w:t>
      </w:r>
      <w:r w:rsidR="00505CFB">
        <w:rPr>
          <w:rFonts w:ascii="Arial" w:hAnsi="Arial" w:cs="Arial"/>
          <w:sz w:val="20"/>
          <w:szCs w:val="20"/>
        </w:rPr>
        <w:t xml:space="preserve"> in the analysis</w:t>
      </w:r>
      <w:r w:rsidR="004B1722">
        <w:rPr>
          <w:rFonts w:ascii="Arial" w:hAnsi="Arial" w:cs="Arial"/>
          <w:sz w:val="20"/>
          <w:szCs w:val="20"/>
        </w:rPr>
        <w:t xml:space="preserve"> (77.02%)</w:t>
      </w:r>
      <w:r w:rsidR="00505CFB">
        <w:rPr>
          <w:rFonts w:ascii="Arial" w:hAnsi="Arial" w:cs="Arial"/>
          <w:sz w:val="20"/>
          <w:szCs w:val="20"/>
        </w:rPr>
        <w:t xml:space="preserve"> (A). </w:t>
      </w:r>
      <w:proofErr w:type="gramStart"/>
      <w:r w:rsidR="00505CFB">
        <w:rPr>
          <w:rFonts w:ascii="Arial" w:hAnsi="Arial" w:cs="Arial"/>
          <w:sz w:val="20"/>
          <w:szCs w:val="20"/>
        </w:rPr>
        <w:t>The</w:t>
      </w:r>
      <w:proofErr w:type="gramEnd"/>
      <w:r w:rsidR="00505CFB">
        <w:rPr>
          <w:rFonts w:ascii="Arial" w:hAnsi="Arial" w:cs="Arial"/>
          <w:sz w:val="20"/>
          <w:szCs w:val="20"/>
        </w:rPr>
        <w:t xml:space="preserve"> lymphocytes were next gated on MHCII+ events (antigen presenting cells) in the No UVR + QD group</w:t>
      </w:r>
      <w:r w:rsidR="004B1722">
        <w:rPr>
          <w:rFonts w:ascii="Arial" w:hAnsi="Arial" w:cs="Arial"/>
          <w:sz w:val="20"/>
          <w:szCs w:val="20"/>
        </w:rPr>
        <w:t xml:space="preserve"> (15.30%)</w:t>
      </w:r>
      <w:r w:rsidR="00505CFB">
        <w:rPr>
          <w:rFonts w:ascii="Arial" w:hAnsi="Arial" w:cs="Arial"/>
          <w:sz w:val="20"/>
          <w:szCs w:val="20"/>
        </w:rPr>
        <w:t xml:space="preserve"> (B) </w:t>
      </w:r>
      <w:proofErr w:type="gramStart"/>
      <w:r w:rsidR="00505CFB">
        <w:rPr>
          <w:rFonts w:ascii="Arial" w:hAnsi="Arial" w:cs="Arial"/>
          <w:sz w:val="20"/>
          <w:szCs w:val="20"/>
        </w:rPr>
        <w:t>and</w:t>
      </w:r>
      <w:proofErr w:type="gramEnd"/>
      <w:r w:rsidR="00505CFB">
        <w:rPr>
          <w:rFonts w:ascii="Arial" w:hAnsi="Arial" w:cs="Arial"/>
          <w:sz w:val="20"/>
          <w:szCs w:val="20"/>
        </w:rPr>
        <w:t xml:space="preserve"> UVR + Day 4 QD group</w:t>
      </w:r>
      <w:r w:rsidR="004B1722">
        <w:rPr>
          <w:rFonts w:ascii="Arial" w:hAnsi="Arial" w:cs="Arial"/>
          <w:sz w:val="20"/>
          <w:szCs w:val="20"/>
        </w:rPr>
        <w:t xml:space="preserve"> (30.79%) (C). </w:t>
      </w:r>
      <w:proofErr w:type="gramStart"/>
      <w:r w:rsidR="004F0032">
        <w:rPr>
          <w:rFonts w:ascii="Arial" w:hAnsi="Arial" w:cs="Arial"/>
          <w:sz w:val="20"/>
          <w:szCs w:val="20"/>
        </w:rPr>
        <w:t>The</w:t>
      </w:r>
      <w:proofErr w:type="gramEnd"/>
      <w:r w:rsidR="004F0032">
        <w:rPr>
          <w:rFonts w:ascii="Arial" w:hAnsi="Arial" w:cs="Arial"/>
          <w:sz w:val="20"/>
          <w:szCs w:val="20"/>
        </w:rPr>
        <w:t xml:space="preserve"> next gate was drawn on the MHCII+ events (B and C), shown in the red box (D and E). These events were double positive for MHCII+ QD605+ (antigen presenting cells co-localized with QD). </w:t>
      </w:r>
      <w:r w:rsidR="00B07861">
        <w:rPr>
          <w:rFonts w:ascii="Arial" w:hAnsi="Arial" w:cs="Arial"/>
          <w:sz w:val="20"/>
          <w:szCs w:val="20"/>
        </w:rPr>
        <w:t xml:space="preserve">The same gating strategy was repeated for other populations analyzed in this study. </w:t>
      </w:r>
      <w:r w:rsidR="004B1722">
        <w:rPr>
          <w:rFonts w:ascii="Arial" w:hAnsi="Arial" w:cs="Arial"/>
          <w:sz w:val="20"/>
          <w:szCs w:val="20"/>
        </w:rPr>
        <w:t xml:space="preserve">These scatter plots show the % positive events for each gate. </w:t>
      </w:r>
      <w:proofErr w:type="spellStart"/>
      <w:r w:rsidR="004B1722">
        <w:rPr>
          <w:rFonts w:ascii="Arial" w:hAnsi="Arial" w:cs="Arial"/>
          <w:sz w:val="20"/>
          <w:szCs w:val="20"/>
        </w:rPr>
        <w:t>FlowJo</w:t>
      </w:r>
      <w:proofErr w:type="spellEnd"/>
      <w:r w:rsidR="004B1722">
        <w:rPr>
          <w:rFonts w:ascii="Arial" w:hAnsi="Arial" w:cs="Arial"/>
          <w:sz w:val="20"/>
          <w:szCs w:val="20"/>
        </w:rPr>
        <w:t xml:space="preserve"> also gives the number of cells positive for each gated event, these cell numbers have been plotted in Figure 6</w:t>
      </w:r>
      <w:r w:rsidR="00E25AD6">
        <w:rPr>
          <w:rFonts w:ascii="Arial" w:hAnsi="Arial" w:cs="Arial"/>
          <w:sz w:val="20"/>
          <w:szCs w:val="20"/>
        </w:rPr>
        <w:t xml:space="preserve"> (normalized to a total of 10</w:t>
      </w:r>
      <w:r w:rsidR="00E25AD6" w:rsidRPr="00E25AD6">
        <w:rPr>
          <w:rFonts w:ascii="Arial" w:hAnsi="Arial" w:cs="Arial"/>
          <w:sz w:val="20"/>
          <w:szCs w:val="20"/>
          <w:vertAlign w:val="superscript"/>
        </w:rPr>
        <w:t>6</w:t>
      </w:r>
      <w:r w:rsidR="00E25AD6">
        <w:rPr>
          <w:rFonts w:ascii="Arial" w:hAnsi="Arial" w:cs="Arial"/>
          <w:sz w:val="20"/>
          <w:szCs w:val="20"/>
        </w:rPr>
        <w:t xml:space="preserve"> collected events per group)</w:t>
      </w:r>
      <w:r w:rsidR="004B1722">
        <w:rPr>
          <w:rFonts w:ascii="Arial" w:hAnsi="Arial" w:cs="Arial"/>
          <w:sz w:val="20"/>
          <w:szCs w:val="20"/>
        </w:rPr>
        <w:t xml:space="preserve">. </w:t>
      </w:r>
    </w:p>
    <w:p w:rsidR="003628F5" w:rsidRDefault="003628F5">
      <w:pPr>
        <w:rPr>
          <w:rFonts w:ascii="Arial" w:hAnsi="Arial" w:cs="Arial"/>
        </w:rPr>
      </w:pPr>
    </w:p>
    <w:p w:rsidR="003628F5" w:rsidRDefault="003628F5">
      <w:pPr>
        <w:rPr>
          <w:rFonts w:ascii="Arial" w:hAnsi="Arial" w:cs="Arial"/>
        </w:rPr>
      </w:pPr>
    </w:p>
    <w:p w:rsidR="003628F5" w:rsidRDefault="003628F5">
      <w:pPr>
        <w:rPr>
          <w:rFonts w:ascii="Arial" w:hAnsi="Arial" w:cs="Arial"/>
        </w:rPr>
      </w:pPr>
    </w:p>
    <w:p w:rsidR="003628F5" w:rsidRDefault="003628F5">
      <w:pPr>
        <w:rPr>
          <w:rFonts w:ascii="Arial" w:hAnsi="Arial" w:cs="Arial"/>
        </w:rPr>
      </w:pPr>
    </w:p>
    <w:p w:rsidR="003628F5" w:rsidRDefault="003628F5">
      <w:pPr>
        <w:rPr>
          <w:rFonts w:ascii="Arial" w:hAnsi="Arial" w:cs="Arial"/>
        </w:rPr>
      </w:pPr>
    </w:p>
    <w:p w:rsidR="004B1722" w:rsidRDefault="004B1722">
      <w:pPr>
        <w:rPr>
          <w:rFonts w:ascii="Arial" w:hAnsi="Arial" w:cs="Arial"/>
        </w:rPr>
      </w:pPr>
    </w:p>
    <w:p w:rsidR="00FA6B5A" w:rsidRDefault="00FA6B5A">
      <w:pPr>
        <w:rPr>
          <w:rFonts w:ascii="Arial" w:hAnsi="Arial" w:cs="Arial"/>
        </w:rPr>
      </w:pPr>
    </w:p>
    <w:p w:rsidR="0044450C" w:rsidRDefault="00376F4C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Group 4" o:spid="_x0000_s1031" style="position:absolute;margin-left:110.9pt;margin-top:0;width:244.8pt;height:196.8pt;z-index:251660288" coordsize="31089,24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wgONgMAANMJAAAOAAAAZHJzL2Uyb0RvYy54bWzsVslu2zAQvRfoPxC8N1q8xBYiB25SBwWC&#10;JGhS5ExTlCWUIlmSjuR+fYfU4tQpUGRpT/VBJofDWd7MG+nktKk4emDalFKkODoKMWKCyqwUmxR/&#10;vVt9mGFkLBEZ4VKwFO+YwaeL9+9OapWwWBaSZ0wjMCJMUqsUF9aqJAgMLVhFzJFUTMBhLnVFLGz1&#10;Jsg0qcF6xYM4DKdBLXWmtKTMGJCet4d44e3nOaP2Os8Ns4inGGKz/qn9c+2eweKEJBtNVFHSLgzy&#10;gigqUgpwOpg6J5agrS6fmKpKqqWRuT2isgpknpeU+Rwgmyg8yOZCy63yuWySeqMGmADaA5xebJZe&#10;PdxoVGYpHmMkSAUl8l7R2EFTq00CGhda3aob3Qk27c5l2+S6cv+QB2o8qLsBVNZYREE4isLZfArY&#10;UziLx/P5CDYedlpAbZ7co8WnP9wMeseBi28Ip1bQQmaPknkdSrcFUcyDbxwGHUpRj9Kdy++jbFDU&#10;AuWVHErINiAGLvRyA8LXgjWkTBKljb1gskJukWINLe47jzxcGgu4gmqv4rwayctsVXLuNztzxjV6&#10;IMAGIFEma4w4MRaEKV75n4saTPxyjQtUp3g6moTek5DOXqvHhbPLPNM6/64Obc5uZZt1A6puuZbZ&#10;DvDRsmWhUXRVQg6XEMAN0UA7aBIYJfYaHjmX4FJ2K4wKqX/8Tu70oc5wilENNE6x+b4lmkFenwV0&#10;wDwajx3v/WY8OY5hox+frB+fiG11JgEbqDJE55dO3/J+mWtZ3cPEWTqvcEQEBd8ptv3yzLbDBSYW&#10;ZculVwKmK2Ivxa2izrQDzFXorrknWnVltNBOV7LvOZIcVLPVdTeFXG6tzEtf6j2qUDS3gf5vsf7r&#10;RBg9IcKob3hgy3OIEM1m8+MpRjAeonB+HM+cHeipbgrE8WQyidvxEY2no9BPprcihHvPsIET3HrW&#10;vmX/G7vjzOXDxReWw6T1c9IJ/Dtu75tQysTg32s7rRyo9pyLnb5H0LPyOZdbHsMN71kKO1yuSiG1&#10;b92DsLNvPWR5q991Ypd3PwL8K2YYif8nwb+ZBP4FCV8OfqR3Xznu0+Tx3tdr/y22+AkAAP//AwBQ&#10;SwMEFAAGAAgAAAAhAChrXZTfAAAACAEAAA8AAABkcnMvZG93bnJldi54bWxMj0FLw0AUhO+C/2F5&#10;gje72URrjXkppainUrAVirfX5DUJze6G7DZJ/73rSY/DDDPfZMtJt2Lg3jXWIKhZBIJNYcvGVAhf&#10;+/eHBQjnyZTUWsMIV3awzG9vMkpLO5pPHna+EqHEuJQQau+7VEpX1KzJzWzHJngn22vyQfaVLHsa&#10;Q7luZRxFc6mpMWGhpo7XNRfn3UUjfIw0rhL1NmzOp/X1e/+0PWwUI97fTatXEJ4n/xeGX/yADnlg&#10;OtqLKZ1oEeJYBXSPEB4F+1mpRxBHhOQlmYPMM/n/QP4DAAD//wMAUEsBAi0AFAAGAAgAAAAhALaD&#10;OJL+AAAA4QEAABMAAAAAAAAAAAAAAAAAAAAAAFtDb250ZW50X1R5cGVzXS54bWxQSwECLQAUAAYA&#10;CAAAACEAOP0h/9YAAACUAQAACwAAAAAAAAAAAAAAAAAvAQAAX3JlbHMvLnJlbHNQSwECLQAUAAYA&#10;CAAAACEAdPsIDjYDAADTCQAADgAAAAAAAAAAAAAAAAAuAgAAZHJzL2Uyb0RvYy54bWxQSwECLQAU&#10;AAYACAAAACEAKGtdlN8AAAAIAQAADwAAAAAAAAAAAAAAAACQBQAAZHJzL2Rvd25yZXYueG1sUEsF&#10;BgAAAAAEAAQA8wAAAJwGAAAAAA==&#10;">
            <v:shape id="Text Box 1" o:spid="_x0000_s1033" type="#_x0000_t202" style="position:absolute;width:31089;height:249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HgdsIA&#10;AADaAAAADwAAAGRycy9kb3ducmV2LnhtbERPTWvCQBC9C/0Pywi9NRt7KJK6ikhLFRrUtNDrkB2T&#10;2Oxs2N2a6K93hYKn4fE+Z7YYTCtO5HxjWcEkSUEQl1Y3XCn4/np/moLwAVlja5kUnMnDYv4wmmGm&#10;bc97OhWhEjGEfYYK6hC6TEpf1mTQJ7YjjtzBOoMhQldJ7bCP4aaVz2n6Ig02HBtq7GhVU/lb/BkF&#10;P33x4babzXHXrfPL9lLkn/SWK/U4HpavIAIN4S7+d691nA+3V25X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AeB2wgAAANoAAAAPAAAAAAAAAAAAAAAAAJgCAABkcnMvZG93&#10;bnJldi54bWxQSwUGAAAAAAQABAD1AAAAhwMAAAAA&#10;" fillcolor="window" stroked="f" strokeweight=".5pt">
              <v:textbox>
                <w:txbxContent>
                  <w:p w:rsidR="0044450C" w:rsidRDefault="0044450C" w:rsidP="0044450C">
                    <w:r w:rsidRPr="007C46B6">
                      <w:rPr>
                        <w:rFonts w:ascii="Arial" w:eastAsia="Calibri" w:hAnsi="Arial" w:cs="Arial"/>
                        <w:noProof/>
                        <w:color w:val="000000"/>
                      </w:rPr>
                      <w:drawing>
                        <wp:inline distT="0" distB="0" distL="0" distR="0">
                          <wp:extent cx="2919730" cy="2158451"/>
                          <wp:effectExtent l="0" t="0" r="0" b="0"/>
                          <wp:docPr id="2" name="Picture 2" descr="C:\Users\jatanas\Pictures\Screenshots\Screenshot (43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jatanas\Pictures\Screenshots\Screenshot (43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19730" cy="215845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Text Box 3" o:spid="_x0000_s1032" type="#_x0000_t202" style="position:absolute;left:1889;top:1097;width:2256;height:1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iflcUA&#10;AADaAAAADwAAAGRycy9kb3ducmV2LnhtbESPT2vCQBTE70K/w/IKXqRuNPQPqauIqBVvNdrS2yP7&#10;mgSzb0N2TdJv7xYEj8PM/IaZLXpTiZYaV1pWMBlHIIgzq0vOFRzTzdMbCOeRNVaWScEfOVjMHwYz&#10;TLTt+JPag89FgLBLUEHhfZ1I6bKCDLqxrYmD92sbgz7IJpe6wS7ATSWnUfQiDZYcFgqsaVVQdj5c&#10;jIKfUf69d/321MXPcb3+aNPXL50qNXzsl+8gPPX+Hr61d1pBDP9Xwg2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+J+VxQAAANoAAAAPAAAAAAAAAAAAAAAAAJgCAABkcnMv&#10;ZG93bnJldi54bWxQSwUGAAAAAAQABAD1AAAAigMAAAAA&#10;" fillcolor="white [3201]" stroked="f" strokeweight=".5pt">
              <v:textbox>
                <w:txbxContent>
                  <w:p w:rsidR="0044450C" w:rsidRDefault="0044450C"/>
                </w:txbxContent>
              </v:textbox>
            </v:shape>
          </v:group>
        </w:pict>
      </w:r>
    </w:p>
    <w:p w:rsidR="0044450C" w:rsidRDefault="0044450C">
      <w:pPr>
        <w:rPr>
          <w:rFonts w:ascii="Arial" w:hAnsi="Arial" w:cs="Arial"/>
        </w:rPr>
      </w:pPr>
    </w:p>
    <w:p w:rsidR="0044450C" w:rsidRDefault="0044450C">
      <w:pPr>
        <w:rPr>
          <w:rFonts w:ascii="Arial" w:hAnsi="Arial" w:cs="Arial"/>
        </w:rPr>
      </w:pPr>
    </w:p>
    <w:p w:rsidR="0044450C" w:rsidRDefault="0044450C">
      <w:pPr>
        <w:rPr>
          <w:rFonts w:ascii="Arial" w:hAnsi="Arial" w:cs="Arial"/>
        </w:rPr>
      </w:pPr>
    </w:p>
    <w:p w:rsidR="0044450C" w:rsidRDefault="0044450C">
      <w:pPr>
        <w:rPr>
          <w:rFonts w:ascii="Arial" w:hAnsi="Arial" w:cs="Arial"/>
        </w:rPr>
      </w:pPr>
    </w:p>
    <w:p w:rsidR="0044450C" w:rsidRDefault="0044450C">
      <w:pPr>
        <w:rPr>
          <w:rFonts w:ascii="Arial" w:hAnsi="Arial" w:cs="Arial"/>
        </w:rPr>
      </w:pPr>
    </w:p>
    <w:p w:rsidR="0044450C" w:rsidRDefault="0044450C">
      <w:pPr>
        <w:rPr>
          <w:rFonts w:ascii="Arial" w:hAnsi="Arial" w:cs="Arial"/>
        </w:rPr>
      </w:pPr>
    </w:p>
    <w:p w:rsidR="0044450C" w:rsidRDefault="0044450C">
      <w:pPr>
        <w:rPr>
          <w:rFonts w:ascii="Arial" w:hAnsi="Arial" w:cs="Arial"/>
        </w:rPr>
      </w:pPr>
    </w:p>
    <w:p w:rsidR="0044450C" w:rsidRDefault="0044450C" w:rsidP="00FA6B5A">
      <w:pPr>
        <w:spacing w:after="0" w:line="240" w:lineRule="auto"/>
        <w:rPr>
          <w:rFonts w:ascii="Arial" w:hAnsi="Arial" w:cs="Arial"/>
        </w:rPr>
      </w:pPr>
    </w:p>
    <w:p w:rsidR="00FA6B5A" w:rsidRDefault="00FA6B5A" w:rsidP="00FA6B5A">
      <w:pPr>
        <w:spacing w:after="0" w:line="240" w:lineRule="auto"/>
        <w:jc w:val="center"/>
        <w:rPr>
          <w:rFonts w:ascii="Arial" w:hAnsi="Arial" w:cs="Arial"/>
          <w:b/>
        </w:rPr>
      </w:pPr>
    </w:p>
    <w:p w:rsidR="00FA6B5A" w:rsidRDefault="00FA6B5A" w:rsidP="00FA6B5A">
      <w:pPr>
        <w:spacing w:after="0" w:line="240" w:lineRule="auto"/>
        <w:jc w:val="center"/>
        <w:rPr>
          <w:rFonts w:ascii="Arial" w:hAnsi="Arial" w:cs="Arial"/>
          <w:b/>
        </w:rPr>
      </w:pPr>
    </w:p>
    <w:p w:rsidR="00FA6B5A" w:rsidRDefault="00FA6B5A" w:rsidP="00FA6B5A">
      <w:pPr>
        <w:spacing w:after="0" w:line="240" w:lineRule="auto"/>
        <w:jc w:val="center"/>
        <w:rPr>
          <w:rFonts w:ascii="Arial" w:hAnsi="Arial" w:cs="Arial"/>
          <w:b/>
        </w:rPr>
      </w:pPr>
    </w:p>
    <w:p w:rsidR="0044450C" w:rsidRPr="0044450C" w:rsidRDefault="003628F5" w:rsidP="00FA6B5A">
      <w:pPr>
        <w:spacing w:after="0" w:line="240" w:lineRule="auto"/>
        <w:jc w:val="center"/>
        <w:rPr>
          <w:rFonts w:ascii="Arial" w:hAnsi="Arial"/>
          <w:b/>
        </w:rPr>
      </w:pPr>
      <w:r>
        <w:rPr>
          <w:rFonts w:ascii="Arial" w:hAnsi="Arial" w:cs="Arial"/>
          <w:b/>
        </w:rPr>
        <w:t>Figure S3</w:t>
      </w:r>
      <w:r w:rsidR="00C279E6">
        <w:rPr>
          <w:rFonts w:ascii="Arial" w:hAnsi="Arial" w:cs="Arial"/>
          <w:b/>
        </w:rPr>
        <w:t>.</w:t>
      </w:r>
      <w:r w:rsidR="0044450C" w:rsidRPr="0044450C">
        <w:rPr>
          <w:rFonts w:ascii="Arial" w:hAnsi="Arial" w:cs="Arial"/>
          <w:b/>
        </w:rPr>
        <w:t xml:space="preserve"> </w:t>
      </w:r>
      <w:r w:rsidR="0044450C" w:rsidRPr="0044450C">
        <w:rPr>
          <w:rFonts w:ascii="Arial" w:hAnsi="Arial"/>
          <w:b/>
        </w:rPr>
        <w:t xml:space="preserve">Atomic Absorption Spectroscopy (AAS) analysis data from </w:t>
      </w:r>
      <w:r w:rsidR="0044450C">
        <w:rPr>
          <w:rFonts w:ascii="Arial" w:hAnsi="Arial"/>
          <w:b/>
        </w:rPr>
        <w:t>spleen</w:t>
      </w:r>
    </w:p>
    <w:p w:rsidR="00FA6B5A" w:rsidRDefault="0044450C" w:rsidP="00FA6B5A">
      <w:pPr>
        <w:spacing w:after="0" w:line="24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(18</w:t>
      </w:r>
      <w:r w:rsidRPr="0044450C">
        <w:rPr>
          <w:rFonts w:ascii="Arial" w:hAnsi="Arial"/>
          <w:b/>
        </w:rPr>
        <w:t xml:space="preserve">0 </w:t>
      </w:r>
      <w:proofErr w:type="spellStart"/>
      <w:r w:rsidRPr="0044450C">
        <w:rPr>
          <w:rFonts w:ascii="Arial" w:hAnsi="Arial"/>
          <w:b/>
        </w:rPr>
        <w:t>mJ</w:t>
      </w:r>
      <w:proofErr w:type="spellEnd"/>
      <w:r w:rsidRPr="0044450C">
        <w:rPr>
          <w:rFonts w:ascii="Arial" w:hAnsi="Arial"/>
          <w:b/>
        </w:rPr>
        <w:t>/cm</w:t>
      </w:r>
      <w:r w:rsidRPr="0044450C">
        <w:rPr>
          <w:rFonts w:ascii="Arial" w:hAnsi="Arial"/>
          <w:b/>
          <w:vertAlign w:val="superscript"/>
        </w:rPr>
        <w:t>2</w:t>
      </w:r>
      <w:r w:rsidRPr="0044450C">
        <w:rPr>
          <w:rFonts w:ascii="Arial" w:hAnsi="Arial"/>
          <w:b/>
        </w:rPr>
        <w:t xml:space="preserve"> UVR dose)</w:t>
      </w:r>
      <w:r w:rsidR="00FA6B5A">
        <w:rPr>
          <w:rFonts w:ascii="Arial" w:hAnsi="Arial"/>
          <w:b/>
        </w:rPr>
        <w:t>.</w:t>
      </w:r>
    </w:p>
    <w:p w:rsidR="0044450C" w:rsidRDefault="0044450C" w:rsidP="00FA6B5A">
      <w:p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1E3E47">
        <w:rPr>
          <w:rFonts w:ascii="Arial" w:hAnsi="Arial"/>
          <w:sz w:val="20"/>
          <w:szCs w:val="20"/>
        </w:rPr>
        <w:t xml:space="preserve">The concentration of cadmium </w:t>
      </w:r>
      <w:r>
        <w:rPr>
          <w:rFonts w:ascii="Arial" w:hAnsi="Arial"/>
          <w:sz w:val="20"/>
          <w:szCs w:val="20"/>
        </w:rPr>
        <w:t>(ng/g tissue) found in the spleen</w:t>
      </w:r>
      <w:r w:rsidRPr="001E3E47">
        <w:rPr>
          <w:rFonts w:ascii="Arial" w:hAnsi="Arial"/>
          <w:sz w:val="20"/>
          <w:szCs w:val="20"/>
        </w:rPr>
        <w:t xml:space="preserve">. The graphs represent the mean </w:t>
      </w:r>
      <w:r>
        <w:rPr>
          <w:rFonts w:ascii="Arial" w:hAnsi="Arial"/>
          <w:sz w:val="20"/>
          <w:szCs w:val="20"/>
        </w:rPr>
        <w:t xml:space="preserve">+/- standard error (SEM), N=4. The results were analyzed using a </w:t>
      </w:r>
      <w:r w:rsidRPr="001E3E47">
        <w:rPr>
          <w:rFonts w:ascii="Arial" w:hAnsi="Arial"/>
          <w:sz w:val="20"/>
          <w:szCs w:val="20"/>
        </w:rPr>
        <w:t xml:space="preserve">one-way ANOVA </w:t>
      </w:r>
      <w:r>
        <w:rPr>
          <w:rFonts w:ascii="Arial" w:hAnsi="Arial"/>
          <w:sz w:val="20"/>
          <w:szCs w:val="20"/>
        </w:rPr>
        <w:t xml:space="preserve">and no significant differences were found between different treatment groups and the No UVR No QD control. </w:t>
      </w:r>
    </w:p>
    <w:p w:rsidR="00D42BE9" w:rsidRDefault="00D42BE9" w:rsidP="00FA6B5A">
      <w:pPr>
        <w:spacing w:after="0" w:line="240" w:lineRule="auto"/>
        <w:jc w:val="both"/>
        <w:rPr>
          <w:rFonts w:ascii="Arial" w:hAnsi="Arial"/>
          <w:sz w:val="20"/>
          <w:szCs w:val="20"/>
        </w:rPr>
      </w:pPr>
    </w:p>
    <w:p w:rsidR="00D42BE9" w:rsidRDefault="00D42BE9" w:rsidP="00D42BE9">
      <w:pPr>
        <w:spacing w:after="0" w:line="240" w:lineRule="auto"/>
        <w:jc w:val="center"/>
        <w:rPr>
          <w:rFonts w:ascii="Arial" w:hAnsi="Arial" w:cs="Arial"/>
          <w:b/>
        </w:rPr>
      </w:pPr>
    </w:p>
    <w:p w:rsidR="00D42BE9" w:rsidRDefault="00D42BE9" w:rsidP="00D42BE9">
      <w:pPr>
        <w:spacing w:after="0" w:line="240" w:lineRule="auto"/>
        <w:jc w:val="center"/>
        <w:rPr>
          <w:rFonts w:ascii="Arial" w:hAnsi="Arial" w:cs="Arial"/>
          <w:b/>
        </w:rPr>
      </w:pPr>
    </w:p>
    <w:p w:rsidR="00D42BE9" w:rsidRPr="00FA6B5A" w:rsidRDefault="00D42BE9" w:rsidP="00D42BE9">
      <w:pPr>
        <w:spacing w:after="0" w:line="240" w:lineRule="auto"/>
        <w:jc w:val="both"/>
        <w:rPr>
          <w:rFonts w:ascii="Arial" w:hAnsi="Arial"/>
          <w:b/>
        </w:rPr>
      </w:pPr>
    </w:p>
    <w:p w:rsidR="00D81F5F" w:rsidRDefault="00D81F5F" w:rsidP="0044450C">
      <w:pPr>
        <w:spacing w:line="240" w:lineRule="auto"/>
        <w:rPr>
          <w:rFonts w:ascii="Arial" w:hAnsi="Arial" w:cs="Arial"/>
        </w:rPr>
      </w:pPr>
    </w:p>
    <w:p w:rsidR="00F3482D" w:rsidRDefault="00D81F5F" w:rsidP="0044450C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263515" cy="3339465"/>
            <wp:effectExtent l="0" t="0" r="0" b="0"/>
            <wp:docPr id="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F5F" w:rsidRPr="00464FE3" w:rsidRDefault="00D81F5F" w:rsidP="00464FE3">
      <w:pPr>
        <w:jc w:val="both"/>
        <w:rPr>
          <w:rFonts w:ascii="Arial" w:hAnsi="Arial" w:cs="Arial"/>
          <w:sz w:val="20"/>
          <w:szCs w:val="20"/>
        </w:rPr>
      </w:pPr>
      <w:r w:rsidRPr="00036406">
        <w:rPr>
          <w:rFonts w:ascii="Arial" w:hAnsi="Arial" w:cs="Arial"/>
          <w:b/>
          <w:bCs/>
          <w:sz w:val="20"/>
          <w:szCs w:val="20"/>
        </w:rPr>
        <w:t xml:space="preserve">Figure </w:t>
      </w:r>
      <w:r w:rsidR="00D42BE9">
        <w:rPr>
          <w:rFonts w:ascii="Arial" w:hAnsi="Arial" w:cs="Arial"/>
          <w:b/>
          <w:bCs/>
          <w:sz w:val="20"/>
          <w:szCs w:val="20"/>
        </w:rPr>
        <w:t>S5</w:t>
      </w:r>
      <w:r w:rsidRPr="00036406">
        <w:rPr>
          <w:rFonts w:ascii="Arial" w:hAnsi="Arial" w:cs="Arial"/>
          <w:sz w:val="20"/>
          <w:szCs w:val="20"/>
        </w:rPr>
        <w:t xml:space="preserve">. </w:t>
      </w:r>
      <w:r w:rsidRPr="00036406">
        <w:rPr>
          <w:rFonts w:ascii="Arial" w:hAnsi="Arial" w:cs="Arial"/>
          <w:b/>
          <w:sz w:val="20"/>
          <w:szCs w:val="20"/>
        </w:rPr>
        <w:t>Intradermal injection of QDs was used as a positive control to develop the flow cytometry protocol.</w:t>
      </w:r>
      <w:r w:rsidRPr="00036406">
        <w:rPr>
          <w:rFonts w:ascii="Arial" w:hAnsi="Arial" w:cs="Arial"/>
          <w:sz w:val="20"/>
          <w:szCs w:val="20"/>
        </w:rPr>
        <w:t xml:space="preserve"> 24 hours post injection, </w:t>
      </w:r>
      <w:r w:rsidR="000D38DA">
        <w:rPr>
          <w:rFonts w:ascii="Arial" w:hAnsi="Arial" w:cs="Arial"/>
          <w:sz w:val="20"/>
          <w:szCs w:val="20"/>
        </w:rPr>
        <w:t>lymph nodes were harvested</w:t>
      </w:r>
      <w:r w:rsidRPr="00036406">
        <w:rPr>
          <w:rFonts w:ascii="Arial" w:hAnsi="Arial" w:cs="Arial"/>
          <w:sz w:val="20"/>
          <w:szCs w:val="20"/>
        </w:rPr>
        <w:t xml:space="preserve"> and the skin was stained for LCs</w:t>
      </w:r>
      <w:r w:rsidR="000D38DA">
        <w:rPr>
          <w:rFonts w:ascii="Arial" w:hAnsi="Arial" w:cs="Arial"/>
          <w:sz w:val="20"/>
          <w:szCs w:val="20"/>
        </w:rPr>
        <w:t>, scale bar=50 µm</w:t>
      </w:r>
      <w:r w:rsidRPr="00036406">
        <w:rPr>
          <w:rFonts w:ascii="Arial" w:hAnsi="Arial" w:cs="Arial"/>
          <w:sz w:val="20"/>
          <w:szCs w:val="20"/>
        </w:rPr>
        <w:t xml:space="preserve"> (A). The Pearson’s coefficient for co-localization in the skin, r=0.829. QD605+ clusters were also detected in the axillary lymph nodes</w:t>
      </w:r>
      <w:r w:rsidR="000D38DA">
        <w:rPr>
          <w:rFonts w:ascii="Arial" w:hAnsi="Arial" w:cs="Arial"/>
          <w:sz w:val="20"/>
          <w:szCs w:val="20"/>
        </w:rPr>
        <w:t>, scale bar=100 µm</w:t>
      </w:r>
      <w:r w:rsidRPr="00036406">
        <w:rPr>
          <w:rFonts w:ascii="Arial" w:hAnsi="Arial" w:cs="Arial"/>
          <w:sz w:val="20"/>
          <w:szCs w:val="20"/>
        </w:rPr>
        <w:t xml:space="preserve"> (B), which was confirmed using flow cytometry analysis (C). </w:t>
      </w:r>
    </w:p>
    <w:sectPr w:rsidR="00D81F5F" w:rsidRPr="00464FE3" w:rsidSect="00376F4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949" w:rsidRDefault="00524949" w:rsidP="00524949">
      <w:pPr>
        <w:spacing w:after="0" w:line="240" w:lineRule="auto"/>
      </w:pPr>
      <w:r>
        <w:separator/>
      </w:r>
    </w:p>
  </w:endnote>
  <w:endnote w:type="continuationSeparator" w:id="0">
    <w:p w:rsidR="00524949" w:rsidRDefault="00524949" w:rsidP="00524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949" w:rsidRDefault="00524949" w:rsidP="00524949">
      <w:pPr>
        <w:spacing w:after="0" w:line="240" w:lineRule="auto"/>
      </w:pPr>
      <w:r>
        <w:separator/>
      </w:r>
    </w:p>
  </w:footnote>
  <w:footnote w:type="continuationSeparator" w:id="0">
    <w:p w:rsidR="00524949" w:rsidRDefault="00524949" w:rsidP="00524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949" w:rsidRPr="00524949" w:rsidRDefault="00524949">
    <w:pPr>
      <w:pStyle w:val="Header"/>
      <w:rPr>
        <w:rFonts w:ascii="Arial" w:hAnsi="Arial" w:cs="Arial"/>
        <w:b/>
      </w:rPr>
    </w:pPr>
    <w:r w:rsidRPr="00524949">
      <w:rPr>
        <w:rFonts w:ascii="Arial" w:hAnsi="Arial" w:cs="Arial"/>
        <w:b/>
      </w:rPr>
      <w:t>Supplementary Data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59"/>
  </w:docVars>
  <w:rsids>
    <w:rsidRoot w:val="0044450C"/>
    <w:rsid w:val="00052C51"/>
    <w:rsid w:val="000A0E48"/>
    <w:rsid w:val="000D38DA"/>
    <w:rsid w:val="001B045C"/>
    <w:rsid w:val="003628F5"/>
    <w:rsid w:val="00376F4C"/>
    <w:rsid w:val="00410BCA"/>
    <w:rsid w:val="0044450C"/>
    <w:rsid w:val="00464FE3"/>
    <w:rsid w:val="004B1722"/>
    <w:rsid w:val="004F0032"/>
    <w:rsid w:val="00505CFB"/>
    <w:rsid w:val="00524949"/>
    <w:rsid w:val="00644F53"/>
    <w:rsid w:val="0089701D"/>
    <w:rsid w:val="008D212C"/>
    <w:rsid w:val="00B07861"/>
    <w:rsid w:val="00C279E6"/>
    <w:rsid w:val="00C3768C"/>
    <w:rsid w:val="00CC607C"/>
    <w:rsid w:val="00D42BE9"/>
    <w:rsid w:val="00D81F5F"/>
    <w:rsid w:val="00E25AD6"/>
    <w:rsid w:val="00F3482D"/>
    <w:rsid w:val="00FA6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F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949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24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949"/>
  </w:style>
  <w:style w:type="paragraph" w:styleId="Footer">
    <w:name w:val="footer"/>
    <w:basedOn w:val="Normal"/>
    <w:link w:val="FooterChar"/>
    <w:uiPriority w:val="99"/>
    <w:unhideWhenUsed/>
    <w:rsid w:val="00524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949"/>
  </w:style>
  <w:style w:type="paragraph" w:styleId="BalloonText">
    <w:name w:val="Balloon Text"/>
    <w:basedOn w:val="Normal"/>
    <w:link w:val="BalloonTextChar"/>
    <w:uiPriority w:val="99"/>
    <w:semiHidden/>
    <w:unhideWhenUsed/>
    <w:rsid w:val="001B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94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4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949"/>
  </w:style>
  <w:style w:type="paragraph" w:styleId="Footer">
    <w:name w:val="footer"/>
    <w:basedOn w:val="Normal"/>
    <w:link w:val="FooterChar"/>
    <w:uiPriority w:val="99"/>
    <w:unhideWhenUsed/>
    <w:rsid w:val="00524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949"/>
  </w:style>
  <w:style w:type="paragraph" w:styleId="BalloonText">
    <w:name w:val="Balloon Text"/>
    <w:basedOn w:val="Normal"/>
    <w:link w:val="BalloonTextChar"/>
    <w:uiPriority w:val="99"/>
    <w:semiHidden/>
    <w:unhideWhenUsed/>
    <w:rsid w:val="001B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443</Words>
  <Characters>2354</Characters>
  <Application>Microsoft Office Word</Application>
  <DocSecurity>0</DocSecurity>
  <Lines>78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Jatana, Samreen</dc:creator>
  <cp:keywords/>
  <dc:description/>
  <cp:lastModifiedBy>EDABO-ABO</cp:lastModifiedBy>
  <cp:revision>22</cp:revision>
  <dcterms:created xsi:type="dcterms:W3CDTF">2017-02-22T18:55:00Z</dcterms:created>
  <dcterms:modified xsi:type="dcterms:W3CDTF">2017-03-31T08:00:00Z</dcterms:modified>
</cp:coreProperties>
</file>