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FA4" w:rsidRPr="000C0FA4" w:rsidRDefault="000C0FA4" w:rsidP="000C0FA4">
      <w:pPr>
        <w:spacing w:line="480" w:lineRule="auto"/>
        <w:jc w:val="both"/>
        <w:rPr>
          <w:rFonts w:ascii="Cambria" w:eastAsia="Calibri" w:hAnsi="Cambria" w:cs="Times New Roman"/>
          <w:sz w:val="24"/>
          <w:szCs w:val="24"/>
        </w:rPr>
      </w:pPr>
      <w:proofErr w:type="gramStart"/>
      <w:r w:rsidRPr="000C0FA4">
        <w:rPr>
          <w:rFonts w:ascii="Cambria" w:eastAsia="Calibri" w:hAnsi="Cambria" w:cs="Times New Roman"/>
          <w:b/>
          <w:sz w:val="24"/>
          <w:szCs w:val="24"/>
        </w:rPr>
        <w:t>Additional file 2.</w:t>
      </w:r>
      <w:proofErr w:type="gramEnd"/>
      <w:r w:rsidRPr="000C0FA4">
        <w:rPr>
          <w:rFonts w:ascii="Cambria" w:eastAsia="Calibri" w:hAnsi="Cambria" w:cs="Times New Roman"/>
          <w:sz w:val="24"/>
          <w:szCs w:val="24"/>
        </w:rPr>
        <w:t xml:space="preserve"> Hepatic </w:t>
      </w:r>
      <w:r w:rsidRPr="000C0FA4">
        <w:rPr>
          <w:rFonts w:ascii="Cambria" w:eastAsia="Calibri" w:hAnsi="Cambria" w:cs="Times New Roman"/>
          <w:i/>
          <w:sz w:val="24"/>
          <w:szCs w:val="24"/>
        </w:rPr>
        <w:t>Saa1</w:t>
      </w:r>
      <w:r w:rsidRPr="000C0FA4">
        <w:rPr>
          <w:rFonts w:ascii="Cambria" w:eastAsia="Calibri" w:hAnsi="Cambria" w:cs="Times New Roman"/>
          <w:sz w:val="24"/>
          <w:szCs w:val="24"/>
        </w:rPr>
        <w:t xml:space="preserve"> mRNA expression level following intratracheal instillation, intravenous injection and oral gavage of 162 µg of TiO</w:t>
      </w:r>
      <w:r w:rsidRPr="000C0FA4">
        <w:rPr>
          <w:rFonts w:ascii="Cambria" w:eastAsia="Calibri" w:hAnsi="Cambria" w:cs="Times New Roman"/>
          <w:sz w:val="24"/>
          <w:szCs w:val="24"/>
          <w:vertAlign w:val="subscript"/>
        </w:rPr>
        <w:t>2</w:t>
      </w:r>
      <w:r w:rsidRPr="000C0FA4">
        <w:rPr>
          <w:rFonts w:ascii="Cambria" w:eastAsia="Calibri" w:hAnsi="Cambria" w:cs="Times New Roman"/>
          <w:sz w:val="24"/>
          <w:szCs w:val="24"/>
        </w:rPr>
        <w:t>, CeO</w:t>
      </w:r>
      <w:r w:rsidRPr="000C0FA4">
        <w:rPr>
          <w:rFonts w:ascii="Cambria" w:eastAsia="Calibri" w:hAnsi="Cambria" w:cs="Times New Roman"/>
          <w:sz w:val="24"/>
          <w:szCs w:val="24"/>
          <w:vertAlign w:val="subscript"/>
        </w:rPr>
        <w:t>2</w:t>
      </w:r>
      <w:r w:rsidRPr="000C0FA4">
        <w:rPr>
          <w:rFonts w:ascii="Cambria" w:eastAsia="Calibri" w:hAnsi="Cambria" w:cs="Times New Roman"/>
          <w:sz w:val="24"/>
          <w:szCs w:val="24"/>
        </w:rPr>
        <w:t xml:space="preserve"> or CB NPs 1, 28 and 180 days post-exposure 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7"/>
        <w:gridCol w:w="1857"/>
        <w:gridCol w:w="1858"/>
        <w:gridCol w:w="1858"/>
        <w:gridCol w:w="1858"/>
      </w:tblGrid>
      <w:tr w:rsidR="000C0FA4" w:rsidRPr="000C0FA4" w:rsidTr="009D7FA8">
        <w:tc>
          <w:tcPr>
            <w:tcW w:w="9288" w:type="dxa"/>
            <w:gridSpan w:val="5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0C0FA4" w:rsidRPr="000C0FA4" w:rsidRDefault="000C0FA4" w:rsidP="000C0FA4">
            <w:pPr>
              <w:spacing w:after="160" w:line="259" w:lineRule="auto"/>
              <w:jc w:val="both"/>
              <w:rPr>
                <w:rFonts w:ascii="Cambria" w:eastAsia="Calibri" w:hAnsi="Cambria" w:cs="Times New Roman"/>
                <w:b/>
                <w:sz w:val="24"/>
                <w:szCs w:val="24"/>
                <w:lang w:val="en-US"/>
              </w:rPr>
            </w:pPr>
            <w:r w:rsidRPr="000C0FA4">
              <w:rPr>
                <w:rFonts w:ascii="Cambria" w:eastAsia="Calibri" w:hAnsi="Cambria" w:cs="Times New Roman"/>
                <w:b/>
                <w:sz w:val="24"/>
                <w:szCs w:val="24"/>
                <w:lang w:val="en-US"/>
              </w:rPr>
              <w:t xml:space="preserve">Hepatic </w:t>
            </w:r>
            <w:r w:rsidRPr="000C0FA4">
              <w:rPr>
                <w:rFonts w:ascii="Cambria" w:eastAsia="Calibri" w:hAnsi="Cambria" w:cs="Times New Roman"/>
                <w:b/>
                <w:i/>
                <w:sz w:val="24"/>
                <w:szCs w:val="24"/>
                <w:lang w:val="en-US"/>
              </w:rPr>
              <w:t>Saa1</w:t>
            </w:r>
            <w:r w:rsidRPr="000C0FA4">
              <w:rPr>
                <w:rFonts w:ascii="Cambria" w:eastAsia="Calibri" w:hAnsi="Cambria" w:cs="Times New Roman"/>
                <w:b/>
                <w:sz w:val="24"/>
                <w:szCs w:val="24"/>
                <w:lang w:val="en-US"/>
              </w:rPr>
              <w:t xml:space="preserve"> mRNA expression following intratracheal instillation</w:t>
            </w:r>
          </w:p>
        </w:tc>
      </w:tr>
      <w:tr w:rsidR="000C0FA4" w:rsidRPr="000C0FA4" w:rsidTr="009D7FA8">
        <w:tc>
          <w:tcPr>
            <w:tcW w:w="1857" w:type="dxa"/>
            <w:tcBorders>
              <w:top w:val="single" w:sz="12" w:space="0" w:color="auto"/>
            </w:tcBorders>
          </w:tcPr>
          <w:p w:rsidR="000C0FA4" w:rsidRPr="000C0FA4" w:rsidRDefault="000C0FA4" w:rsidP="000C0FA4">
            <w:pPr>
              <w:spacing w:line="259" w:lineRule="auto"/>
              <w:jc w:val="both"/>
              <w:rPr>
                <w:rFonts w:ascii="Cambria" w:eastAsia="Calibri" w:hAnsi="Cambria" w:cs="Times New Roman"/>
                <w:sz w:val="20"/>
                <w:szCs w:val="20"/>
                <w:lang w:val="en-US"/>
              </w:rPr>
            </w:pPr>
          </w:p>
        </w:tc>
        <w:tc>
          <w:tcPr>
            <w:tcW w:w="1857" w:type="dxa"/>
            <w:tcBorders>
              <w:top w:val="single" w:sz="12" w:space="0" w:color="auto"/>
            </w:tcBorders>
          </w:tcPr>
          <w:p w:rsidR="000C0FA4" w:rsidRPr="000C0FA4" w:rsidRDefault="000C0FA4" w:rsidP="000C0FA4">
            <w:pPr>
              <w:spacing w:line="259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Control</w:t>
            </w:r>
          </w:p>
        </w:tc>
        <w:tc>
          <w:tcPr>
            <w:tcW w:w="1858" w:type="dxa"/>
            <w:tcBorders>
              <w:top w:val="single" w:sz="12" w:space="0" w:color="auto"/>
            </w:tcBorders>
          </w:tcPr>
          <w:p w:rsidR="000C0FA4" w:rsidRPr="000C0FA4" w:rsidRDefault="000C0FA4" w:rsidP="000C0FA4">
            <w:pPr>
              <w:spacing w:line="259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TiO</w:t>
            </w:r>
            <w:r w:rsidRPr="000C0FA4">
              <w:rPr>
                <w:rFonts w:ascii="Cambria" w:eastAsia="Calibri" w:hAnsi="Cambria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58" w:type="dxa"/>
            <w:tcBorders>
              <w:top w:val="single" w:sz="12" w:space="0" w:color="auto"/>
            </w:tcBorders>
          </w:tcPr>
          <w:p w:rsidR="000C0FA4" w:rsidRPr="000C0FA4" w:rsidRDefault="000C0FA4" w:rsidP="000C0FA4">
            <w:pPr>
              <w:spacing w:line="259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CeO</w:t>
            </w:r>
            <w:r w:rsidRPr="000C0FA4">
              <w:rPr>
                <w:rFonts w:ascii="Cambria" w:eastAsia="Calibri" w:hAnsi="Cambria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58" w:type="dxa"/>
            <w:tcBorders>
              <w:top w:val="single" w:sz="12" w:space="0" w:color="auto"/>
            </w:tcBorders>
          </w:tcPr>
          <w:p w:rsidR="000C0FA4" w:rsidRPr="000C0FA4" w:rsidRDefault="000C0FA4" w:rsidP="000C0FA4">
            <w:pPr>
              <w:spacing w:line="259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CB</w:t>
            </w:r>
          </w:p>
        </w:tc>
      </w:tr>
      <w:tr w:rsidR="000C0FA4" w:rsidRPr="000C0FA4" w:rsidTr="009D7FA8">
        <w:tc>
          <w:tcPr>
            <w:tcW w:w="1857" w:type="dxa"/>
            <w:vAlign w:val="bottom"/>
          </w:tcPr>
          <w:p w:rsidR="000C0FA4" w:rsidRPr="000C0FA4" w:rsidRDefault="000C0FA4" w:rsidP="009345B1">
            <w:pPr>
              <w:spacing w:line="276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day 1</w:t>
            </w:r>
          </w:p>
        </w:tc>
        <w:tc>
          <w:tcPr>
            <w:tcW w:w="1857" w:type="dxa"/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1608 ± 1250</w:t>
            </w:r>
          </w:p>
        </w:tc>
        <w:tc>
          <w:tcPr>
            <w:tcW w:w="1858" w:type="dxa"/>
            <w:vAlign w:val="bottom"/>
          </w:tcPr>
          <w:p w:rsidR="000C0FA4" w:rsidRPr="000C0FA4" w:rsidRDefault="009345B1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**</w:t>
            </w:r>
            <w:bookmarkStart w:id="0" w:name="_GoBack"/>
            <w:bookmarkEnd w:id="0"/>
            <w:r w:rsidR="000C0FA4" w:rsidRPr="000C0FA4">
              <w:rPr>
                <w:rFonts w:ascii="Cambria" w:eastAsia="Calibri" w:hAnsi="Cambria" w:cs="Times New Roman"/>
                <w:sz w:val="20"/>
                <w:szCs w:val="20"/>
              </w:rPr>
              <w:br/>
              <w:t>15044 ± 12053</w:t>
            </w:r>
          </w:p>
        </w:tc>
        <w:tc>
          <w:tcPr>
            <w:tcW w:w="1858" w:type="dxa"/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***†††‡</w:t>
            </w: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br/>
              <w:t>62975 ± 40137</w:t>
            </w:r>
          </w:p>
        </w:tc>
        <w:tc>
          <w:tcPr>
            <w:tcW w:w="1858" w:type="dxa"/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7649 ± 13853</w:t>
            </w:r>
          </w:p>
        </w:tc>
      </w:tr>
      <w:tr w:rsidR="000C0FA4" w:rsidRPr="000C0FA4" w:rsidTr="009D7FA8">
        <w:tc>
          <w:tcPr>
            <w:tcW w:w="1857" w:type="dxa"/>
            <w:vAlign w:val="bottom"/>
          </w:tcPr>
          <w:p w:rsidR="000C0FA4" w:rsidRPr="000C0FA4" w:rsidRDefault="000C0FA4" w:rsidP="009345B1">
            <w:pPr>
              <w:spacing w:line="276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day 28</w:t>
            </w:r>
          </w:p>
        </w:tc>
        <w:tc>
          <w:tcPr>
            <w:tcW w:w="1857" w:type="dxa"/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1388 ± 634</w:t>
            </w:r>
          </w:p>
        </w:tc>
        <w:tc>
          <w:tcPr>
            <w:tcW w:w="1858" w:type="dxa"/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1321 ± 512</w:t>
            </w:r>
          </w:p>
        </w:tc>
        <w:tc>
          <w:tcPr>
            <w:tcW w:w="1858" w:type="dxa"/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852 ± 724</w:t>
            </w:r>
          </w:p>
        </w:tc>
        <w:tc>
          <w:tcPr>
            <w:tcW w:w="1858" w:type="dxa"/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943 ± 590</w:t>
            </w:r>
          </w:p>
        </w:tc>
      </w:tr>
      <w:tr w:rsidR="000C0FA4" w:rsidRPr="000C0FA4" w:rsidTr="009D7FA8">
        <w:tc>
          <w:tcPr>
            <w:tcW w:w="1857" w:type="dxa"/>
            <w:tcBorders>
              <w:bottom w:val="single" w:sz="12" w:space="0" w:color="auto"/>
            </w:tcBorders>
            <w:vAlign w:val="bottom"/>
          </w:tcPr>
          <w:p w:rsidR="000C0FA4" w:rsidRPr="000C0FA4" w:rsidRDefault="000C0FA4" w:rsidP="009345B1">
            <w:pPr>
              <w:spacing w:line="276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day 180</w:t>
            </w:r>
          </w:p>
        </w:tc>
        <w:tc>
          <w:tcPr>
            <w:tcW w:w="1857" w:type="dxa"/>
            <w:tcBorders>
              <w:bottom w:val="single" w:sz="12" w:space="0" w:color="auto"/>
            </w:tcBorders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671 ± 242</w:t>
            </w:r>
          </w:p>
        </w:tc>
        <w:tc>
          <w:tcPr>
            <w:tcW w:w="1858" w:type="dxa"/>
            <w:tcBorders>
              <w:bottom w:val="single" w:sz="12" w:space="0" w:color="auto"/>
            </w:tcBorders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1311 ± 1122</w:t>
            </w:r>
          </w:p>
        </w:tc>
        <w:tc>
          <w:tcPr>
            <w:tcW w:w="1858" w:type="dxa"/>
            <w:tcBorders>
              <w:bottom w:val="single" w:sz="12" w:space="0" w:color="auto"/>
            </w:tcBorders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852 ± 556</w:t>
            </w:r>
          </w:p>
        </w:tc>
        <w:tc>
          <w:tcPr>
            <w:tcW w:w="1858" w:type="dxa"/>
            <w:tcBorders>
              <w:bottom w:val="single" w:sz="12" w:space="0" w:color="auto"/>
            </w:tcBorders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682 ± 147</w:t>
            </w:r>
          </w:p>
        </w:tc>
      </w:tr>
      <w:tr w:rsidR="000C0FA4" w:rsidRPr="000C0FA4" w:rsidTr="009D7FA8">
        <w:tc>
          <w:tcPr>
            <w:tcW w:w="9288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C0FA4" w:rsidRPr="000C0FA4" w:rsidRDefault="000C0FA4" w:rsidP="009345B1">
            <w:pPr>
              <w:spacing w:after="160" w:line="276" w:lineRule="auto"/>
              <w:jc w:val="both"/>
              <w:rPr>
                <w:rFonts w:ascii="Cambria" w:eastAsia="Calibri" w:hAnsi="Cambria" w:cs="Times New Roman"/>
                <w:b/>
                <w:sz w:val="24"/>
                <w:szCs w:val="24"/>
                <w:lang w:val="en-US"/>
              </w:rPr>
            </w:pPr>
            <w:r w:rsidRPr="000C0FA4">
              <w:rPr>
                <w:rFonts w:ascii="Cambria" w:eastAsia="Calibri" w:hAnsi="Cambria" w:cs="Times New Roman"/>
                <w:b/>
                <w:sz w:val="24"/>
                <w:szCs w:val="24"/>
                <w:lang w:val="en-US"/>
              </w:rPr>
              <w:t xml:space="preserve">Hepatic </w:t>
            </w:r>
            <w:r w:rsidRPr="000C0FA4">
              <w:rPr>
                <w:rFonts w:ascii="Cambria" w:eastAsia="Calibri" w:hAnsi="Cambria" w:cs="Times New Roman"/>
                <w:b/>
                <w:i/>
                <w:sz w:val="24"/>
                <w:szCs w:val="24"/>
                <w:lang w:val="en-US"/>
              </w:rPr>
              <w:t>Saa1</w:t>
            </w:r>
            <w:r w:rsidRPr="000C0FA4">
              <w:rPr>
                <w:rFonts w:ascii="Cambria" w:eastAsia="Calibri" w:hAnsi="Cambria" w:cs="Times New Roman"/>
                <w:b/>
                <w:sz w:val="24"/>
                <w:szCs w:val="24"/>
                <w:lang w:val="en-US"/>
              </w:rPr>
              <w:t xml:space="preserve"> mRNA expression following intravenous injection</w:t>
            </w:r>
          </w:p>
        </w:tc>
      </w:tr>
      <w:tr w:rsidR="000C0FA4" w:rsidRPr="000C0FA4" w:rsidTr="009D7FA8">
        <w:tc>
          <w:tcPr>
            <w:tcW w:w="1857" w:type="dxa"/>
            <w:tcBorders>
              <w:top w:val="single" w:sz="12" w:space="0" w:color="auto"/>
            </w:tcBorders>
          </w:tcPr>
          <w:p w:rsidR="000C0FA4" w:rsidRPr="000C0FA4" w:rsidRDefault="000C0FA4" w:rsidP="009345B1">
            <w:pPr>
              <w:spacing w:line="276" w:lineRule="auto"/>
              <w:jc w:val="both"/>
              <w:rPr>
                <w:rFonts w:ascii="Cambria" w:eastAsia="Calibri" w:hAnsi="Cambria" w:cs="Times New Roman"/>
                <w:sz w:val="20"/>
                <w:szCs w:val="20"/>
                <w:lang w:val="en-US"/>
              </w:rPr>
            </w:pPr>
          </w:p>
        </w:tc>
        <w:tc>
          <w:tcPr>
            <w:tcW w:w="1857" w:type="dxa"/>
            <w:tcBorders>
              <w:top w:val="single" w:sz="12" w:space="0" w:color="auto"/>
            </w:tcBorders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Control</w:t>
            </w:r>
          </w:p>
        </w:tc>
        <w:tc>
          <w:tcPr>
            <w:tcW w:w="1858" w:type="dxa"/>
            <w:tcBorders>
              <w:top w:val="single" w:sz="12" w:space="0" w:color="auto"/>
            </w:tcBorders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TiO</w:t>
            </w:r>
            <w:r w:rsidRPr="000C0FA4">
              <w:rPr>
                <w:rFonts w:ascii="Cambria" w:eastAsia="Calibri" w:hAnsi="Cambria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58" w:type="dxa"/>
            <w:tcBorders>
              <w:top w:val="single" w:sz="12" w:space="0" w:color="auto"/>
            </w:tcBorders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CeO</w:t>
            </w:r>
            <w:r w:rsidRPr="000C0FA4">
              <w:rPr>
                <w:rFonts w:ascii="Cambria" w:eastAsia="Calibri" w:hAnsi="Cambria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58" w:type="dxa"/>
            <w:tcBorders>
              <w:top w:val="single" w:sz="12" w:space="0" w:color="auto"/>
            </w:tcBorders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CB</w:t>
            </w:r>
          </w:p>
        </w:tc>
      </w:tr>
      <w:tr w:rsidR="000C0FA4" w:rsidRPr="000C0FA4" w:rsidTr="009D7FA8">
        <w:tc>
          <w:tcPr>
            <w:tcW w:w="1857" w:type="dxa"/>
            <w:vAlign w:val="bottom"/>
          </w:tcPr>
          <w:p w:rsidR="000C0FA4" w:rsidRPr="000C0FA4" w:rsidRDefault="000C0FA4" w:rsidP="009345B1">
            <w:pPr>
              <w:spacing w:line="276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day 1</w:t>
            </w:r>
          </w:p>
        </w:tc>
        <w:tc>
          <w:tcPr>
            <w:tcW w:w="1857" w:type="dxa"/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br/>
              <w:t>4601 ± 4707</w:t>
            </w:r>
          </w:p>
        </w:tc>
        <w:tc>
          <w:tcPr>
            <w:tcW w:w="1858" w:type="dxa"/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**#‡‡‡</w:t>
            </w: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br/>
              <w:t>79551 ± 80452</w:t>
            </w:r>
          </w:p>
        </w:tc>
        <w:tc>
          <w:tcPr>
            <w:tcW w:w="1858" w:type="dxa"/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1410 ± 1213</w:t>
            </w:r>
          </w:p>
        </w:tc>
        <w:tc>
          <w:tcPr>
            <w:tcW w:w="1858" w:type="dxa"/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13115 ± 19003</w:t>
            </w:r>
          </w:p>
        </w:tc>
      </w:tr>
      <w:tr w:rsidR="000C0FA4" w:rsidRPr="000C0FA4" w:rsidTr="009D7FA8">
        <w:tc>
          <w:tcPr>
            <w:tcW w:w="1857" w:type="dxa"/>
            <w:vAlign w:val="bottom"/>
          </w:tcPr>
          <w:p w:rsidR="000C0FA4" w:rsidRPr="000C0FA4" w:rsidRDefault="000C0FA4" w:rsidP="009345B1">
            <w:pPr>
              <w:spacing w:line="276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day 28</w:t>
            </w:r>
          </w:p>
        </w:tc>
        <w:tc>
          <w:tcPr>
            <w:tcW w:w="1857" w:type="dxa"/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961 ± 524</w:t>
            </w:r>
          </w:p>
        </w:tc>
        <w:tc>
          <w:tcPr>
            <w:tcW w:w="1858" w:type="dxa"/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753 ± 419</w:t>
            </w:r>
          </w:p>
        </w:tc>
        <w:tc>
          <w:tcPr>
            <w:tcW w:w="1858" w:type="dxa"/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542 ± 255</w:t>
            </w:r>
          </w:p>
        </w:tc>
        <w:tc>
          <w:tcPr>
            <w:tcW w:w="1858" w:type="dxa"/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543 ± 306</w:t>
            </w:r>
          </w:p>
        </w:tc>
      </w:tr>
      <w:tr w:rsidR="000C0FA4" w:rsidRPr="000C0FA4" w:rsidTr="009D7FA8">
        <w:tc>
          <w:tcPr>
            <w:tcW w:w="1857" w:type="dxa"/>
            <w:tcBorders>
              <w:bottom w:val="single" w:sz="12" w:space="0" w:color="auto"/>
            </w:tcBorders>
            <w:vAlign w:val="bottom"/>
          </w:tcPr>
          <w:p w:rsidR="000C0FA4" w:rsidRPr="000C0FA4" w:rsidRDefault="000C0FA4" w:rsidP="009345B1">
            <w:pPr>
              <w:spacing w:line="276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day 180</w:t>
            </w:r>
          </w:p>
        </w:tc>
        <w:tc>
          <w:tcPr>
            <w:tcW w:w="1857" w:type="dxa"/>
            <w:tcBorders>
              <w:bottom w:val="single" w:sz="12" w:space="0" w:color="auto"/>
            </w:tcBorders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592 ± 387</w:t>
            </w:r>
          </w:p>
        </w:tc>
        <w:tc>
          <w:tcPr>
            <w:tcW w:w="1858" w:type="dxa"/>
            <w:tcBorders>
              <w:bottom w:val="single" w:sz="12" w:space="0" w:color="auto"/>
            </w:tcBorders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732 ± 739</w:t>
            </w:r>
          </w:p>
        </w:tc>
        <w:tc>
          <w:tcPr>
            <w:tcW w:w="1858" w:type="dxa"/>
            <w:tcBorders>
              <w:bottom w:val="single" w:sz="12" w:space="0" w:color="auto"/>
            </w:tcBorders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910 ± 445</w:t>
            </w:r>
          </w:p>
        </w:tc>
        <w:tc>
          <w:tcPr>
            <w:tcW w:w="1858" w:type="dxa"/>
            <w:tcBorders>
              <w:bottom w:val="single" w:sz="12" w:space="0" w:color="auto"/>
            </w:tcBorders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848 ± 351</w:t>
            </w:r>
          </w:p>
        </w:tc>
      </w:tr>
      <w:tr w:rsidR="000C0FA4" w:rsidRPr="000C0FA4" w:rsidTr="009D7FA8">
        <w:tc>
          <w:tcPr>
            <w:tcW w:w="9288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C0FA4" w:rsidRPr="000C0FA4" w:rsidRDefault="000C0FA4" w:rsidP="009345B1">
            <w:pPr>
              <w:spacing w:after="160" w:line="276" w:lineRule="auto"/>
              <w:jc w:val="both"/>
              <w:rPr>
                <w:rFonts w:ascii="Cambria" w:eastAsia="Calibri" w:hAnsi="Cambria" w:cs="Times New Roman"/>
                <w:b/>
                <w:sz w:val="24"/>
                <w:szCs w:val="24"/>
                <w:lang w:val="en-US"/>
              </w:rPr>
            </w:pPr>
            <w:r w:rsidRPr="000C0FA4">
              <w:rPr>
                <w:rFonts w:ascii="Cambria" w:eastAsia="Calibri" w:hAnsi="Cambria" w:cs="Times New Roman"/>
                <w:b/>
                <w:sz w:val="24"/>
                <w:szCs w:val="24"/>
                <w:lang w:val="en-US"/>
              </w:rPr>
              <w:t xml:space="preserve">Hepatic </w:t>
            </w:r>
            <w:r w:rsidRPr="000C0FA4">
              <w:rPr>
                <w:rFonts w:ascii="Cambria" w:eastAsia="Calibri" w:hAnsi="Cambria" w:cs="Times New Roman"/>
                <w:b/>
                <w:i/>
                <w:sz w:val="24"/>
                <w:szCs w:val="24"/>
                <w:lang w:val="en-US"/>
              </w:rPr>
              <w:t xml:space="preserve">Saa1 </w:t>
            </w:r>
            <w:r w:rsidRPr="000C0FA4">
              <w:rPr>
                <w:rFonts w:ascii="Cambria" w:eastAsia="Calibri" w:hAnsi="Cambria" w:cs="Times New Roman"/>
                <w:b/>
                <w:sz w:val="24"/>
                <w:szCs w:val="24"/>
                <w:lang w:val="en-US"/>
              </w:rPr>
              <w:t>mRNA expression following oral gavage</w:t>
            </w:r>
          </w:p>
        </w:tc>
      </w:tr>
      <w:tr w:rsidR="000C0FA4" w:rsidRPr="000C0FA4" w:rsidTr="009D7FA8">
        <w:tc>
          <w:tcPr>
            <w:tcW w:w="1857" w:type="dxa"/>
            <w:tcBorders>
              <w:top w:val="single" w:sz="12" w:space="0" w:color="auto"/>
            </w:tcBorders>
          </w:tcPr>
          <w:p w:rsidR="000C0FA4" w:rsidRPr="000C0FA4" w:rsidRDefault="000C0FA4" w:rsidP="009345B1">
            <w:pPr>
              <w:spacing w:line="276" w:lineRule="auto"/>
              <w:jc w:val="both"/>
              <w:rPr>
                <w:rFonts w:ascii="Cambria" w:eastAsia="Calibri" w:hAnsi="Cambria" w:cs="Times New Roman"/>
                <w:sz w:val="20"/>
                <w:szCs w:val="20"/>
                <w:lang w:val="en-US"/>
              </w:rPr>
            </w:pPr>
          </w:p>
        </w:tc>
        <w:tc>
          <w:tcPr>
            <w:tcW w:w="1857" w:type="dxa"/>
            <w:tcBorders>
              <w:top w:val="single" w:sz="12" w:space="0" w:color="auto"/>
            </w:tcBorders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Control</w:t>
            </w:r>
          </w:p>
        </w:tc>
        <w:tc>
          <w:tcPr>
            <w:tcW w:w="1858" w:type="dxa"/>
            <w:tcBorders>
              <w:top w:val="single" w:sz="12" w:space="0" w:color="auto"/>
            </w:tcBorders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TiO</w:t>
            </w:r>
            <w:r w:rsidRPr="000C0FA4">
              <w:rPr>
                <w:rFonts w:ascii="Cambria" w:eastAsia="Calibri" w:hAnsi="Cambria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58" w:type="dxa"/>
            <w:tcBorders>
              <w:top w:val="single" w:sz="12" w:space="0" w:color="auto"/>
            </w:tcBorders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CeO</w:t>
            </w:r>
            <w:r w:rsidRPr="000C0FA4">
              <w:rPr>
                <w:rFonts w:ascii="Cambria" w:eastAsia="Calibri" w:hAnsi="Cambria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58" w:type="dxa"/>
            <w:tcBorders>
              <w:top w:val="single" w:sz="12" w:space="0" w:color="auto"/>
            </w:tcBorders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CB</w:t>
            </w:r>
          </w:p>
        </w:tc>
      </w:tr>
      <w:tr w:rsidR="000C0FA4" w:rsidRPr="000C0FA4" w:rsidTr="009D7FA8">
        <w:tc>
          <w:tcPr>
            <w:tcW w:w="1857" w:type="dxa"/>
            <w:vAlign w:val="bottom"/>
          </w:tcPr>
          <w:p w:rsidR="000C0FA4" w:rsidRPr="000C0FA4" w:rsidRDefault="000C0FA4" w:rsidP="009345B1">
            <w:pPr>
              <w:spacing w:line="276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day 1</w:t>
            </w:r>
          </w:p>
        </w:tc>
        <w:tc>
          <w:tcPr>
            <w:tcW w:w="1857" w:type="dxa"/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649 ± 228</w:t>
            </w:r>
          </w:p>
        </w:tc>
        <w:tc>
          <w:tcPr>
            <w:tcW w:w="1858" w:type="dxa"/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715 ± 306</w:t>
            </w:r>
          </w:p>
        </w:tc>
        <w:tc>
          <w:tcPr>
            <w:tcW w:w="1858" w:type="dxa"/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625 ± 260</w:t>
            </w:r>
          </w:p>
        </w:tc>
        <w:tc>
          <w:tcPr>
            <w:tcW w:w="1858" w:type="dxa"/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1158 ± 923</w:t>
            </w:r>
          </w:p>
        </w:tc>
      </w:tr>
      <w:tr w:rsidR="000C0FA4" w:rsidRPr="000C0FA4" w:rsidTr="009D7FA8">
        <w:tc>
          <w:tcPr>
            <w:tcW w:w="1857" w:type="dxa"/>
            <w:vAlign w:val="bottom"/>
          </w:tcPr>
          <w:p w:rsidR="000C0FA4" w:rsidRPr="000C0FA4" w:rsidRDefault="000C0FA4" w:rsidP="009345B1">
            <w:pPr>
              <w:spacing w:line="276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day 28</w:t>
            </w:r>
          </w:p>
        </w:tc>
        <w:tc>
          <w:tcPr>
            <w:tcW w:w="1857" w:type="dxa"/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875 ± 485</w:t>
            </w:r>
          </w:p>
        </w:tc>
        <w:tc>
          <w:tcPr>
            <w:tcW w:w="1858" w:type="dxa"/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650 ± 315</w:t>
            </w:r>
          </w:p>
        </w:tc>
        <w:tc>
          <w:tcPr>
            <w:tcW w:w="1858" w:type="dxa"/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654 ± 249</w:t>
            </w:r>
          </w:p>
        </w:tc>
        <w:tc>
          <w:tcPr>
            <w:tcW w:w="1858" w:type="dxa"/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332 ± 125</w:t>
            </w:r>
          </w:p>
        </w:tc>
      </w:tr>
      <w:tr w:rsidR="000C0FA4" w:rsidRPr="000C0FA4" w:rsidTr="009D7FA8">
        <w:tc>
          <w:tcPr>
            <w:tcW w:w="1857" w:type="dxa"/>
            <w:tcBorders>
              <w:bottom w:val="single" w:sz="18" w:space="0" w:color="auto"/>
            </w:tcBorders>
            <w:vAlign w:val="bottom"/>
          </w:tcPr>
          <w:p w:rsidR="000C0FA4" w:rsidRPr="000C0FA4" w:rsidRDefault="000C0FA4" w:rsidP="009345B1">
            <w:pPr>
              <w:spacing w:line="276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day 180</w:t>
            </w:r>
          </w:p>
        </w:tc>
        <w:tc>
          <w:tcPr>
            <w:tcW w:w="1857" w:type="dxa"/>
            <w:tcBorders>
              <w:bottom w:val="single" w:sz="18" w:space="0" w:color="auto"/>
            </w:tcBorders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945 ± 1322</w:t>
            </w:r>
          </w:p>
        </w:tc>
        <w:tc>
          <w:tcPr>
            <w:tcW w:w="1858" w:type="dxa"/>
            <w:tcBorders>
              <w:bottom w:val="single" w:sz="18" w:space="0" w:color="auto"/>
            </w:tcBorders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751 ± 553</w:t>
            </w:r>
          </w:p>
        </w:tc>
        <w:tc>
          <w:tcPr>
            <w:tcW w:w="1858" w:type="dxa"/>
            <w:tcBorders>
              <w:bottom w:val="single" w:sz="18" w:space="0" w:color="auto"/>
            </w:tcBorders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984 ± 1324</w:t>
            </w:r>
          </w:p>
        </w:tc>
        <w:tc>
          <w:tcPr>
            <w:tcW w:w="1858" w:type="dxa"/>
            <w:tcBorders>
              <w:bottom w:val="single" w:sz="18" w:space="0" w:color="auto"/>
            </w:tcBorders>
            <w:vAlign w:val="bottom"/>
          </w:tcPr>
          <w:p w:rsidR="000C0FA4" w:rsidRPr="000C0FA4" w:rsidRDefault="000C0FA4" w:rsidP="009345B1">
            <w:pPr>
              <w:spacing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C0FA4">
              <w:rPr>
                <w:rFonts w:ascii="Cambria" w:eastAsia="Calibri" w:hAnsi="Cambria" w:cs="Times New Roman"/>
                <w:sz w:val="20"/>
                <w:szCs w:val="20"/>
              </w:rPr>
              <w:t>677 ± 576</w:t>
            </w:r>
          </w:p>
        </w:tc>
      </w:tr>
    </w:tbl>
    <w:p w:rsidR="000C0FA4" w:rsidRPr="000C0FA4" w:rsidRDefault="000C0FA4" w:rsidP="000C0FA4">
      <w:pPr>
        <w:spacing w:line="480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0C0FA4">
        <w:rPr>
          <w:rFonts w:ascii="Cambria" w:eastAsia="Calibri" w:hAnsi="Cambria" w:cs="Times New Roman"/>
          <w:sz w:val="24"/>
          <w:szCs w:val="24"/>
        </w:rPr>
        <w:t xml:space="preserve">Particle exposed groups n=9, vehicle control n=9. Messenger RNA expression levels were normalized to 18S </w:t>
      </w:r>
      <w:proofErr w:type="spellStart"/>
      <w:r w:rsidRPr="000C0FA4">
        <w:rPr>
          <w:rFonts w:ascii="Cambria" w:eastAsia="Calibri" w:hAnsi="Cambria" w:cs="Times New Roman"/>
          <w:sz w:val="24"/>
          <w:szCs w:val="24"/>
        </w:rPr>
        <w:t>rRNA</w:t>
      </w:r>
      <w:proofErr w:type="spellEnd"/>
      <w:r w:rsidRPr="000C0FA4">
        <w:rPr>
          <w:rFonts w:ascii="Cambria" w:eastAsia="Calibri" w:hAnsi="Cambria" w:cs="Times New Roman"/>
          <w:sz w:val="24"/>
          <w:szCs w:val="24"/>
        </w:rPr>
        <w:t xml:space="preserve">. All values are presented as mean ± SD. Asterisks (**) denote P ≤ 0.01 and (***) P ≤ 0.001 of </w:t>
      </w:r>
      <w:r w:rsidRPr="000C0FA4">
        <w:rPr>
          <w:rFonts w:ascii="Cambria" w:eastAsia="Calibri" w:hAnsi="Cambria" w:cs="Times New Roman"/>
          <w:i/>
          <w:sz w:val="24"/>
          <w:szCs w:val="24"/>
        </w:rPr>
        <w:t>Saa1</w:t>
      </w:r>
      <w:r w:rsidRPr="000C0FA4">
        <w:rPr>
          <w:rFonts w:ascii="Cambria" w:eastAsia="Calibri" w:hAnsi="Cambria" w:cs="Times New Roman"/>
          <w:sz w:val="24"/>
          <w:szCs w:val="24"/>
        </w:rPr>
        <w:t xml:space="preserve"> mRNA level in exposed groups versus vehicle control. Hashtag (#) denotes P ≤ 0.05 of </w:t>
      </w:r>
      <w:r w:rsidRPr="000C0FA4">
        <w:rPr>
          <w:rFonts w:ascii="Cambria" w:eastAsia="Calibri" w:hAnsi="Cambria" w:cs="Times New Roman"/>
          <w:i/>
          <w:sz w:val="24"/>
          <w:szCs w:val="24"/>
        </w:rPr>
        <w:t>Saa1</w:t>
      </w:r>
      <w:r w:rsidRPr="000C0FA4">
        <w:rPr>
          <w:rFonts w:ascii="Cambria" w:eastAsia="Calibri" w:hAnsi="Cambria" w:cs="Times New Roman"/>
          <w:sz w:val="24"/>
          <w:szCs w:val="24"/>
        </w:rPr>
        <w:t xml:space="preserve"> mRNA level in TiO</w:t>
      </w:r>
      <w:r w:rsidRPr="000C0FA4">
        <w:rPr>
          <w:rFonts w:ascii="Cambria" w:eastAsia="Calibri" w:hAnsi="Cambria" w:cs="Times New Roman"/>
          <w:sz w:val="24"/>
          <w:szCs w:val="24"/>
          <w:vertAlign w:val="subscript"/>
        </w:rPr>
        <w:t>2</w:t>
      </w:r>
      <w:r w:rsidRPr="000C0FA4">
        <w:rPr>
          <w:rFonts w:ascii="Cambria" w:eastAsia="Calibri" w:hAnsi="Cambria" w:cs="Times New Roman"/>
          <w:sz w:val="24"/>
          <w:szCs w:val="24"/>
        </w:rPr>
        <w:t xml:space="preserve"> vs CB groups. Crosses (†††) denote P ≤ 0.001 and below of </w:t>
      </w:r>
      <w:r w:rsidRPr="000C0FA4">
        <w:rPr>
          <w:rFonts w:ascii="Cambria" w:eastAsia="Calibri" w:hAnsi="Cambria" w:cs="Times New Roman"/>
          <w:i/>
          <w:sz w:val="24"/>
          <w:szCs w:val="24"/>
        </w:rPr>
        <w:t>Saa1</w:t>
      </w:r>
      <w:r w:rsidRPr="000C0FA4">
        <w:rPr>
          <w:rFonts w:ascii="Cambria" w:eastAsia="Calibri" w:hAnsi="Cambria" w:cs="Times New Roman"/>
          <w:sz w:val="24"/>
          <w:szCs w:val="24"/>
        </w:rPr>
        <w:t xml:space="preserve"> mRNA level in CeO</w:t>
      </w:r>
      <w:r w:rsidRPr="000C0FA4">
        <w:rPr>
          <w:rFonts w:ascii="Cambria" w:eastAsia="Calibri" w:hAnsi="Cambria" w:cs="Times New Roman"/>
          <w:sz w:val="24"/>
          <w:szCs w:val="24"/>
          <w:vertAlign w:val="subscript"/>
        </w:rPr>
        <w:t>2</w:t>
      </w:r>
      <w:r w:rsidRPr="000C0FA4">
        <w:rPr>
          <w:rFonts w:ascii="Cambria" w:eastAsia="Calibri" w:hAnsi="Cambria" w:cs="Times New Roman"/>
          <w:sz w:val="24"/>
          <w:szCs w:val="24"/>
        </w:rPr>
        <w:t xml:space="preserve"> vs CB groups. Double cross (‡) denotes P ≤ 0.05 and (‡‡‡) denote P ≤ 0.001 of </w:t>
      </w:r>
      <w:r w:rsidRPr="000C0FA4">
        <w:rPr>
          <w:rFonts w:ascii="Cambria" w:eastAsia="Calibri" w:hAnsi="Cambria" w:cs="Times New Roman"/>
          <w:i/>
          <w:sz w:val="24"/>
          <w:szCs w:val="24"/>
        </w:rPr>
        <w:t>Saa1</w:t>
      </w:r>
      <w:r w:rsidRPr="000C0FA4">
        <w:rPr>
          <w:rFonts w:ascii="Cambria" w:eastAsia="Calibri" w:hAnsi="Cambria" w:cs="Times New Roman"/>
          <w:sz w:val="24"/>
          <w:szCs w:val="24"/>
        </w:rPr>
        <w:t xml:space="preserve"> mRNA level in TiO</w:t>
      </w:r>
      <w:r w:rsidRPr="000C0FA4">
        <w:rPr>
          <w:rFonts w:ascii="Cambria" w:eastAsia="Calibri" w:hAnsi="Cambria" w:cs="Times New Roman"/>
          <w:sz w:val="24"/>
          <w:szCs w:val="24"/>
          <w:vertAlign w:val="subscript"/>
        </w:rPr>
        <w:t xml:space="preserve">2 </w:t>
      </w:r>
      <w:r w:rsidRPr="000C0FA4">
        <w:rPr>
          <w:rFonts w:ascii="Cambria" w:eastAsia="Calibri" w:hAnsi="Cambria" w:cs="Times New Roman"/>
          <w:sz w:val="24"/>
          <w:szCs w:val="24"/>
        </w:rPr>
        <w:t>vs CeO</w:t>
      </w:r>
      <w:r w:rsidRPr="000C0FA4">
        <w:rPr>
          <w:rFonts w:ascii="Cambria" w:eastAsia="Calibri" w:hAnsi="Cambria" w:cs="Times New Roman"/>
          <w:sz w:val="24"/>
          <w:szCs w:val="24"/>
          <w:vertAlign w:val="subscript"/>
        </w:rPr>
        <w:t>2</w:t>
      </w:r>
      <w:r w:rsidRPr="000C0FA4">
        <w:rPr>
          <w:rFonts w:ascii="Cambria" w:eastAsia="Calibri" w:hAnsi="Cambria" w:cs="Times New Roman"/>
          <w:sz w:val="24"/>
          <w:szCs w:val="24"/>
        </w:rPr>
        <w:t xml:space="preserve"> groups.</w:t>
      </w:r>
    </w:p>
    <w:p w:rsidR="00F11574" w:rsidRDefault="00F11574"/>
    <w:sectPr w:rsidR="00F11574" w:rsidSect="0022428C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791"/>
    <w:rsid w:val="000C0FA4"/>
    <w:rsid w:val="00595791"/>
    <w:rsid w:val="009345B1"/>
    <w:rsid w:val="00944FD5"/>
    <w:rsid w:val="00F1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0C0FA4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C0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0C0F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0C0FA4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C0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0C0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1234</Characters>
  <Application>Microsoft Office Word</Application>
  <DocSecurity>0</DocSecurity>
  <Lines>10</Lines>
  <Paragraphs>2</Paragraphs>
  <ScaleCrop>false</ScaleCrop>
  <Company>NFA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Swietek</dc:creator>
  <cp:keywords/>
  <dc:description/>
  <cp:lastModifiedBy>Justyna Swietek</cp:lastModifiedBy>
  <cp:revision>6</cp:revision>
  <dcterms:created xsi:type="dcterms:W3CDTF">2017-07-13T15:24:00Z</dcterms:created>
  <dcterms:modified xsi:type="dcterms:W3CDTF">2017-07-14T10:53:00Z</dcterms:modified>
</cp:coreProperties>
</file>