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B50FF" w14:textId="77777777" w:rsidR="007C2DBE" w:rsidRPr="007C2DBE" w:rsidRDefault="007C2DBE" w:rsidP="007C2DBE">
      <w:pPr>
        <w:spacing w:line="480" w:lineRule="auto"/>
        <w:jc w:val="center"/>
        <w:rPr>
          <w:rFonts w:cs="Times New Roman"/>
          <w:bCs/>
          <w:i/>
          <w:iCs/>
          <w:szCs w:val="24"/>
        </w:rPr>
      </w:pPr>
      <w:r w:rsidRPr="007C2DBE">
        <w:rPr>
          <w:rFonts w:cs="Times New Roman"/>
          <w:bCs/>
          <w:szCs w:val="24"/>
        </w:rPr>
        <w:t xml:space="preserve">Carbon Nanotube Filler Enhances Incinerated Thermoplastics-induced Cytotoxicity and Metabolic Disruption </w:t>
      </w:r>
      <w:r w:rsidRPr="007C2DBE">
        <w:rPr>
          <w:rFonts w:cs="Times New Roman"/>
          <w:bCs/>
          <w:i/>
          <w:iCs/>
          <w:szCs w:val="24"/>
        </w:rPr>
        <w:t>In Vitro</w:t>
      </w:r>
    </w:p>
    <w:p w14:paraId="43543DE4" w14:textId="77777777" w:rsidR="00DD2950" w:rsidRPr="007C2DBE" w:rsidRDefault="00DD2950" w:rsidP="00DD2950">
      <w:pPr>
        <w:spacing w:line="480" w:lineRule="auto"/>
        <w:rPr>
          <w:rFonts w:cs="Times New Roman"/>
          <w:i/>
          <w:szCs w:val="24"/>
        </w:rPr>
      </w:pPr>
    </w:p>
    <w:p w14:paraId="11D73576" w14:textId="2D330E83" w:rsidR="00DD2950" w:rsidRPr="007C2DBE" w:rsidRDefault="00DD2950" w:rsidP="00DD2950">
      <w:pPr>
        <w:spacing w:line="480" w:lineRule="auto"/>
        <w:rPr>
          <w:rFonts w:cs="Times New Roman"/>
          <w:iCs/>
          <w:szCs w:val="24"/>
        </w:rPr>
      </w:pPr>
      <w:r w:rsidRPr="007C2DBE">
        <w:rPr>
          <w:rFonts w:cs="Times New Roman"/>
          <w:iCs/>
          <w:szCs w:val="24"/>
        </w:rPr>
        <w:t>Jayme P. Coyle*</w:t>
      </w:r>
      <w:r w:rsidRPr="007C2DBE">
        <w:rPr>
          <w:rFonts w:cs="Times New Roman"/>
          <w:iCs/>
          <w:szCs w:val="24"/>
          <w:vertAlign w:val="superscript"/>
        </w:rPr>
        <w:t>1</w:t>
      </w:r>
      <w:r w:rsidRPr="007C2DBE">
        <w:rPr>
          <w:rFonts w:cs="Times New Roman"/>
          <w:iCs/>
          <w:szCs w:val="24"/>
        </w:rPr>
        <w:t>, Raymond C. Derk</w:t>
      </w:r>
      <w:r w:rsidRPr="007C2DBE">
        <w:rPr>
          <w:rFonts w:cs="Times New Roman"/>
          <w:iCs/>
          <w:szCs w:val="24"/>
          <w:vertAlign w:val="superscript"/>
        </w:rPr>
        <w:t>1</w:t>
      </w:r>
      <w:r w:rsidRPr="007C2DBE">
        <w:rPr>
          <w:rFonts w:cs="Times New Roman"/>
          <w:iCs/>
          <w:szCs w:val="24"/>
        </w:rPr>
        <w:t>, Tiffany G. Kornberg</w:t>
      </w:r>
      <w:r w:rsidRPr="007C2DBE">
        <w:rPr>
          <w:rFonts w:cs="Times New Roman"/>
          <w:iCs/>
          <w:szCs w:val="24"/>
          <w:vertAlign w:val="superscript"/>
        </w:rPr>
        <w:t>1,2</w:t>
      </w:r>
      <w:r w:rsidRPr="007C2DBE">
        <w:rPr>
          <w:rFonts w:cs="Times New Roman"/>
          <w:iCs/>
          <w:szCs w:val="24"/>
        </w:rPr>
        <w:t>, Dilpreet Singh</w:t>
      </w:r>
      <w:r w:rsidRPr="007C2DBE">
        <w:rPr>
          <w:rFonts w:cs="Times New Roman"/>
          <w:iCs/>
          <w:szCs w:val="24"/>
          <w:vertAlign w:val="superscript"/>
        </w:rPr>
        <w:t>3</w:t>
      </w:r>
      <w:r w:rsidRPr="007C2DBE">
        <w:rPr>
          <w:rFonts w:cs="Times New Roman"/>
          <w:iCs/>
          <w:szCs w:val="24"/>
        </w:rPr>
        <w:t>, Jake Jensen</w:t>
      </w:r>
      <w:r w:rsidRPr="007C2DBE">
        <w:rPr>
          <w:rFonts w:cs="Times New Roman"/>
          <w:iCs/>
          <w:szCs w:val="24"/>
          <w:vertAlign w:val="superscript"/>
        </w:rPr>
        <w:t>3</w:t>
      </w:r>
      <w:r w:rsidRPr="007C2DBE">
        <w:rPr>
          <w:rFonts w:cs="Times New Roman"/>
          <w:iCs/>
          <w:szCs w:val="24"/>
        </w:rPr>
        <w:t>, Sherri Friend</w:t>
      </w:r>
      <w:r w:rsidRPr="007C2DBE">
        <w:rPr>
          <w:rFonts w:cs="Times New Roman"/>
          <w:iCs/>
          <w:szCs w:val="24"/>
          <w:vertAlign w:val="superscript"/>
        </w:rPr>
        <w:t>1</w:t>
      </w:r>
      <w:r w:rsidRPr="007C2DBE">
        <w:rPr>
          <w:rFonts w:cs="Times New Roman"/>
          <w:iCs/>
          <w:szCs w:val="24"/>
        </w:rPr>
        <w:t>, Robert Mercer</w:t>
      </w:r>
      <w:r w:rsidRPr="007C2DBE">
        <w:rPr>
          <w:rFonts w:cs="Times New Roman"/>
          <w:iCs/>
          <w:szCs w:val="24"/>
          <w:vertAlign w:val="superscript"/>
        </w:rPr>
        <w:t>1</w:t>
      </w:r>
      <w:r w:rsidRPr="007C2DBE">
        <w:rPr>
          <w:rFonts w:cs="Times New Roman"/>
          <w:iCs/>
          <w:szCs w:val="24"/>
        </w:rPr>
        <w:t>, Todd A. Stueckle</w:t>
      </w:r>
      <w:r w:rsidRPr="007C2DBE">
        <w:rPr>
          <w:rFonts w:cs="Times New Roman"/>
          <w:iCs/>
          <w:szCs w:val="24"/>
          <w:vertAlign w:val="superscript"/>
        </w:rPr>
        <w:t>1</w:t>
      </w:r>
      <w:r w:rsidRPr="007C2DBE">
        <w:rPr>
          <w:rFonts w:cs="Times New Roman"/>
          <w:iCs/>
          <w:szCs w:val="24"/>
        </w:rPr>
        <w:t>, Philip Demokritou</w:t>
      </w:r>
      <w:r w:rsidRPr="007C2DBE">
        <w:rPr>
          <w:rFonts w:cs="Times New Roman"/>
          <w:iCs/>
          <w:szCs w:val="24"/>
          <w:vertAlign w:val="superscript"/>
        </w:rPr>
        <w:t>3</w:t>
      </w:r>
      <w:r w:rsidRPr="007C2DBE">
        <w:rPr>
          <w:rFonts w:cs="Times New Roman"/>
          <w:iCs/>
          <w:szCs w:val="24"/>
        </w:rPr>
        <w:t>, Yon Rojanasakul</w:t>
      </w:r>
      <w:r w:rsidRPr="007C2DBE">
        <w:rPr>
          <w:rFonts w:cs="Times New Roman"/>
          <w:iCs/>
          <w:szCs w:val="24"/>
          <w:vertAlign w:val="superscript"/>
        </w:rPr>
        <w:t>2</w:t>
      </w:r>
      <w:r w:rsidRPr="007C2DBE">
        <w:rPr>
          <w:rFonts w:cs="Times New Roman"/>
          <w:iCs/>
          <w:szCs w:val="24"/>
        </w:rPr>
        <w:t>, Liying W</w:t>
      </w:r>
      <w:r w:rsidR="00A6414D" w:rsidRPr="007C2DBE">
        <w:rPr>
          <w:rFonts w:cs="Times New Roman"/>
          <w:iCs/>
          <w:szCs w:val="24"/>
        </w:rPr>
        <w:t>. Rojanasakul</w:t>
      </w:r>
      <w:r w:rsidRPr="007C2DBE">
        <w:rPr>
          <w:rFonts w:cs="Times New Roman"/>
          <w:iCs/>
          <w:szCs w:val="24"/>
          <w:vertAlign w:val="superscript"/>
        </w:rPr>
        <w:t>1</w:t>
      </w:r>
    </w:p>
    <w:p w14:paraId="082ABD59" w14:textId="77777777" w:rsidR="00DD2950" w:rsidRPr="007C2DBE" w:rsidRDefault="00DD2950" w:rsidP="00DD2950">
      <w:pPr>
        <w:spacing w:line="480" w:lineRule="auto"/>
        <w:rPr>
          <w:rFonts w:cs="Times New Roman"/>
          <w:szCs w:val="24"/>
        </w:rPr>
      </w:pPr>
    </w:p>
    <w:p w14:paraId="6AAEABC3" w14:textId="15FF36C1" w:rsidR="00DD2950" w:rsidRPr="007C2DBE" w:rsidRDefault="00DD2950" w:rsidP="00DD2950">
      <w:pPr>
        <w:spacing w:line="480" w:lineRule="auto"/>
        <w:rPr>
          <w:rFonts w:cs="Times New Roman"/>
          <w:szCs w:val="24"/>
        </w:rPr>
      </w:pPr>
      <w:r w:rsidRPr="007C2DBE">
        <w:rPr>
          <w:rFonts w:cs="Times New Roman"/>
          <w:szCs w:val="24"/>
          <w:vertAlign w:val="superscript"/>
        </w:rPr>
        <w:t>1</w:t>
      </w:r>
      <w:r w:rsidRPr="007C2DBE">
        <w:rPr>
          <w:rFonts w:cs="Times New Roman"/>
          <w:szCs w:val="24"/>
        </w:rPr>
        <w:t>HELD/ACIB, National Institute for Occupational Safety and Health, Morgantown, WV</w:t>
      </w:r>
    </w:p>
    <w:p w14:paraId="4A004D07" w14:textId="77777777" w:rsidR="00DD2950" w:rsidRPr="007C2DBE" w:rsidRDefault="00DD2950" w:rsidP="00DD2950">
      <w:pPr>
        <w:spacing w:line="480" w:lineRule="auto"/>
        <w:rPr>
          <w:rFonts w:cs="Times New Roman"/>
          <w:szCs w:val="24"/>
        </w:rPr>
      </w:pPr>
      <w:r w:rsidRPr="007C2DBE">
        <w:rPr>
          <w:rFonts w:cs="Times New Roman"/>
          <w:szCs w:val="24"/>
          <w:vertAlign w:val="superscript"/>
        </w:rPr>
        <w:t>2</w:t>
      </w:r>
      <w:r w:rsidRPr="007C2DBE">
        <w:rPr>
          <w:rFonts w:cs="Times New Roman"/>
          <w:szCs w:val="24"/>
        </w:rPr>
        <w:t>Department of Pharmaceutical Sciences, West Virginia University, Morgantown, WV</w:t>
      </w:r>
    </w:p>
    <w:p w14:paraId="0897E2AF" w14:textId="77777777" w:rsidR="00DD2950" w:rsidRPr="007C2DBE" w:rsidRDefault="00DD2950" w:rsidP="00DD2950">
      <w:pPr>
        <w:spacing w:line="480" w:lineRule="auto"/>
        <w:rPr>
          <w:rFonts w:cs="Times New Roman"/>
          <w:szCs w:val="24"/>
        </w:rPr>
      </w:pPr>
      <w:r w:rsidRPr="007C2DBE">
        <w:rPr>
          <w:rFonts w:cs="Times New Roman"/>
          <w:szCs w:val="24"/>
          <w:vertAlign w:val="superscript"/>
        </w:rPr>
        <w:t>3</w:t>
      </w:r>
      <w:r w:rsidRPr="007C2DBE">
        <w:rPr>
          <w:rFonts w:cs="Times New Roman"/>
          <w:szCs w:val="24"/>
        </w:rPr>
        <w:t>Department of Environmental Health, Harv</w:t>
      </w:r>
      <w:bookmarkStart w:id="0" w:name="_GoBack"/>
      <w:bookmarkEnd w:id="0"/>
      <w:r w:rsidRPr="007C2DBE">
        <w:rPr>
          <w:rFonts w:cs="Times New Roman"/>
          <w:szCs w:val="24"/>
        </w:rPr>
        <w:t>ard University, Boston, MA</w:t>
      </w:r>
    </w:p>
    <w:p w14:paraId="45DFFE95" w14:textId="77777777" w:rsidR="00DD2950" w:rsidRPr="007C2DBE" w:rsidRDefault="00DD2950" w:rsidP="00DD2950">
      <w:pPr>
        <w:spacing w:line="480" w:lineRule="auto"/>
        <w:rPr>
          <w:rFonts w:cs="Times New Roman"/>
          <w:szCs w:val="24"/>
        </w:rPr>
      </w:pPr>
    </w:p>
    <w:p w14:paraId="3D367E02" w14:textId="77777777" w:rsidR="00DD2950" w:rsidRPr="007C2DBE" w:rsidRDefault="00DD2950" w:rsidP="00DD2950">
      <w:pPr>
        <w:spacing w:line="480" w:lineRule="auto"/>
        <w:rPr>
          <w:rFonts w:cs="Times New Roman"/>
          <w:b/>
          <w:szCs w:val="24"/>
        </w:rPr>
      </w:pPr>
      <w:r w:rsidRPr="007C2DBE">
        <w:rPr>
          <w:rFonts w:cs="Times New Roman"/>
          <w:b/>
          <w:szCs w:val="24"/>
        </w:rPr>
        <w:t>Corresponding Author</w:t>
      </w:r>
    </w:p>
    <w:p w14:paraId="21DFE94D" w14:textId="4788A26F" w:rsidR="00C03992" w:rsidRPr="007C2DBE" w:rsidRDefault="00DD2950" w:rsidP="00A214E2">
      <w:pPr>
        <w:spacing w:line="480" w:lineRule="auto"/>
        <w:rPr>
          <w:rFonts w:cs="Times New Roman"/>
          <w:b/>
          <w:szCs w:val="24"/>
        </w:rPr>
      </w:pPr>
      <w:r w:rsidRPr="007C2DBE">
        <w:rPr>
          <w:rFonts w:cs="Times New Roman"/>
          <w:szCs w:val="24"/>
        </w:rPr>
        <w:t xml:space="preserve">Jayme P. Coyle, Email: </w:t>
      </w:r>
      <w:r w:rsidRPr="007C2DBE">
        <w:rPr>
          <w:rFonts w:cs="Times New Roman"/>
          <w:szCs w:val="24"/>
          <w:u w:val="single"/>
        </w:rPr>
        <w:t>nti2@cdc.gov</w:t>
      </w:r>
      <w:r w:rsidR="00C03992" w:rsidRPr="007C2DBE">
        <w:rPr>
          <w:rFonts w:cs="Times New Roman"/>
          <w:b/>
          <w:szCs w:val="24"/>
        </w:rPr>
        <w:br w:type="page"/>
      </w:r>
    </w:p>
    <w:p w14:paraId="668BB145" w14:textId="4C62C415" w:rsidR="00FF11F0" w:rsidRPr="007C2DBE" w:rsidRDefault="00103145" w:rsidP="00C03992">
      <w:pPr>
        <w:spacing w:line="480" w:lineRule="auto"/>
        <w:rPr>
          <w:rFonts w:cs="Times New Roman"/>
          <w:b/>
          <w:szCs w:val="24"/>
        </w:rPr>
      </w:pPr>
      <w:r w:rsidRPr="007C2DBE">
        <w:rPr>
          <w:rFonts w:cs="Times New Roman"/>
          <w:b/>
          <w:szCs w:val="24"/>
        </w:rPr>
        <w:lastRenderedPageBreak/>
        <w:t xml:space="preserve">Supplemental </w:t>
      </w:r>
      <w:r w:rsidR="00FF11F0" w:rsidRPr="007C2DBE">
        <w:rPr>
          <w:rFonts w:cs="Times New Roman"/>
          <w:b/>
          <w:szCs w:val="24"/>
        </w:rPr>
        <w:t>Methods</w:t>
      </w:r>
    </w:p>
    <w:p w14:paraId="1A16A7F0" w14:textId="77777777" w:rsidR="00FF11F0" w:rsidRPr="007C2DBE" w:rsidRDefault="00FF11F0" w:rsidP="00C03992">
      <w:pPr>
        <w:spacing w:line="480" w:lineRule="auto"/>
        <w:rPr>
          <w:rFonts w:cs="Times New Roman"/>
          <w:szCs w:val="24"/>
        </w:rPr>
      </w:pPr>
    </w:p>
    <w:p w14:paraId="0260B53A" w14:textId="2FE85F37" w:rsidR="00FF11F0" w:rsidRPr="007C2DBE" w:rsidRDefault="00FF11F0" w:rsidP="00C03992">
      <w:pPr>
        <w:spacing w:line="480" w:lineRule="auto"/>
        <w:rPr>
          <w:rFonts w:cs="Times New Roman"/>
          <w:szCs w:val="24"/>
        </w:rPr>
      </w:pPr>
      <w:r w:rsidRPr="007C2DBE">
        <w:rPr>
          <w:rFonts w:cs="Times New Roman"/>
          <w:szCs w:val="24"/>
        </w:rPr>
        <w:t>Particle Characterization and Dosimetry</w:t>
      </w:r>
    </w:p>
    <w:p w14:paraId="00999E1F" w14:textId="77777777" w:rsidR="00B804D9" w:rsidRPr="007C2DBE" w:rsidRDefault="00B804D9" w:rsidP="00C03992">
      <w:pPr>
        <w:spacing w:line="480" w:lineRule="auto"/>
        <w:rPr>
          <w:rFonts w:cs="Times New Roman"/>
          <w:szCs w:val="24"/>
        </w:rPr>
      </w:pPr>
    </w:p>
    <w:p w14:paraId="531530EF" w14:textId="5E0509EF" w:rsidR="00FF11F0" w:rsidRPr="007C2DBE" w:rsidRDefault="00FF11F0" w:rsidP="00A214E2">
      <w:pPr>
        <w:spacing w:line="480" w:lineRule="auto"/>
        <w:rPr>
          <w:rFonts w:cs="Times New Roman"/>
          <w:b/>
          <w:i/>
          <w:szCs w:val="24"/>
        </w:rPr>
      </w:pPr>
      <w:r w:rsidRPr="007C2DBE">
        <w:rPr>
          <w:rFonts w:cs="Times New Roman"/>
          <w:szCs w:val="24"/>
        </w:rPr>
        <w:t>All incinerated pristine and nano-enabled thermoplastics used in this study were provided by P. Demokritou. Previous work using these materials characterized CNT loading and signature impurities</w:t>
      </w:r>
      <w:r w:rsidR="001B1216" w:rsidRPr="007C2DBE">
        <w:rPr>
          <w:rFonts w:cs="Times New Roman"/>
          <w:szCs w:val="24"/>
          <w:vertAlign w:val="superscript"/>
        </w:rPr>
        <w:t>29,42</w:t>
      </w:r>
      <w:r w:rsidRPr="007C2DBE">
        <w:rPr>
          <w:rFonts w:cs="Times New Roman"/>
          <w:szCs w:val="24"/>
        </w:rPr>
        <w:t xml:space="preserve"> pertinent to this work. Briefly, PC-CNT and PU-CNT contained respectively 3% and 0.1% MWCNT loading by weight, as disclosed in </w:t>
      </w:r>
      <w:r w:rsidRPr="007C2DBE">
        <w:rPr>
          <w:rFonts w:cs="Times New Roman"/>
          <w:noProof/>
          <w:szCs w:val="24"/>
        </w:rPr>
        <w:t>Singh</w:t>
      </w:r>
      <w:r w:rsidRPr="007C2DBE">
        <w:rPr>
          <w:rFonts w:cs="Times New Roman"/>
          <w:i/>
          <w:noProof/>
          <w:szCs w:val="24"/>
        </w:rPr>
        <w:t xml:space="preserve"> et al.</w:t>
      </w:r>
      <w:r w:rsidR="001B1216" w:rsidRPr="007C2DBE">
        <w:rPr>
          <w:rFonts w:cs="Times New Roman"/>
          <w:noProof/>
          <w:szCs w:val="24"/>
          <w:vertAlign w:val="superscript"/>
        </w:rPr>
        <w:t>29</w:t>
      </w:r>
    </w:p>
    <w:p w14:paraId="6F0329E0" w14:textId="58884801" w:rsidR="00FF11F0" w:rsidRPr="007C2DBE" w:rsidRDefault="00FF11F0" w:rsidP="00C03992">
      <w:pPr>
        <w:spacing w:line="480" w:lineRule="auto"/>
        <w:ind w:firstLine="720"/>
        <w:rPr>
          <w:rFonts w:cs="Times New Roman"/>
          <w:b/>
          <w:i/>
          <w:szCs w:val="24"/>
        </w:rPr>
      </w:pPr>
      <w:r w:rsidRPr="007C2DBE">
        <w:rPr>
          <w:rFonts w:cs="Times New Roman"/>
          <w:szCs w:val="24"/>
        </w:rPr>
        <w:t xml:space="preserve">Particle deposition for thermoplastics was modeled using the Harvard Distorted Grid model as described in </w:t>
      </w:r>
      <w:r w:rsidRPr="007C2DBE">
        <w:rPr>
          <w:rFonts w:cs="Times New Roman"/>
          <w:noProof/>
          <w:szCs w:val="24"/>
        </w:rPr>
        <w:t>DeLoid</w:t>
      </w:r>
      <w:r w:rsidRPr="007C2DBE">
        <w:rPr>
          <w:rFonts w:cs="Times New Roman"/>
          <w:i/>
          <w:noProof/>
          <w:szCs w:val="24"/>
        </w:rPr>
        <w:t xml:space="preserve"> et al.</w:t>
      </w:r>
      <w:r w:rsidR="00006A61" w:rsidRPr="007C2DBE">
        <w:rPr>
          <w:rFonts w:cs="Times New Roman"/>
          <w:noProof/>
          <w:szCs w:val="24"/>
          <w:vertAlign w:val="superscript"/>
        </w:rPr>
        <w:t>89</w:t>
      </w:r>
      <w:r w:rsidRPr="007C2DBE">
        <w:rPr>
          <w:rFonts w:cs="Times New Roman"/>
          <w:szCs w:val="24"/>
        </w:rPr>
        <w:t xml:space="preserve"> to estimate deposited dose up to 72 hours post-treatment. As modeling input parameters, the medium density, viscosity, and refractive index of complete cell growth media were measured and used, as well as the effective density of each incinerated thermoplastic in respective medium. Deposited modeling was conducted using </w:t>
      </w:r>
      <w:proofErr w:type="spellStart"/>
      <w:r w:rsidRPr="007C2DBE">
        <w:rPr>
          <w:rFonts w:cs="Times New Roman"/>
          <w:szCs w:val="24"/>
        </w:rPr>
        <w:t>MatLab</w:t>
      </w:r>
      <w:proofErr w:type="spellEnd"/>
      <w:r w:rsidRPr="007C2DBE">
        <w:rPr>
          <w:rFonts w:cs="Times New Roman"/>
          <w:szCs w:val="24"/>
        </w:rPr>
        <w:t xml:space="preserve"> (MathWorks, Inc., Natick, MA). </w:t>
      </w:r>
      <w:proofErr w:type="gramStart"/>
      <w:r w:rsidRPr="007C2DBE">
        <w:rPr>
          <w:rFonts w:cs="Times New Roman"/>
          <w:szCs w:val="24"/>
        </w:rPr>
        <w:t>With the exception of</w:t>
      </w:r>
      <w:proofErr w:type="gramEnd"/>
      <w:r w:rsidRPr="007C2DBE">
        <w:rPr>
          <w:rFonts w:cs="Times New Roman"/>
          <w:szCs w:val="24"/>
        </w:rPr>
        <w:t xml:space="preserve"> the data derived from dynamic light scattering and deposited modeling, medium density, viscosity and refractive index may be found within Supplemental </w:t>
      </w:r>
      <w:r w:rsidR="00FB1BD4" w:rsidRPr="007C2DBE">
        <w:rPr>
          <w:rFonts w:cs="Times New Roman"/>
          <w:szCs w:val="24"/>
        </w:rPr>
        <w:t>Table T1</w:t>
      </w:r>
      <w:r w:rsidRPr="007C2DBE">
        <w:rPr>
          <w:rFonts w:cs="Times New Roman"/>
          <w:szCs w:val="24"/>
        </w:rPr>
        <w:t xml:space="preserve"> provided.</w:t>
      </w:r>
    </w:p>
    <w:p w14:paraId="676A5A2D" w14:textId="77777777" w:rsidR="00FF11F0" w:rsidRPr="007C2DBE" w:rsidRDefault="00FF11F0" w:rsidP="00C03992">
      <w:pPr>
        <w:spacing w:line="480" w:lineRule="auto"/>
        <w:ind w:firstLine="720"/>
        <w:rPr>
          <w:rFonts w:cs="Times New Roman"/>
          <w:szCs w:val="24"/>
        </w:rPr>
      </w:pPr>
      <w:r w:rsidRPr="007C2DBE">
        <w:rPr>
          <w:rFonts w:cs="Times New Roman"/>
          <w:i/>
          <w:szCs w:val="24"/>
        </w:rPr>
        <w:t>Medium Density, Viscosity, and Refractive Index.</w:t>
      </w:r>
      <w:r w:rsidRPr="007C2DBE">
        <w:rPr>
          <w:rFonts w:cs="Times New Roman"/>
          <w:b/>
          <w:i/>
          <w:szCs w:val="24"/>
        </w:rPr>
        <w:t xml:space="preserve"> </w:t>
      </w:r>
      <w:r w:rsidRPr="007C2DBE">
        <w:rPr>
          <w:rFonts w:cs="Times New Roman"/>
          <w:szCs w:val="24"/>
        </w:rPr>
        <w:t>For all measurements, media were first equilibrated to room temperature. Media density was measured using a tared 10 mL volumetric flask and an analytical balance. Each medium was measured in quintuplicate.</w:t>
      </w:r>
      <w:r w:rsidRPr="007C2DBE">
        <w:rPr>
          <w:rFonts w:cs="Times New Roman"/>
          <w:b/>
          <w:i/>
          <w:szCs w:val="24"/>
        </w:rPr>
        <w:t xml:space="preserve"> </w:t>
      </w:r>
      <w:r w:rsidRPr="007C2DBE">
        <w:rPr>
          <w:rFonts w:cs="Times New Roman"/>
          <w:szCs w:val="24"/>
        </w:rPr>
        <w:t xml:space="preserve">Viscosity was assessed using a size 25 Cannon-Fenske Routine viscometer (Cannon Instruments; State College, PA). After media equilibration, the viscometer was </w:t>
      </w:r>
      <w:r w:rsidR="00A32E32" w:rsidRPr="007C2DBE">
        <w:rPr>
          <w:rFonts w:cs="Times New Roman"/>
          <w:szCs w:val="24"/>
        </w:rPr>
        <w:t>filled,</w:t>
      </w:r>
      <w:r w:rsidRPr="007C2DBE">
        <w:rPr>
          <w:rFonts w:cs="Times New Roman"/>
          <w:szCs w:val="24"/>
        </w:rPr>
        <w:t xml:space="preserve"> and the body submerged in water maintained at 37 °C for a minimum of 10 minutes prior to measurement and calculation of kinematic viscosity. The kinematic viscosity was then used to calculate the dynamic viscosity necessary for dosimetry modeling. Refractive index was determined using an ISO-9001 certified hand-held refractometer according to manufacturer’s instructions (Catalog: AR200; Reichert Analytical Instruments; </w:t>
      </w:r>
      <w:proofErr w:type="spellStart"/>
      <w:r w:rsidRPr="007C2DBE">
        <w:rPr>
          <w:rFonts w:cs="Times New Roman"/>
          <w:szCs w:val="24"/>
        </w:rPr>
        <w:t>Dewpew</w:t>
      </w:r>
      <w:proofErr w:type="spellEnd"/>
      <w:r w:rsidRPr="007C2DBE">
        <w:rPr>
          <w:rFonts w:cs="Times New Roman"/>
          <w:szCs w:val="24"/>
        </w:rPr>
        <w:t xml:space="preserve">, NY). All media were </w:t>
      </w:r>
      <w:r w:rsidRPr="007C2DBE">
        <w:rPr>
          <w:rFonts w:cs="Times New Roman"/>
          <w:szCs w:val="24"/>
        </w:rPr>
        <w:lastRenderedPageBreak/>
        <w:t xml:space="preserve">equilibrated to room temperature, and analysis performed on a volume </w:t>
      </w:r>
      <w:proofErr w:type="gramStart"/>
      <w:r w:rsidRPr="007C2DBE">
        <w:rPr>
          <w:rFonts w:cs="Times New Roman"/>
          <w:szCs w:val="24"/>
        </w:rPr>
        <w:t>sufficient</w:t>
      </w:r>
      <w:proofErr w:type="gramEnd"/>
      <w:r w:rsidRPr="007C2DBE">
        <w:rPr>
          <w:rFonts w:cs="Times New Roman"/>
          <w:szCs w:val="24"/>
        </w:rPr>
        <w:t xml:space="preserve"> to coat the prism surface.</w:t>
      </w:r>
    </w:p>
    <w:p w14:paraId="76126E73" w14:textId="7F3F27AD" w:rsidR="00FF11F0" w:rsidRPr="007C2DBE" w:rsidRDefault="00FF11F0" w:rsidP="00C03992">
      <w:pPr>
        <w:spacing w:line="480" w:lineRule="auto"/>
        <w:ind w:firstLine="720"/>
        <w:rPr>
          <w:rFonts w:cs="Times New Roman"/>
          <w:szCs w:val="24"/>
        </w:rPr>
      </w:pPr>
      <w:r w:rsidRPr="007C2DBE">
        <w:rPr>
          <w:rFonts w:cs="Times New Roman"/>
          <w:i/>
          <w:szCs w:val="24"/>
        </w:rPr>
        <w:t>Effective Density</w:t>
      </w:r>
      <w:r w:rsidRPr="007C2DBE">
        <w:rPr>
          <w:rFonts w:cs="Times New Roman"/>
          <w:szCs w:val="24"/>
        </w:rPr>
        <w:t xml:space="preserve">. To assess effective density via the volumetric centrifugation method, incinerated thermoplastics were diluted to 0.1 mg/mL in respective medium and 1 mL loaded in into packed cell volume tubes (Cat. 87007, Techno Plastic Products, A.G., </w:t>
      </w:r>
      <w:proofErr w:type="spellStart"/>
      <w:r w:rsidRPr="007C2DBE">
        <w:rPr>
          <w:rFonts w:cs="Times New Roman"/>
          <w:szCs w:val="24"/>
        </w:rPr>
        <w:t>Trasadigen</w:t>
      </w:r>
      <w:proofErr w:type="spellEnd"/>
      <w:r w:rsidRPr="007C2DBE">
        <w:rPr>
          <w:rFonts w:cs="Times New Roman"/>
          <w:szCs w:val="24"/>
        </w:rPr>
        <w:t xml:space="preserve">, Switzerland). Tubes were centrifuged at 3,000 x g for 1 hour at room temperature. The compacted pellet volume was manually measured using a PCV tube ruler (Cat. 87010 Techno Plastic Products, A.G.). The density, packed pellet volume, medium density </w:t>
      </w:r>
      <w:proofErr w:type="gramStart"/>
      <w:r w:rsidRPr="007C2DBE">
        <w:rPr>
          <w:rFonts w:cs="Times New Roman"/>
          <w:szCs w:val="24"/>
        </w:rPr>
        <w:t>were</w:t>
      </w:r>
      <w:proofErr w:type="gramEnd"/>
      <w:r w:rsidRPr="007C2DBE">
        <w:rPr>
          <w:rFonts w:cs="Times New Roman"/>
          <w:szCs w:val="24"/>
        </w:rPr>
        <w:t xml:space="preserve"> used to calculate the effective density (</w:t>
      </w:r>
      <w:proofErr w:type="spellStart"/>
      <w:r w:rsidRPr="007C2DBE">
        <w:rPr>
          <w:rFonts w:cs="Times New Roman"/>
          <w:i/>
          <w:szCs w:val="24"/>
        </w:rPr>
        <w:t>ρ</w:t>
      </w:r>
      <w:r w:rsidRPr="007C2DBE">
        <w:rPr>
          <w:rFonts w:cs="Times New Roman"/>
          <w:bCs/>
          <w:i/>
          <w:iCs/>
          <w:szCs w:val="24"/>
          <w:vertAlign w:val="subscript"/>
        </w:rPr>
        <w:t>EV</w:t>
      </w:r>
      <w:proofErr w:type="spellEnd"/>
      <w:r w:rsidRPr="007C2DBE">
        <w:rPr>
          <w:rFonts w:cs="Times New Roman"/>
          <w:szCs w:val="24"/>
        </w:rPr>
        <w:t>) requisite for modeling.</w:t>
      </w:r>
    </w:p>
    <w:p w14:paraId="3C242684" w14:textId="1F3EB524" w:rsidR="00FF11F0" w:rsidRPr="007C2DBE" w:rsidRDefault="00FF11F0" w:rsidP="00C03992">
      <w:pPr>
        <w:spacing w:line="480" w:lineRule="auto"/>
        <w:ind w:firstLine="720"/>
        <w:rPr>
          <w:rFonts w:cs="Times New Roman"/>
          <w:szCs w:val="24"/>
        </w:rPr>
      </w:pPr>
      <w:r w:rsidRPr="007C2DBE">
        <w:rPr>
          <w:rFonts w:cs="Times New Roman"/>
          <w:i/>
          <w:szCs w:val="24"/>
        </w:rPr>
        <w:t>Hydrodynamic Diameter by Dynamic Light Scattering</w:t>
      </w:r>
      <w:r w:rsidRPr="007C2DBE">
        <w:rPr>
          <w:rFonts w:cs="Times New Roman"/>
          <w:szCs w:val="24"/>
        </w:rPr>
        <w:t>. The critical delivered sonication energy (</w:t>
      </w:r>
      <w:proofErr w:type="spellStart"/>
      <w:r w:rsidRPr="007C2DBE">
        <w:rPr>
          <w:rFonts w:cs="Times New Roman"/>
          <w:szCs w:val="24"/>
        </w:rPr>
        <w:t>DSE</w:t>
      </w:r>
      <w:r w:rsidRPr="007C2DBE">
        <w:rPr>
          <w:rFonts w:cs="Times New Roman"/>
          <w:szCs w:val="24"/>
          <w:vertAlign w:val="subscript"/>
        </w:rPr>
        <w:t>cr</w:t>
      </w:r>
      <w:proofErr w:type="spellEnd"/>
      <w:r w:rsidRPr="007C2DBE">
        <w:rPr>
          <w:rFonts w:cs="Times New Roman"/>
          <w:szCs w:val="24"/>
        </w:rPr>
        <w:t>), which is the energy necessary to disperse a 1 mg/mL particle suspension in dH</w:t>
      </w:r>
      <w:r w:rsidRPr="007C2DBE">
        <w:rPr>
          <w:rFonts w:cs="Times New Roman"/>
          <w:szCs w:val="24"/>
          <w:vertAlign w:val="subscript"/>
        </w:rPr>
        <w:t>2</w:t>
      </w:r>
      <w:r w:rsidRPr="007C2DBE">
        <w:rPr>
          <w:rFonts w:cs="Times New Roman"/>
          <w:szCs w:val="24"/>
        </w:rPr>
        <w:t>O, for these particles was derived previously as 1066 J/mL for all thermoplastics.</w:t>
      </w:r>
      <w:r w:rsidR="005D58D9" w:rsidRPr="007C2DBE">
        <w:rPr>
          <w:rFonts w:cs="Times New Roman"/>
          <w:szCs w:val="24"/>
          <w:vertAlign w:val="superscript"/>
        </w:rPr>
        <w:t>41</w:t>
      </w:r>
      <w:r w:rsidRPr="007C2DBE">
        <w:rPr>
          <w:rFonts w:cs="Times New Roman"/>
          <w:szCs w:val="24"/>
        </w:rPr>
        <w:t xml:space="preserve"> Particle suspensions were sonicated at the appropriate frequency and duration to attain the </w:t>
      </w:r>
      <w:proofErr w:type="spellStart"/>
      <w:r w:rsidRPr="007C2DBE">
        <w:rPr>
          <w:rFonts w:cs="Times New Roman"/>
          <w:szCs w:val="24"/>
        </w:rPr>
        <w:t>DSE</w:t>
      </w:r>
      <w:r w:rsidRPr="007C2DBE">
        <w:rPr>
          <w:rFonts w:cs="Times New Roman"/>
          <w:szCs w:val="24"/>
          <w:vertAlign w:val="subscript"/>
        </w:rPr>
        <w:t>cr</w:t>
      </w:r>
      <w:proofErr w:type="spellEnd"/>
      <w:r w:rsidRPr="007C2DBE">
        <w:rPr>
          <w:rFonts w:cs="Times New Roman"/>
          <w:szCs w:val="24"/>
          <w:vertAlign w:val="subscript"/>
        </w:rPr>
        <w:t xml:space="preserve"> </w:t>
      </w:r>
      <w:r w:rsidRPr="007C2DBE">
        <w:rPr>
          <w:rFonts w:cs="Times New Roman"/>
          <w:szCs w:val="24"/>
        </w:rPr>
        <w:t xml:space="preserve">using a Cup Horn Sonicator (Sonics </w:t>
      </w:r>
      <w:proofErr w:type="spellStart"/>
      <w:r w:rsidRPr="007C2DBE">
        <w:rPr>
          <w:rFonts w:cs="Times New Roman"/>
          <w:szCs w:val="24"/>
        </w:rPr>
        <w:t>VibraCell</w:t>
      </w:r>
      <w:proofErr w:type="spellEnd"/>
      <w:r w:rsidRPr="007C2DBE">
        <w:rPr>
          <w:rFonts w:cs="Times New Roman"/>
          <w:szCs w:val="24"/>
        </w:rPr>
        <w:t xml:space="preserve"> VCX-750 with Cup-type Sonicator; Newton, CT) immediately prior to dilution to 0.1 mg/mL in dH</w:t>
      </w:r>
      <w:r w:rsidRPr="007C2DBE">
        <w:rPr>
          <w:rFonts w:cs="Times New Roman"/>
          <w:szCs w:val="24"/>
          <w:vertAlign w:val="subscript"/>
        </w:rPr>
        <w:t>2</w:t>
      </w:r>
      <w:r w:rsidRPr="007C2DBE">
        <w:rPr>
          <w:rFonts w:cs="Times New Roman"/>
          <w:szCs w:val="24"/>
        </w:rPr>
        <w:t xml:space="preserve">O or culture medium. A Zetasizer Nano ZS equipped with the 633 nm laser and </w:t>
      </w:r>
      <w:proofErr w:type="spellStart"/>
      <w:r w:rsidRPr="007C2DBE">
        <w:rPr>
          <w:rFonts w:cs="Times New Roman"/>
          <w:szCs w:val="24"/>
        </w:rPr>
        <w:t>DipCell</w:t>
      </w:r>
      <w:proofErr w:type="spellEnd"/>
      <w:r w:rsidRPr="007C2DBE">
        <w:rPr>
          <w:rFonts w:cs="Times New Roman"/>
          <w:szCs w:val="24"/>
        </w:rPr>
        <w:t xml:space="preserve"> for electrophoretic measurements (Malvern Instruments; Malvern, United Kingdom), were used to evaluate hydrodynamic diameter, zeta potential, and conductivity of particle suspensions. Suspension pH was measured with a standard pH meter (</w:t>
      </w:r>
      <w:proofErr w:type="spellStart"/>
      <w:r w:rsidRPr="007C2DBE">
        <w:rPr>
          <w:rFonts w:cs="Times New Roman"/>
          <w:szCs w:val="24"/>
        </w:rPr>
        <w:t>Accumet</w:t>
      </w:r>
      <w:proofErr w:type="spellEnd"/>
      <w:r w:rsidRPr="007C2DBE">
        <w:rPr>
          <w:rFonts w:cs="Times New Roman"/>
          <w:szCs w:val="24"/>
        </w:rPr>
        <w:t xml:space="preserve"> Model 50, Fisher Scientific).</w:t>
      </w:r>
    </w:p>
    <w:p w14:paraId="51E66FCB" w14:textId="1C2D0C11" w:rsidR="00FF11F0" w:rsidRPr="007C2DBE" w:rsidRDefault="00FF11F0" w:rsidP="00C03992">
      <w:pPr>
        <w:spacing w:line="480" w:lineRule="auto"/>
        <w:ind w:firstLine="720"/>
        <w:rPr>
          <w:rFonts w:cs="Times New Roman"/>
          <w:szCs w:val="24"/>
        </w:rPr>
      </w:pPr>
      <w:r w:rsidRPr="007C2DBE">
        <w:rPr>
          <w:rFonts w:cs="Times New Roman"/>
          <w:i/>
          <w:szCs w:val="24"/>
        </w:rPr>
        <w:t>Endotoxin Content</w:t>
      </w:r>
      <w:r w:rsidRPr="007C2DBE">
        <w:rPr>
          <w:rFonts w:cs="Times New Roman"/>
          <w:szCs w:val="24"/>
        </w:rPr>
        <w:t xml:space="preserve">. All thermoplastics were screened for endotoxin content at a suspension concentration of 10 µg/mL in autoclaved </w:t>
      </w:r>
      <w:proofErr w:type="gramStart"/>
      <w:r w:rsidRPr="007C2DBE">
        <w:rPr>
          <w:rFonts w:cs="Times New Roman"/>
          <w:szCs w:val="24"/>
        </w:rPr>
        <w:t>water, and</w:t>
      </w:r>
      <w:proofErr w:type="gramEnd"/>
      <w:r w:rsidRPr="007C2DBE">
        <w:rPr>
          <w:rFonts w:cs="Times New Roman"/>
          <w:szCs w:val="24"/>
        </w:rPr>
        <w:t xml:space="preserve"> were found to be below the detection limit of &lt; 0.01 EU/mL via the LAL chromogenic method (Pierce; A39553). In assessing endotoxin adsorption 10 µg/mL particle suspensions were spiked with 0.05 EU/mL, revealed in bound endotoxin ranging from 0% to 23% (Supplemental Figure S1), depending on the thermoplastic.</w:t>
      </w:r>
    </w:p>
    <w:p w14:paraId="105B906C" w14:textId="77777777" w:rsidR="00FF11F0" w:rsidRPr="007C2DBE" w:rsidRDefault="00FF11F0" w:rsidP="00C03992">
      <w:pPr>
        <w:spacing w:line="480" w:lineRule="auto"/>
        <w:rPr>
          <w:rFonts w:cs="Times New Roman"/>
          <w:szCs w:val="24"/>
        </w:rPr>
      </w:pPr>
    </w:p>
    <w:p w14:paraId="5E7CFD86" w14:textId="77777777" w:rsidR="008379F0" w:rsidRPr="007C2DBE" w:rsidRDefault="00FF11F0" w:rsidP="00C03992">
      <w:pPr>
        <w:spacing w:line="480" w:lineRule="auto"/>
        <w:rPr>
          <w:rFonts w:cs="Times New Roman"/>
          <w:szCs w:val="24"/>
        </w:rPr>
      </w:pPr>
      <w:r w:rsidRPr="007C2DBE">
        <w:rPr>
          <w:rFonts w:cs="Times New Roman"/>
          <w:szCs w:val="24"/>
        </w:rPr>
        <w:t>Cell Culture and Treatment</w:t>
      </w:r>
    </w:p>
    <w:p w14:paraId="1359BADD" w14:textId="77777777" w:rsidR="008379F0" w:rsidRPr="007C2DBE" w:rsidRDefault="008379F0" w:rsidP="00C03992">
      <w:pPr>
        <w:spacing w:line="480" w:lineRule="auto"/>
        <w:rPr>
          <w:rFonts w:cs="Times New Roman"/>
          <w:b/>
          <w:i/>
          <w:szCs w:val="24"/>
        </w:rPr>
      </w:pPr>
    </w:p>
    <w:p w14:paraId="23C03243" w14:textId="7C16D797" w:rsidR="00FF11F0" w:rsidRPr="007C2DBE" w:rsidRDefault="00FF11F0" w:rsidP="00C03992">
      <w:pPr>
        <w:spacing w:line="480" w:lineRule="auto"/>
        <w:rPr>
          <w:rFonts w:cs="Times New Roman"/>
          <w:b/>
          <w:i/>
          <w:szCs w:val="24"/>
        </w:rPr>
      </w:pPr>
      <w:r w:rsidRPr="007C2DBE">
        <w:rPr>
          <w:rFonts w:cs="Times New Roman"/>
          <w:szCs w:val="24"/>
        </w:rPr>
        <w:t xml:space="preserve">Human bronchial epithelial (Beas-2B) cells were purchased from ATCC (CRL-9609, Manassas, VA), and cultured in complete airway epithelial growth medium (AEGM) purchased from </w:t>
      </w:r>
      <w:proofErr w:type="spellStart"/>
      <w:r w:rsidRPr="007C2DBE">
        <w:rPr>
          <w:rFonts w:cs="Times New Roman"/>
          <w:szCs w:val="24"/>
        </w:rPr>
        <w:t>PromoCell</w:t>
      </w:r>
      <w:proofErr w:type="spellEnd"/>
      <w:r w:rsidRPr="007C2DBE">
        <w:rPr>
          <w:rFonts w:cs="Times New Roman"/>
          <w:szCs w:val="24"/>
        </w:rPr>
        <w:t xml:space="preserve">, GmbH (Heidelberg, Germany). Human primary small airway epithelial cells (pSAECs) were purchased from </w:t>
      </w:r>
      <w:proofErr w:type="spellStart"/>
      <w:r w:rsidRPr="007C2DBE">
        <w:rPr>
          <w:rFonts w:cs="Times New Roman"/>
          <w:szCs w:val="24"/>
        </w:rPr>
        <w:t>PromoCell</w:t>
      </w:r>
      <w:proofErr w:type="spellEnd"/>
      <w:r w:rsidRPr="007C2DBE">
        <w:rPr>
          <w:rFonts w:cs="Times New Roman"/>
          <w:szCs w:val="24"/>
        </w:rPr>
        <w:t xml:space="preserve"> and maintained in small airway epithelial growth medium (SAEGM) from the same vendor. When 70-80% confluent, cells were washed once with HEPES buffered saline prior to trypsinization. Trypsin was neutralized using soybean trypsin neutralization solution (</w:t>
      </w:r>
      <w:proofErr w:type="spellStart"/>
      <w:r w:rsidRPr="007C2DBE">
        <w:rPr>
          <w:rFonts w:cs="Times New Roman"/>
          <w:szCs w:val="24"/>
        </w:rPr>
        <w:t>PromoCell</w:t>
      </w:r>
      <w:proofErr w:type="spellEnd"/>
      <w:proofErr w:type="gramStart"/>
      <w:r w:rsidRPr="007C2DBE">
        <w:rPr>
          <w:rFonts w:cs="Times New Roman"/>
          <w:szCs w:val="24"/>
        </w:rPr>
        <w:t>), and</w:t>
      </w:r>
      <w:proofErr w:type="gramEnd"/>
      <w:r w:rsidRPr="007C2DBE">
        <w:rPr>
          <w:rFonts w:cs="Times New Roman"/>
          <w:szCs w:val="24"/>
        </w:rPr>
        <w:t xml:space="preserve"> separated from the cells by light centrifugation (220 x g, 3 minutes) before being counted (Invitrogen Countess, Fisher Scientific) and re-plated.</w:t>
      </w:r>
    </w:p>
    <w:p w14:paraId="1F550291" w14:textId="77777777" w:rsidR="00FF11F0" w:rsidRPr="007C2DBE" w:rsidRDefault="00FF11F0" w:rsidP="00C03992">
      <w:pPr>
        <w:spacing w:line="480" w:lineRule="auto"/>
        <w:rPr>
          <w:rFonts w:cs="Times New Roman"/>
          <w:szCs w:val="24"/>
        </w:rPr>
      </w:pPr>
      <w:r w:rsidRPr="007C2DBE">
        <w:rPr>
          <w:rFonts w:cs="Times New Roman"/>
          <w:szCs w:val="24"/>
        </w:rPr>
        <w:tab/>
        <w:t xml:space="preserve">Both cell types were seeded into microplates at </w:t>
      </w:r>
      <w:proofErr w:type="spellStart"/>
      <w:r w:rsidRPr="007C2DBE">
        <w:rPr>
          <w:rFonts w:cs="Times New Roman"/>
          <w:szCs w:val="24"/>
        </w:rPr>
        <w:t>subconfluency</w:t>
      </w:r>
      <w:proofErr w:type="spellEnd"/>
      <w:r w:rsidRPr="007C2DBE">
        <w:rPr>
          <w:rFonts w:cs="Times New Roman"/>
          <w:szCs w:val="24"/>
        </w:rPr>
        <w:t xml:space="preserve"> as described for individual assays below. The culture medium was aspirated and replaced with fresh pre-warmed medium containing treatment particle at designated delivered doses, calculated as described above. 1.0 mg/mL stock solutions of all test particles were sonicated to a dispersion energy of 1,066 J/mL immediately before dilution in growth medium. All dosing designations are reported as deposited dose (µg/cm</w:t>
      </w:r>
      <w:r w:rsidRPr="007C2DBE">
        <w:rPr>
          <w:rFonts w:cs="Times New Roman"/>
          <w:szCs w:val="24"/>
          <w:vertAlign w:val="superscript"/>
        </w:rPr>
        <w:t>2</w:t>
      </w:r>
      <w:r w:rsidRPr="007C2DBE">
        <w:rPr>
          <w:rFonts w:cs="Times New Roman"/>
          <w:szCs w:val="24"/>
        </w:rPr>
        <w:t>). For indicated experiments, cells were pre-incubated with named inhibitors: cytochalasin D (</w:t>
      </w:r>
      <w:proofErr w:type="spellStart"/>
      <w:r w:rsidRPr="007C2DBE">
        <w:rPr>
          <w:rFonts w:cs="Times New Roman"/>
          <w:szCs w:val="24"/>
        </w:rPr>
        <w:t>CytoD</w:t>
      </w:r>
      <w:proofErr w:type="spellEnd"/>
      <w:r w:rsidRPr="007C2DBE">
        <w:rPr>
          <w:rFonts w:cs="Times New Roman"/>
          <w:szCs w:val="24"/>
        </w:rPr>
        <w:t>; Millipore-Sigma), CH333191 (Millipore-Sigma; Cat. C8124), or alpha-</w:t>
      </w:r>
      <w:proofErr w:type="spellStart"/>
      <w:r w:rsidRPr="007C2DBE">
        <w:rPr>
          <w:rFonts w:cs="Times New Roman"/>
          <w:szCs w:val="24"/>
        </w:rPr>
        <w:t>naphoflavone</w:t>
      </w:r>
      <w:proofErr w:type="spellEnd"/>
      <w:r w:rsidRPr="007C2DBE">
        <w:rPr>
          <w:rFonts w:cs="Times New Roman"/>
          <w:szCs w:val="24"/>
        </w:rPr>
        <w:t xml:space="preserve"> (αNF; Millipore-Sigma), for one hour before the incinerated thermoplastic treatments, and continued for the duration of incinerated thermoplastic exposure.</w:t>
      </w:r>
    </w:p>
    <w:p w14:paraId="1B50406E" w14:textId="77777777" w:rsidR="00FF11F0" w:rsidRPr="007C2DBE" w:rsidRDefault="00FF11F0" w:rsidP="00C03992">
      <w:pPr>
        <w:spacing w:line="480" w:lineRule="auto"/>
        <w:rPr>
          <w:rFonts w:cs="Times New Roman"/>
          <w:szCs w:val="24"/>
        </w:rPr>
      </w:pPr>
    </w:p>
    <w:p w14:paraId="0409ECC9" w14:textId="77777777" w:rsidR="00B804D9" w:rsidRPr="007C2DBE" w:rsidRDefault="00FF11F0" w:rsidP="00C03992">
      <w:pPr>
        <w:spacing w:line="480" w:lineRule="auto"/>
        <w:rPr>
          <w:rFonts w:cs="Times New Roman"/>
          <w:szCs w:val="24"/>
        </w:rPr>
      </w:pPr>
      <w:r w:rsidRPr="007C2DBE">
        <w:rPr>
          <w:rFonts w:cs="Times New Roman"/>
          <w:szCs w:val="24"/>
        </w:rPr>
        <w:t>Microscopy</w:t>
      </w:r>
    </w:p>
    <w:p w14:paraId="6570ABDF" w14:textId="77777777" w:rsidR="00B804D9" w:rsidRPr="007C2DBE" w:rsidRDefault="00B804D9" w:rsidP="00C03992">
      <w:pPr>
        <w:spacing w:line="480" w:lineRule="auto"/>
        <w:rPr>
          <w:rFonts w:cs="Times New Roman"/>
          <w:szCs w:val="24"/>
        </w:rPr>
      </w:pPr>
    </w:p>
    <w:p w14:paraId="70C487F0" w14:textId="0BCD7E3D" w:rsidR="00FF11F0" w:rsidRPr="007C2DBE" w:rsidRDefault="00FF11F0" w:rsidP="00C03992">
      <w:pPr>
        <w:spacing w:line="480" w:lineRule="auto"/>
        <w:rPr>
          <w:rFonts w:cs="Times New Roman"/>
          <w:szCs w:val="24"/>
        </w:rPr>
      </w:pPr>
      <w:r w:rsidRPr="007C2DBE">
        <w:rPr>
          <w:rFonts w:cs="Times New Roman"/>
          <w:szCs w:val="24"/>
        </w:rPr>
        <w:t>To evaluate particle uptake in SAECs and Beas-2B cells, two methods of microscopic analysis were employed.</w:t>
      </w:r>
    </w:p>
    <w:p w14:paraId="3E9FE312" w14:textId="77777777" w:rsidR="00FF11F0" w:rsidRPr="007C2DBE" w:rsidRDefault="00FF11F0" w:rsidP="00C03992">
      <w:pPr>
        <w:spacing w:line="480" w:lineRule="auto"/>
        <w:ind w:firstLine="720"/>
        <w:rPr>
          <w:rFonts w:cs="Times New Roman"/>
          <w:szCs w:val="24"/>
        </w:rPr>
      </w:pPr>
      <w:r w:rsidRPr="007C2DBE">
        <w:rPr>
          <w:rFonts w:cs="Times New Roman"/>
          <w:i/>
          <w:szCs w:val="24"/>
        </w:rPr>
        <w:t>Enhanced Darkfield Microscopy</w:t>
      </w:r>
      <w:r w:rsidRPr="007C2DBE">
        <w:rPr>
          <w:rFonts w:cs="Times New Roman"/>
          <w:szCs w:val="24"/>
        </w:rPr>
        <w:t xml:space="preserve">. Cells were seeded onto round laser-cut glass coverslips (Schott, A.G.; Jena, Germany) within 6-well tissue culture-treated microplates at a density of 150,000 </w:t>
      </w:r>
      <w:r w:rsidRPr="007C2DBE">
        <w:rPr>
          <w:rFonts w:cs="Times New Roman"/>
          <w:szCs w:val="24"/>
        </w:rPr>
        <w:lastRenderedPageBreak/>
        <w:t>cells per well. Two days later, cells were treated with 0.6 µg/cm</w:t>
      </w:r>
      <w:r w:rsidRPr="007C2DBE">
        <w:rPr>
          <w:rFonts w:cs="Times New Roman"/>
          <w:szCs w:val="24"/>
          <w:vertAlign w:val="superscript"/>
        </w:rPr>
        <w:t>2</w:t>
      </w:r>
      <w:r w:rsidRPr="007C2DBE">
        <w:rPr>
          <w:rFonts w:cs="Times New Roman"/>
          <w:szCs w:val="24"/>
        </w:rPr>
        <w:t xml:space="preserve"> of each thermoplastic in complete medium for 48 hours, fixed in 4% formaldehyde in DPBS, and mounted on slides. Coverslips were then sealed and imaged at 60X using the </w:t>
      </w:r>
      <w:proofErr w:type="spellStart"/>
      <w:r w:rsidRPr="007C2DBE">
        <w:rPr>
          <w:rFonts w:cs="Times New Roman"/>
          <w:szCs w:val="24"/>
        </w:rPr>
        <w:t>CytoViva</w:t>
      </w:r>
      <w:proofErr w:type="spellEnd"/>
      <w:r w:rsidRPr="007C2DBE">
        <w:rPr>
          <w:rFonts w:cs="Times New Roman"/>
          <w:szCs w:val="24"/>
        </w:rPr>
        <w:t xml:space="preserve"> EDM system (</w:t>
      </w:r>
      <w:proofErr w:type="spellStart"/>
      <w:r w:rsidRPr="007C2DBE">
        <w:rPr>
          <w:rFonts w:cs="Times New Roman"/>
          <w:szCs w:val="24"/>
        </w:rPr>
        <w:t>CytoViva</w:t>
      </w:r>
      <w:proofErr w:type="spellEnd"/>
      <w:r w:rsidRPr="007C2DBE">
        <w:rPr>
          <w:rFonts w:cs="Times New Roman"/>
          <w:szCs w:val="24"/>
        </w:rPr>
        <w:t>, Inc.; Auburn, AL).</w:t>
      </w:r>
    </w:p>
    <w:p w14:paraId="16D6FE23" w14:textId="3C447B44" w:rsidR="00FF11F0" w:rsidRPr="007C2DBE" w:rsidRDefault="00FF11F0" w:rsidP="00C03992">
      <w:pPr>
        <w:spacing w:line="480" w:lineRule="auto"/>
        <w:ind w:firstLine="720"/>
        <w:rPr>
          <w:rFonts w:cs="Times New Roman"/>
          <w:szCs w:val="24"/>
        </w:rPr>
      </w:pPr>
      <w:r w:rsidRPr="007C2DBE">
        <w:rPr>
          <w:rFonts w:cs="Times New Roman"/>
          <w:i/>
          <w:szCs w:val="24"/>
        </w:rPr>
        <w:t>Electron Microscopy</w:t>
      </w:r>
      <w:r w:rsidRPr="007C2DBE">
        <w:rPr>
          <w:rFonts w:cs="Times New Roman"/>
          <w:szCs w:val="24"/>
        </w:rPr>
        <w:t>. For electron microscopy, cells were seeded at a density of 150,000 cells per well in tissue culture-treated 6-well microplates. Cells were then treated for 48 hours with 1.2 µg/cm</w:t>
      </w:r>
      <w:r w:rsidRPr="007C2DBE">
        <w:rPr>
          <w:rFonts w:cs="Times New Roman"/>
          <w:szCs w:val="24"/>
          <w:vertAlign w:val="superscript"/>
        </w:rPr>
        <w:t>2</w:t>
      </w:r>
      <w:r w:rsidRPr="007C2DBE">
        <w:rPr>
          <w:rFonts w:cs="Times New Roman"/>
          <w:szCs w:val="24"/>
        </w:rPr>
        <w:t xml:space="preserve"> incinerated thermoplastics, trypsinized with 0.25% Trypsin EDTA, washed twice with D-PBS, and fixed in </w:t>
      </w:r>
      <w:proofErr w:type="spellStart"/>
      <w:r w:rsidRPr="007C2DBE">
        <w:rPr>
          <w:rFonts w:cs="Times New Roman"/>
          <w:szCs w:val="24"/>
        </w:rPr>
        <w:t>Karnovsky’s</w:t>
      </w:r>
      <w:proofErr w:type="spellEnd"/>
      <w:r w:rsidRPr="007C2DBE">
        <w:rPr>
          <w:rFonts w:cs="Times New Roman"/>
          <w:szCs w:val="24"/>
        </w:rPr>
        <w:t xml:space="preserve"> fixative overnight as a single cell suspension. Pelleted cells were embedded in 4% agarose and returned to </w:t>
      </w:r>
      <w:proofErr w:type="spellStart"/>
      <w:r w:rsidRPr="007C2DBE">
        <w:rPr>
          <w:rFonts w:cs="Times New Roman"/>
          <w:szCs w:val="24"/>
        </w:rPr>
        <w:t>Karnovsky’s</w:t>
      </w:r>
      <w:proofErr w:type="spellEnd"/>
      <w:r w:rsidRPr="007C2DBE">
        <w:rPr>
          <w:rFonts w:cs="Times New Roman"/>
          <w:szCs w:val="24"/>
        </w:rPr>
        <w:t xml:space="preserve"> fixative overnight. After 3 buffer rinses, the cells were post-fixed in 1% osmium tetroxide, </w:t>
      </w:r>
      <w:r w:rsidR="008B457F" w:rsidRPr="007C2DBE">
        <w:rPr>
          <w:rFonts w:cs="Times New Roman"/>
          <w:szCs w:val="24"/>
        </w:rPr>
        <w:t xml:space="preserve">mordanted by </w:t>
      </w:r>
      <w:r w:rsidRPr="007C2DBE">
        <w:rPr>
          <w:rFonts w:cs="Times New Roman"/>
          <w:szCs w:val="24"/>
        </w:rPr>
        <w:t xml:space="preserve">1% tannic acid and </w:t>
      </w:r>
      <w:proofErr w:type="spellStart"/>
      <w:r w:rsidR="008B457F" w:rsidRPr="007C2DBE">
        <w:rPr>
          <w:rFonts w:cs="Times New Roman"/>
          <w:szCs w:val="24"/>
        </w:rPr>
        <w:t>en</w:t>
      </w:r>
      <w:proofErr w:type="spellEnd"/>
      <w:r w:rsidR="008B457F" w:rsidRPr="007C2DBE">
        <w:rPr>
          <w:rFonts w:cs="Times New Roman"/>
          <w:szCs w:val="24"/>
        </w:rPr>
        <w:t xml:space="preserve">-bloc stained with </w:t>
      </w:r>
      <w:r w:rsidRPr="007C2DBE">
        <w:rPr>
          <w:rFonts w:cs="Times New Roman"/>
          <w:szCs w:val="24"/>
        </w:rPr>
        <w:t xml:space="preserve">0.5% uranyl acetate. A graded series of ethanol (50, 70, 90 &amp; 100%) were used for dehydration. Propylene oxide served as an infiltrating agent before embedding in LX-112 </w:t>
      </w:r>
      <w:proofErr w:type="spellStart"/>
      <w:r w:rsidRPr="007C2DBE">
        <w:rPr>
          <w:rFonts w:cs="Times New Roman"/>
          <w:szCs w:val="24"/>
        </w:rPr>
        <w:t>epon</w:t>
      </w:r>
      <w:proofErr w:type="spellEnd"/>
      <w:r w:rsidRPr="007C2DBE">
        <w:rPr>
          <w:rFonts w:cs="Times New Roman"/>
          <w:szCs w:val="24"/>
        </w:rPr>
        <w:t>. Blocks were cut at 70 nm, and the ultra-thin sections were placed on 200 mesh copper grids. Grids were stained using 4% uranyl acetate (nuclear stain) and Reynold’s lead citrate (cytoplasmic stain). Samples were imaged using a JEOL 1400 (Tokyo, Japan).</w:t>
      </w:r>
    </w:p>
    <w:p w14:paraId="50E03AF6" w14:textId="0766CE0D" w:rsidR="00FF11F0" w:rsidRPr="007C2DBE" w:rsidRDefault="00FF11F0" w:rsidP="00C03992">
      <w:pPr>
        <w:spacing w:line="480" w:lineRule="auto"/>
        <w:ind w:firstLine="720"/>
        <w:rPr>
          <w:rFonts w:cs="Times New Roman"/>
          <w:szCs w:val="24"/>
        </w:rPr>
      </w:pPr>
      <w:r w:rsidRPr="007C2DBE">
        <w:rPr>
          <w:rFonts w:cs="Times New Roman"/>
          <w:szCs w:val="24"/>
        </w:rPr>
        <w:t xml:space="preserve">Particle only preparations were used to facilitate identification of endocytized </w:t>
      </w:r>
      <w:proofErr w:type="gramStart"/>
      <w:r w:rsidRPr="007C2DBE">
        <w:rPr>
          <w:rFonts w:cs="Times New Roman"/>
          <w:szCs w:val="24"/>
        </w:rPr>
        <w:t>particle, and</w:t>
      </w:r>
      <w:proofErr w:type="gramEnd"/>
      <w:r w:rsidRPr="007C2DBE">
        <w:rPr>
          <w:rFonts w:cs="Times New Roman"/>
          <w:szCs w:val="24"/>
        </w:rPr>
        <w:t xml:space="preserve"> were visualized using both SEM and TEM. For SEM, particles were diluted 1:10 in filtered distilled water. 0.5 ml of the particle solution was vacuumed filtered onto a </w:t>
      </w:r>
      <w:proofErr w:type="gramStart"/>
      <w:r w:rsidRPr="007C2DBE">
        <w:rPr>
          <w:rFonts w:cs="Times New Roman"/>
          <w:szCs w:val="24"/>
        </w:rPr>
        <w:t>0.2 micron</w:t>
      </w:r>
      <w:proofErr w:type="gramEnd"/>
      <w:r w:rsidRPr="007C2DBE">
        <w:rPr>
          <w:rFonts w:cs="Times New Roman"/>
          <w:szCs w:val="24"/>
        </w:rPr>
        <w:t xml:space="preserve"> polycarbonate Millipore filter. The sample was sputter coated with gold-palladium for 2 minutes. Particles were imaged using a Hitachi S4800 field-emission scanning electron microscope (Tokyo, Japan). Energy dispersive x-ray generated qualitative elemental analysis (Bruker Nano, Berlin, Germany). For TEM, particles were diluted 1:10 in filtered distilled water. Using a tuberculin syringe, one drop was placed on a formvar coated 200 mesh copper </w:t>
      </w:r>
      <w:proofErr w:type="gramStart"/>
      <w:r w:rsidRPr="007C2DBE">
        <w:rPr>
          <w:rFonts w:cs="Times New Roman"/>
          <w:szCs w:val="24"/>
        </w:rPr>
        <w:t>grid</w:t>
      </w:r>
      <w:r w:rsidR="008B457F" w:rsidRPr="007C2DBE">
        <w:rPr>
          <w:rFonts w:cs="Times New Roman"/>
          <w:szCs w:val="24"/>
        </w:rPr>
        <w:t>, and</w:t>
      </w:r>
      <w:proofErr w:type="gramEnd"/>
      <w:r w:rsidR="008B457F" w:rsidRPr="007C2DBE">
        <w:rPr>
          <w:rFonts w:cs="Times New Roman"/>
          <w:szCs w:val="24"/>
        </w:rPr>
        <w:t xml:space="preserve"> evaporated over night</w:t>
      </w:r>
      <w:r w:rsidRPr="007C2DBE">
        <w:rPr>
          <w:rFonts w:cs="Times New Roman"/>
          <w:szCs w:val="24"/>
        </w:rPr>
        <w:t>. The samples were imaged using a JEOL 1400 transmission electron microscope (Tokyo, Japan).</w:t>
      </w:r>
    </w:p>
    <w:p w14:paraId="3119264D" w14:textId="77777777" w:rsidR="00FF11F0" w:rsidRPr="007C2DBE" w:rsidRDefault="00FF11F0" w:rsidP="00C03992">
      <w:pPr>
        <w:spacing w:line="480" w:lineRule="auto"/>
        <w:rPr>
          <w:rFonts w:cs="Times New Roman"/>
          <w:szCs w:val="24"/>
        </w:rPr>
      </w:pPr>
    </w:p>
    <w:p w14:paraId="2CDF3410" w14:textId="2053B646" w:rsidR="00FF11F0" w:rsidRPr="007C2DBE" w:rsidRDefault="00FF11F0" w:rsidP="00C03992">
      <w:pPr>
        <w:spacing w:line="480" w:lineRule="auto"/>
        <w:rPr>
          <w:rFonts w:cs="Times New Roman"/>
          <w:szCs w:val="24"/>
        </w:rPr>
      </w:pPr>
      <w:r w:rsidRPr="007C2DBE">
        <w:rPr>
          <w:rFonts w:cs="Times New Roman"/>
          <w:szCs w:val="24"/>
        </w:rPr>
        <w:t>Toxicological Analyses</w:t>
      </w:r>
    </w:p>
    <w:p w14:paraId="09DD065C" w14:textId="77777777" w:rsidR="00FF11F0" w:rsidRPr="007C2DBE" w:rsidRDefault="00FF11F0" w:rsidP="00C03992">
      <w:pPr>
        <w:spacing w:line="480" w:lineRule="auto"/>
        <w:rPr>
          <w:rFonts w:cs="Times New Roman"/>
          <w:szCs w:val="24"/>
        </w:rPr>
      </w:pPr>
    </w:p>
    <w:p w14:paraId="7F49A1E7" w14:textId="40408421" w:rsidR="00FF11F0" w:rsidRPr="007C2DBE" w:rsidRDefault="00FF11F0" w:rsidP="00C03992">
      <w:pPr>
        <w:spacing w:line="480" w:lineRule="auto"/>
        <w:rPr>
          <w:rFonts w:cs="Times New Roman"/>
          <w:szCs w:val="24"/>
        </w:rPr>
      </w:pPr>
      <w:bookmarkStart w:id="1" w:name="_Hlk17644104"/>
      <w:r w:rsidRPr="007C2DBE">
        <w:rPr>
          <w:rFonts w:cs="Times New Roman"/>
          <w:i/>
          <w:szCs w:val="24"/>
        </w:rPr>
        <w:t>Cytotoxicity/Proliferation Assessment.</w:t>
      </w:r>
      <w:r w:rsidRPr="007C2DBE">
        <w:rPr>
          <w:rFonts w:cs="Times New Roman"/>
          <w:b/>
          <w:i/>
          <w:szCs w:val="24"/>
        </w:rPr>
        <w:t xml:space="preserve"> </w:t>
      </w:r>
      <w:r w:rsidRPr="007C2DBE">
        <w:rPr>
          <w:rFonts w:cs="Times New Roman"/>
          <w:szCs w:val="24"/>
        </w:rPr>
        <w:t xml:space="preserve">Five measures were employed to describe cytotoxicity and proliferative capacity: WST, LDH, clonogenic assay, live cell imaging, and mitochondrial membrane potential. Except for the clonogenic assay, Beas-2B and pSAECs were plated at a density of 5,000 cells and 2,500 cells per well, respectively, in 96-well microplates 2 days prior to exposure. For the </w:t>
      </w:r>
      <w:r w:rsidR="00B3598F" w:rsidRPr="007C2DBE">
        <w:rPr>
          <w:rFonts w:cs="Times New Roman"/>
          <w:szCs w:val="24"/>
        </w:rPr>
        <w:t>post-treatment proliferative capacity</w:t>
      </w:r>
      <w:r w:rsidRPr="007C2DBE">
        <w:rPr>
          <w:rFonts w:cs="Times New Roman"/>
          <w:szCs w:val="24"/>
        </w:rPr>
        <w:t xml:space="preserve">, cells were plated in 6-well microplates at a density of 50,000 cells per well 2 days prior to treatment. </w:t>
      </w:r>
      <w:r w:rsidR="00B804D9" w:rsidRPr="007C2DBE">
        <w:rPr>
          <w:rFonts w:cs="Times New Roman"/>
          <w:szCs w:val="24"/>
        </w:rPr>
        <w:t>Benzo[</w:t>
      </w:r>
      <w:r w:rsidRPr="007C2DBE">
        <w:rPr>
          <w:rFonts w:cs="Times New Roman"/>
          <w:szCs w:val="24"/>
        </w:rPr>
        <w:t xml:space="preserve">a]pyrene (0.5 µM) served as a PAH control and was purchased from Millipore-Sigma (Cat. 51968). All colorimetric endpoints were acquired using the </w:t>
      </w:r>
      <w:proofErr w:type="spellStart"/>
      <w:r w:rsidRPr="007C2DBE">
        <w:rPr>
          <w:rFonts w:cs="Times New Roman"/>
          <w:szCs w:val="24"/>
        </w:rPr>
        <w:t>SpectraMAX</w:t>
      </w:r>
      <w:proofErr w:type="spellEnd"/>
      <w:r w:rsidRPr="007C2DBE">
        <w:rPr>
          <w:rFonts w:cs="Times New Roman"/>
          <w:szCs w:val="24"/>
        </w:rPr>
        <w:t xml:space="preserve"> Plus 384 (Molecular Devices, Le Jolla, California) and the SoftMax Pro v. 5.4.1 data acquisition software.</w:t>
      </w:r>
    </w:p>
    <w:bookmarkEnd w:id="1"/>
    <w:p w14:paraId="46D51ABF" w14:textId="1FC9B53A" w:rsidR="00FF11F0" w:rsidRPr="007C2DBE" w:rsidRDefault="00F82845" w:rsidP="00C03992">
      <w:pPr>
        <w:spacing w:line="480" w:lineRule="auto"/>
        <w:ind w:firstLine="720"/>
        <w:rPr>
          <w:rFonts w:cs="Times New Roman"/>
          <w:szCs w:val="24"/>
        </w:rPr>
      </w:pPr>
      <w:r w:rsidRPr="007C2DBE">
        <w:rPr>
          <w:rFonts w:cs="Times New Roman"/>
          <w:i/>
          <w:szCs w:val="24"/>
        </w:rPr>
        <w:t>WST1</w:t>
      </w:r>
      <w:r w:rsidR="00FF11F0" w:rsidRPr="007C2DBE">
        <w:rPr>
          <w:rFonts w:cs="Times New Roman"/>
          <w:i/>
          <w:szCs w:val="24"/>
        </w:rPr>
        <w:t xml:space="preserve"> Tetrazolium Reduction</w:t>
      </w:r>
      <w:r w:rsidR="00FF11F0" w:rsidRPr="007C2DBE">
        <w:rPr>
          <w:rFonts w:cs="Times New Roman"/>
          <w:szCs w:val="24"/>
        </w:rPr>
        <w:t xml:space="preserve">. Cells were treated in growth medium for 24-48 hours prior to assessment with </w:t>
      </w:r>
      <w:r w:rsidRPr="007C2DBE">
        <w:rPr>
          <w:rFonts w:cs="Times New Roman"/>
          <w:szCs w:val="24"/>
        </w:rPr>
        <w:t>WST1</w:t>
      </w:r>
      <w:r w:rsidR="00FF11F0" w:rsidRPr="007C2DBE">
        <w:rPr>
          <w:rFonts w:cs="Times New Roman"/>
          <w:szCs w:val="24"/>
        </w:rPr>
        <w:t xml:space="preserve"> (Cat. 11644807001; Millipore-Sigma, St. Louis, MO). After incinerated thermoplastic exposure, well contents were gently mixed, the plate centrifuged at 1,000 x rpm at RT for 5 minutes to remove cell debris, and an aliquot of supernatant abstracted into a clean clear-bottom microplate for LDH assessment. The culture medium was replaced with fresh medium, and the </w:t>
      </w:r>
      <w:r w:rsidRPr="007C2DBE">
        <w:rPr>
          <w:rFonts w:cs="Times New Roman"/>
          <w:szCs w:val="24"/>
        </w:rPr>
        <w:t>WST1</w:t>
      </w:r>
      <w:r w:rsidR="00FF11F0" w:rsidRPr="007C2DBE">
        <w:rPr>
          <w:rFonts w:cs="Times New Roman"/>
          <w:szCs w:val="24"/>
        </w:rPr>
        <w:t xml:space="preserve"> was performed according to the manufacturer’s instruction with a 2-hour incubation period. </w:t>
      </w:r>
      <w:r w:rsidRPr="007C2DBE">
        <w:rPr>
          <w:rFonts w:cs="Times New Roman"/>
          <w:szCs w:val="24"/>
        </w:rPr>
        <w:t>WST1</w:t>
      </w:r>
      <w:r w:rsidR="00FF11F0" w:rsidRPr="007C2DBE">
        <w:rPr>
          <w:rFonts w:cs="Times New Roman"/>
          <w:szCs w:val="24"/>
        </w:rPr>
        <w:t xml:space="preserve"> formazan was quantitated at 450 nm with a reference wavelength of 650 nm. Treatment groups were normalized against medium-only controls, which were arbitrarily denoted as 1. Cells treated with 1% Triton X-100 accompanied all tests as a control for 100% cytotoxicity.</w:t>
      </w:r>
    </w:p>
    <w:p w14:paraId="786FE6BA" w14:textId="43F35A19" w:rsidR="00FF11F0" w:rsidRPr="007C2DBE" w:rsidRDefault="00FF11F0" w:rsidP="00C03992">
      <w:pPr>
        <w:spacing w:line="480" w:lineRule="auto"/>
        <w:ind w:firstLine="720"/>
        <w:rPr>
          <w:rFonts w:cs="Times New Roman"/>
          <w:szCs w:val="24"/>
        </w:rPr>
      </w:pPr>
      <w:r w:rsidRPr="007C2DBE">
        <w:rPr>
          <w:rFonts w:cs="Times New Roman"/>
          <w:i/>
          <w:szCs w:val="24"/>
        </w:rPr>
        <w:t>Lactate Dehydrogenase Activity</w:t>
      </w:r>
      <w:r w:rsidRPr="007C2DBE">
        <w:rPr>
          <w:rFonts w:cs="Times New Roman"/>
          <w:szCs w:val="24"/>
        </w:rPr>
        <w:t xml:space="preserve">. The LDH assay was performed according to manufacturer’s instructions (LDH Cytotoxicity Detection Kit; Cat. 11644793001; Millipore-Sigma), with a color development incubation of 25 minutes at room temperature. Results are presented as viability with non-treated controls designated as 100% and Triton X-100-treated controls (1% v/v for 2 hours) as 0%; LDH-reported cytotoxicity was assumed to be linearly within this range. To assess thermoplastic interference with the LDH assay, purified human LDH-A (Cat. SAE0049, Millipore-Sigma) was diluted </w:t>
      </w:r>
      <w:r w:rsidRPr="007C2DBE">
        <w:rPr>
          <w:rFonts w:cs="Times New Roman"/>
          <w:szCs w:val="24"/>
        </w:rPr>
        <w:lastRenderedPageBreak/>
        <w:t xml:space="preserve">to 2.5 </w:t>
      </w:r>
      <w:proofErr w:type="spellStart"/>
      <w:r w:rsidRPr="007C2DBE">
        <w:rPr>
          <w:rFonts w:cs="Times New Roman"/>
          <w:szCs w:val="24"/>
        </w:rPr>
        <w:t>mU</w:t>
      </w:r>
      <w:proofErr w:type="spellEnd"/>
      <w:r w:rsidRPr="007C2DBE">
        <w:rPr>
          <w:rFonts w:cs="Times New Roman"/>
          <w:szCs w:val="24"/>
        </w:rPr>
        <w:t xml:space="preserve">/mL in the presence of graded concentrations of each thermoplastic in 96-well TCT microplates. After a 24-hour incubation, LDH was assessed analogously to samples of treated Beas-2B or pSAECs. As is routinely problematic for nanoparticles, all incinerated thermoplastics were found to interfere with the method for assessing LDH activity, as indicated by direct analyte interference testing using purified LDH (Supplemental Figure). Within the tested range, LDH interference was approximately linear in relation to dose. Hence, the LDH results were adjusted proportionally based on linear regression derived from individual thermoplastic concentration-LDH activity interference values, thus yielding an adjusted cytotoxicity value. The data are presented as percent inhibition compared to the LDH standard 2.5 </w:t>
      </w:r>
      <w:proofErr w:type="spellStart"/>
      <w:r w:rsidRPr="007C2DBE">
        <w:rPr>
          <w:rFonts w:cs="Times New Roman"/>
          <w:szCs w:val="24"/>
        </w:rPr>
        <w:t>mU</w:t>
      </w:r>
      <w:proofErr w:type="spellEnd"/>
      <w:r w:rsidRPr="007C2DBE">
        <w:rPr>
          <w:rFonts w:cs="Times New Roman"/>
          <w:szCs w:val="24"/>
        </w:rPr>
        <w:t>/mL LDH arbitrarily designated as the 0% inhibition value; all other samples were proportionally normalized to the LDH-only standard.</w:t>
      </w:r>
    </w:p>
    <w:p w14:paraId="77F36980" w14:textId="3D9DAEDB" w:rsidR="001708DD" w:rsidRPr="007C2DBE" w:rsidRDefault="007517B5" w:rsidP="00C03992">
      <w:pPr>
        <w:spacing w:line="480" w:lineRule="auto"/>
        <w:ind w:firstLine="720"/>
        <w:rPr>
          <w:rFonts w:cs="Times New Roman"/>
          <w:szCs w:val="24"/>
        </w:rPr>
      </w:pPr>
      <w:bookmarkStart w:id="2" w:name="_Hlk17644083"/>
      <w:r w:rsidRPr="007C2DBE">
        <w:rPr>
          <w:rFonts w:cs="Times New Roman"/>
          <w:i/>
          <w:szCs w:val="24"/>
        </w:rPr>
        <w:t>Post-treatment proliferative Capacity</w:t>
      </w:r>
      <w:r w:rsidR="00FF11F0" w:rsidRPr="007C2DBE">
        <w:rPr>
          <w:rFonts w:cs="Times New Roman"/>
          <w:szCs w:val="24"/>
        </w:rPr>
        <w:t>. Beas-2B cells were plated in 6-well plates at a density of 50,000 cells per well. After two days, cells were treated with thermoplastics for 3 days, the cells washed once with DPBS, and then treated for an additional two days prior to trypsinization and replating</w:t>
      </w:r>
      <w:r w:rsidR="001708DD" w:rsidRPr="007C2DBE">
        <w:rPr>
          <w:rFonts w:cs="Times New Roman"/>
          <w:szCs w:val="24"/>
        </w:rPr>
        <w:t xml:space="preserve"> in 96-well microplates at a density of 1,000 cells/well to quantitate doubling time. </w:t>
      </w:r>
      <w:r w:rsidR="009C6DC5" w:rsidRPr="007C2DBE">
        <w:rPr>
          <w:rFonts w:cs="Times New Roman"/>
          <w:szCs w:val="24"/>
        </w:rPr>
        <w:t>Beas-2Bs</w:t>
      </w:r>
      <w:r w:rsidR="001708DD" w:rsidRPr="007C2DBE">
        <w:rPr>
          <w:rFonts w:cs="Times New Roman"/>
          <w:szCs w:val="24"/>
        </w:rPr>
        <w:t xml:space="preserve"> were analyzed for proliferation via </w:t>
      </w:r>
      <w:r w:rsidR="00F82845" w:rsidRPr="007C2DBE">
        <w:rPr>
          <w:rFonts w:cs="Times New Roman"/>
          <w:szCs w:val="24"/>
        </w:rPr>
        <w:t>WST1</w:t>
      </w:r>
      <w:r w:rsidR="001708DD" w:rsidRPr="007C2DBE">
        <w:rPr>
          <w:rFonts w:cs="Times New Roman"/>
          <w:szCs w:val="24"/>
        </w:rPr>
        <w:t xml:space="preserve"> at 2 hours post-plating, and every 24 hours thereafter for 5 days</w:t>
      </w:r>
      <w:r w:rsidR="009C6DC5" w:rsidRPr="007C2DBE">
        <w:rPr>
          <w:rFonts w:cs="Times New Roman"/>
          <w:szCs w:val="24"/>
        </w:rPr>
        <w:t xml:space="preserve">. </w:t>
      </w:r>
      <w:r w:rsidR="000811A4" w:rsidRPr="007C2DBE">
        <w:rPr>
          <w:rFonts w:cs="Times New Roman"/>
          <w:szCs w:val="24"/>
        </w:rPr>
        <w:t>Blanked</w:t>
      </w:r>
      <w:r w:rsidR="009C6DC5" w:rsidRPr="007C2DBE">
        <w:rPr>
          <w:rFonts w:cs="Times New Roman"/>
          <w:szCs w:val="24"/>
        </w:rPr>
        <w:t xml:space="preserve"> </w:t>
      </w:r>
      <w:r w:rsidR="00F82845" w:rsidRPr="007C2DBE">
        <w:rPr>
          <w:rFonts w:cs="Times New Roman"/>
          <w:szCs w:val="24"/>
        </w:rPr>
        <w:t>WST1</w:t>
      </w:r>
      <w:r w:rsidR="009C6DC5" w:rsidRPr="007C2DBE">
        <w:rPr>
          <w:rFonts w:cs="Times New Roman"/>
          <w:szCs w:val="24"/>
        </w:rPr>
        <w:t xml:space="preserve"> </w:t>
      </w:r>
      <w:r w:rsidR="000811A4" w:rsidRPr="007C2DBE">
        <w:rPr>
          <w:rFonts w:cs="Times New Roman"/>
          <w:szCs w:val="24"/>
        </w:rPr>
        <w:t xml:space="preserve">absorbance </w:t>
      </w:r>
      <w:r w:rsidR="009C6DC5" w:rsidRPr="007C2DBE">
        <w:rPr>
          <w:rFonts w:cs="Times New Roman"/>
          <w:szCs w:val="24"/>
        </w:rPr>
        <w:t>values were then used to derive doubling time using the package “</w:t>
      </w:r>
      <w:proofErr w:type="spellStart"/>
      <w:r w:rsidR="009C6DC5" w:rsidRPr="007C2DBE">
        <w:rPr>
          <w:rFonts w:cs="Times New Roman"/>
          <w:szCs w:val="24"/>
        </w:rPr>
        <w:t>growthcurves</w:t>
      </w:r>
      <w:proofErr w:type="spellEnd"/>
      <w:r w:rsidR="009C6DC5" w:rsidRPr="007C2DBE">
        <w:rPr>
          <w:rFonts w:cs="Times New Roman"/>
          <w:szCs w:val="24"/>
        </w:rPr>
        <w:t>” in R.</w:t>
      </w:r>
    </w:p>
    <w:p w14:paraId="50233E1F" w14:textId="542A1D9A" w:rsidR="00FF11F0" w:rsidRPr="007C2DBE" w:rsidRDefault="001708DD" w:rsidP="00C03992">
      <w:pPr>
        <w:spacing w:line="480" w:lineRule="auto"/>
        <w:ind w:firstLine="720"/>
        <w:rPr>
          <w:rFonts w:cs="Times New Roman"/>
          <w:szCs w:val="24"/>
        </w:rPr>
      </w:pPr>
      <w:r w:rsidRPr="007C2DBE">
        <w:rPr>
          <w:rFonts w:cs="Times New Roman"/>
          <w:i/>
          <w:szCs w:val="24"/>
        </w:rPr>
        <w:t>Clonogenic Assay</w:t>
      </w:r>
      <w:r w:rsidRPr="007C2DBE">
        <w:rPr>
          <w:rFonts w:cs="Times New Roman"/>
          <w:szCs w:val="24"/>
        </w:rPr>
        <w:t xml:space="preserve">. </w:t>
      </w:r>
      <w:r w:rsidR="00655BB0" w:rsidRPr="007C2DBE">
        <w:rPr>
          <w:rFonts w:cs="Times New Roman"/>
          <w:szCs w:val="24"/>
        </w:rPr>
        <w:t xml:space="preserve">Beas-2B cells were plated </w:t>
      </w:r>
      <w:r w:rsidR="00FF11F0" w:rsidRPr="007C2DBE">
        <w:rPr>
          <w:rFonts w:cs="Times New Roman"/>
          <w:szCs w:val="24"/>
        </w:rPr>
        <w:t>in 6 well plates at an initial density of 300 cells per well</w:t>
      </w:r>
      <w:r w:rsidR="00F03B4C" w:rsidRPr="007C2DBE">
        <w:rPr>
          <w:rFonts w:cs="Times New Roman"/>
          <w:szCs w:val="24"/>
        </w:rPr>
        <w:t>.</w:t>
      </w:r>
      <w:r w:rsidR="00F03B4C" w:rsidRPr="007C2DBE">
        <w:rPr>
          <w:rFonts w:cs="Times New Roman"/>
          <w:szCs w:val="24"/>
          <w:vertAlign w:val="superscript"/>
        </w:rPr>
        <w:t>91</w:t>
      </w:r>
      <w:r w:rsidR="00FF11F0" w:rsidRPr="007C2DBE">
        <w:rPr>
          <w:rFonts w:cs="Times New Roman"/>
          <w:szCs w:val="24"/>
        </w:rPr>
        <w:t xml:space="preserve"> Between </w:t>
      </w:r>
      <w:r w:rsidRPr="007C2DBE">
        <w:rPr>
          <w:rFonts w:cs="Times New Roman"/>
          <w:szCs w:val="24"/>
        </w:rPr>
        <w:t>6- and 8-hours</w:t>
      </w:r>
      <w:r w:rsidR="00FF11F0" w:rsidRPr="007C2DBE">
        <w:rPr>
          <w:rFonts w:cs="Times New Roman"/>
          <w:szCs w:val="24"/>
        </w:rPr>
        <w:t xml:space="preserve"> post-plating, the medium was removed and replaced with incinerated thermoplastic-containing AEGM. 0.5 µM </w:t>
      </w:r>
      <w:r w:rsidR="00EE1276" w:rsidRPr="007C2DBE">
        <w:rPr>
          <w:rFonts w:cs="Times New Roman"/>
          <w:szCs w:val="24"/>
        </w:rPr>
        <w:t>B[a]</w:t>
      </w:r>
      <w:r w:rsidR="00FF11F0" w:rsidRPr="007C2DBE">
        <w:rPr>
          <w:rFonts w:cs="Times New Roman"/>
          <w:szCs w:val="24"/>
        </w:rPr>
        <w:t xml:space="preserve">P or DMSO vehicle-treated Beas-2B cells accompanied thermoplastic treatments. The cells were gently washed once with growth medium on day </w:t>
      </w:r>
      <w:r w:rsidRPr="007C2DBE">
        <w:rPr>
          <w:rFonts w:cs="Times New Roman"/>
          <w:szCs w:val="24"/>
        </w:rPr>
        <w:t>three and</w:t>
      </w:r>
      <w:r w:rsidR="00FF11F0" w:rsidRPr="007C2DBE">
        <w:rPr>
          <w:rFonts w:cs="Times New Roman"/>
          <w:szCs w:val="24"/>
        </w:rPr>
        <w:t xml:space="preserve"> fed with fresh medium for an additional 7-10 days, or until individual colonies were apparent. Thereupon, the cells were fixed with 4% paraformaldehyde for 15 minutes, and stained with 0.5% w/v crystal violet, followed by dH</w:t>
      </w:r>
      <w:r w:rsidR="00FF11F0" w:rsidRPr="007C2DBE">
        <w:rPr>
          <w:rFonts w:cs="Times New Roman"/>
          <w:szCs w:val="24"/>
          <w:vertAlign w:val="subscript"/>
        </w:rPr>
        <w:t>2</w:t>
      </w:r>
      <w:r w:rsidR="00FF11F0" w:rsidRPr="007C2DBE">
        <w:rPr>
          <w:rFonts w:cs="Times New Roman"/>
          <w:szCs w:val="24"/>
        </w:rPr>
        <w:t xml:space="preserve">O </w:t>
      </w:r>
      <w:proofErr w:type="spellStart"/>
      <w:r w:rsidR="00FF11F0" w:rsidRPr="007C2DBE">
        <w:rPr>
          <w:rFonts w:cs="Times New Roman"/>
          <w:szCs w:val="24"/>
        </w:rPr>
        <w:t>destaining</w:t>
      </w:r>
      <w:proofErr w:type="spellEnd"/>
      <w:r w:rsidR="00FF11F0" w:rsidRPr="007C2DBE">
        <w:rPr>
          <w:rFonts w:cs="Times New Roman"/>
          <w:szCs w:val="24"/>
        </w:rPr>
        <w:t xml:space="preserve"> and imaging.</w:t>
      </w:r>
    </w:p>
    <w:bookmarkEnd w:id="2"/>
    <w:p w14:paraId="73131761" w14:textId="77777777" w:rsidR="00FF11F0" w:rsidRPr="007C2DBE" w:rsidRDefault="00FF11F0" w:rsidP="00C03992">
      <w:pPr>
        <w:spacing w:line="480" w:lineRule="auto"/>
        <w:ind w:firstLine="720"/>
        <w:rPr>
          <w:rFonts w:cs="Times New Roman"/>
          <w:szCs w:val="24"/>
        </w:rPr>
      </w:pPr>
      <w:r w:rsidRPr="007C2DBE">
        <w:rPr>
          <w:rFonts w:cs="Times New Roman"/>
          <w:i/>
          <w:szCs w:val="24"/>
        </w:rPr>
        <w:t xml:space="preserve">Live Cell Imaging - </w:t>
      </w:r>
      <w:r w:rsidRPr="007C2DBE">
        <w:rPr>
          <w:rFonts w:cs="Times New Roman"/>
          <w:szCs w:val="24"/>
        </w:rPr>
        <w:t xml:space="preserve">Propidium iodide (PI) is known to be excluded from membrane-intact </w:t>
      </w:r>
      <w:r w:rsidR="00004A5C" w:rsidRPr="007C2DBE">
        <w:rPr>
          <w:rFonts w:cs="Times New Roman"/>
          <w:szCs w:val="24"/>
        </w:rPr>
        <w:t>cells and</w:t>
      </w:r>
      <w:r w:rsidRPr="007C2DBE">
        <w:rPr>
          <w:rFonts w:cs="Times New Roman"/>
          <w:szCs w:val="24"/>
        </w:rPr>
        <w:t xml:space="preserve"> was</w:t>
      </w:r>
      <w:r w:rsidR="00004A5C" w:rsidRPr="007C2DBE">
        <w:rPr>
          <w:rFonts w:cs="Times New Roman"/>
          <w:szCs w:val="24"/>
        </w:rPr>
        <w:t>,</w:t>
      </w:r>
      <w:r w:rsidRPr="007C2DBE">
        <w:rPr>
          <w:rFonts w:cs="Times New Roman"/>
          <w:szCs w:val="24"/>
        </w:rPr>
        <w:t xml:space="preserve"> therefore</w:t>
      </w:r>
      <w:r w:rsidR="00004A5C" w:rsidRPr="007C2DBE">
        <w:rPr>
          <w:rFonts w:cs="Times New Roman"/>
          <w:szCs w:val="24"/>
        </w:rPr>
        <w:t>,</w:t>
      </w:r>
      <w:r w:rsidRPr="007C2DBE">
        <w:rPr>
          <w:rFonts w:cs="Times New Roman"/>
          <w:szCs w:val="24"/>
        </w:rPr>
        <w:t xml:space="preserve"> used in combination with raw cell counts as a proxy for cellular cytotoxicity. </w:t>
      </w:r>
      <w:r w:rsidR="00FF2F4A" w:rsidRPr="007C2DBE">
        <w:rPr>
          <w:rFonts w:cs="Times New Roman"/>
          <w:szCs w:val="24"/>
        </w:rPr>
        <w:t>After</w:t>
      </w:r>
      <w:r w:rsidRPr="007C2DBE">
        <w:rPr>
          <w:rFonts w:cs="Times New Roman"/>
          <w:szCs w:val="24"/>
        </w:rPr>
        <w:t xml:space="preserve"> </w:t>
      </w:r>
      <w:r w:rsidRPr="007C2DBE">
        <w:rPr>
          <w:rFonts w:cs="Times New Roman"/>
          <w:szCs w:val="24"/>
        </w:rPr>
        <w:lastRenderedPageBreak/>
        <w:t>exposure</w:t>
      </w:r>
      <w:r w:rsidR="00FF2F4A" w:rsidRPr="007C2DBE">
        <w:rPr>
          <w:rFonts w:cs="Times New Roman"/>
          <w:szCs w:val="24"/>
        </w:rPr>
        <w:t>,</w:t>
      </w:r>
      <w:r w:rsidRPr="007C2DBE">
        <w:rPr>
          <w:rFonts w:cs="Times New Roman"/>
          <w:szCs w:val="24"/>
        </w:rPr>
        <w:t xml:space="preserve"> thermoplastic-containing medium was aspirated and replaced with fresh medium supplemented with 1 µM Hoechst 33342 (Thermo Fisher) and 5 µg/mL PI (Thermo Fisher) and imaged using the </w:t>
      </w:r>
      <w:proofErr w:type="spellStart"/>
      <w:r w:rsidRPr="007C2DBE">
        <w:rPr>
          <w:rFonts w:cs="Times New Roman"/>
          <w:szCs w:val="24"/>
        </w:rPr>
        <w:t>ImageXPress</w:t>
      </w:r>
      <w:proofErr w:type="spellEnd"/>
      <w:r w:rsidRPr="007C2DBE">
        <w:rPr>
          <w:rFonts w:cs="Times New Roman"/>
          <w:szCs w:val="24"/>
        </w:rPr>
        <w:t xml:space="preserve"> Micro XLS. Hoechst 33342-reported cell number for each treatment group was normalized against untreated controls, and the remaining population was dichotomously assigned viable (PI-) or dead (PI+) based on Triton X-100-treated cells as intensity-based gating controls for PI positivity scoring. Nuclei were visualized using a standard DAPI filter set, while necrotic cells were visualized using a standard Cy5 filter set. The integrated viability estimate adjusted for cell number (PI+-CN) captures lytic cytotoxicity as well as reduction in proliferation. Results are expressed as percent PI+-CN viable cells.</w:t>
      </w:r>
    </w:p>
    <w:p w14:paraId="3E74E890" w14:textId="77777777" w:rsidR="00FF11F0" w:rsidRPr="007C2DBE" w:rsidRDefault="00FF11F0" w:rsidP="00C03992">
      <w:pPr>
        <w:spacing w:line="480" w:lineRule="auto"/>
        <w:ind w:firstLine="720"/>
        <w:rPr>
          <w:rFonts w:cs="Times New Roman"/>
          <w:szCs w:val="24"/>
        </w:rPr>
      </w:pPr>
      <w:r w:rsidRPr="007C2DBE">
        <w:rPr>
          <w:rFonts w:cs="Times New Roman"/>
          <w:i/>
          <w:szCs w:val="24"/>
        </w:rPr>
        <w:t>Mitochondrial Membrane Potential (ΔΨm)</w:t>
      </w:r>
      <w:r w:rsidRPr="007C2DBE">
        <w:rPr>
          <w:rFonts w:cs="Times New Roman"/>
          <w:szCs w:val="24"/>
        </w:rPr>
        <w:t xml:space="preserve">. ΔΨm was assessed ratiometrically using JC-1 (Cat. T3168, </w:t>
      </w:r>
      <w:proofErr w:type="spellStart"/>
      <w:r w:rsidRPr="007C2DBE">
        <w:rPr>
          <w:rFonts w:cs="Times New Roman"/>
          <w:szCs w:val="24"/>
        </w:rPr>
        <w:t>ThermoFisher</w:t>
      </w:r>
      <w:proofErr w:type="spellEnd"/>
      <w:r w:rsidRPr="007C2DBE">
        <w:rPr>
          <w:rFonts w:cs="Times New Roman"/>
          <w:szCs w:val="24"/>
        </w:rPr>
        <w:t xml:space="preserve"> Scientific). Beas-2B or pSAECs were plated in clear-bottom, black-walled 96-well microplates, and cultured until 80% confluent prior to treatment with incinerated thermoplastics. After 24-hour treatments, growth medium was replaced with fresh medium containing 1 µg/mL of JC-1 and 1 µM Hoechst 33342. Cells were incubated for 15 minutes under standard culture conditions, then washed twice with fresh, pre-warmed growth media, and subsequently held in 100 µL of fresh growth medium until assessment. As a positive control for ΔΨm dissipation, cells were treated with 10 µM valinomycin for 30 minutes immediately after JC-1 staining. J-aggregates and monomers of JC-1 were quantitated at excitation/emission wavelength sets of 535/590 nm and 485/530 nm, respectively. Data were acquired using the SoftMax Pro v. 6.2.1 data reduction software. For verification using the </w:t>
      </w:r>
      <w:proofErr w:type="spellStart"/>
      <w:r w:rsidRPr="007C2DBE">
        <w:rPr>
          <w:rFonts w:cs="Times New Roman"/>
          <w:szCs w:val="24"/>
        </w:rPr>
        <w:t>ImageXPress</w:t>
      </w:r>
      <w:proofErr w:type="spellEnd"/>
      <w:r w:rsidRPr="007C2DBE">
        <w:rPr>
          <w:rFonts w:cs="Times New Roman"/>
          <w:szCs w:val="24"/>
        </w:rPr>
        <w:t xml:space="preserve"> Micro XLS, nuclei were visualized using a standard DAPI filter set, while J-aggregates and monomers were visualized using TRITC and FITC filters, respectively.</w:t>
      </w:r>
    </w:p>
    <w:p w14:paraId="260AADC3" w14:textId="3CF6F193" w:rsidR="00FF11F0" w:rsidRPr="007C2DBE" w:rsidRDefault="00FF11F0" w:rsidP="00C03992">
      <w:pPr>
        <w:spacing w:line="480" w:lineRule="auto"/>
        <w:ind w:firstLine="720"/>
        <w:rPr>
          <w:rFonts w:cs="Times New Roman"/>
          <w:szCs w:val="24"/>
        </w:rPr>
      </w:pPr>
      <w:r w:rsidRPr="007C2DBE">
        <w:rPr>
          <w:rFonts w:cs="Times New Roman"/>
          <w:i/>
          <w:szCs w:val="24"/>
        </w:rPr>
        <w:t>Proliferation and Nuclear Morphometry</w:t>
      </w:r>
      <w:r w:rsidRPr="007C2DBE">
        <w:rPr>
          <w:rFonts w:cs="Times New Roman"/>
          <w:szCs w:val="24"/>
        </w:rPr>
        <w:t>. EdU incorporation in actively proliferating cells</w:t>
      </w:r>
      <w:r w:rsidR="00732ECF" w:rsidRPr="007C2DBE">
        <w:rPr>
          <w:rFonts w:cs="Times New Roman"/>
          <w:szCs w:val="24"/>
          <w:vertAlign w:val="superscript"/>
        </w:rPr>
        <w:t>92</w:t>
      </w:r>
      <w:r w:rsidRPr="007C2DBE">
        <w:rPr>
          <w:rFonts w:cs="Times New Roman"/>
          <w:szCs w:val="24"/>
        </w:rPr>
        <w:t xml:space="preserve"> was performed using the Click-It EdU 647 Imaging Kit according to manufacturer’s instructions (</w:t>
      </w:r>
      <w:proofErr w:type="spellStart"/>
      <w:r w:rsidRPr="007C2DBE">
        <w:rPr>
          <w:rFonts w:cs="Times New Roman"/>
          <w:szCs w:val="24"/>
        </w:rPr>
        <w:t>ThermoFisher</w:t>
      </w:r>
      <w:proofErr w:type="spellEnd"/>
      <w:r w:rsidRPr="007C2DBE">
        <w:rPr>
          <w:rFonts w:cs="Times New Roman"/>
          <w:szCs w:val="24"/>
        </w:rPr>
        <w:t xml:space="preserve"> Scientific). Briefly, Beas-2B cells or pSAECs were plated at 2,500 cells per well in 96 well plates 2 days prior to exposure. Cells were then treated with incinerated thermoplastics for 24 hours </w:t>
      </w:r>
      <w:r w:rsidRPr="007C2DBE">
        <w:rPr>
          <w:rFonts w:cs="Times New Roman"/>
          <w:szCs w:val="24"/>
        </w:rPr>
        <w:lastRenderedPageBreak/>
        <w:t xml:space="preserve">prior to incubation with 10 µM of EdU reagent in fresh complete culture medium for 60 minutes. Thereafter, the cells were fixed in 4% paraformaldehyde and permeabilized with 0.25% v/v Triton X-100 for 15 minutes each at RT, followed by EdU detection with an Alexa 647-conjugated azide as per manufacturer’s instructions (Thermo-Fisher; Cat.: C10419). The cells were then washed three times with D-PBS containing 1% w/v </w:t>
      </w:r>
      <w:r w:rsidR="001708DD" w:rsidRPr="007C2DBE">
        <w:rPr>
          <w:rFonts w:cs="Times New Roman"/>
          <w:szCs w:val="24"/>
        </w:rPr>
        <w:t>BSA and</w:t>
      </w:r>
      <w:r w:rsidRPr="007C2DBE">
        <w:rPr>
          <w:rFonts w:cs="Times New Roman"/>
          <w:szCs w:val="24"/>
        </w:rPr>
        <w:t xml:space="preserve"> probed for phospho-Histone H3 (1:400) and Ki-67 (1:400) in 1% BSA in D-PBS for 1 hour. Phospho-Histone H3 and Ki-67 were then respectively labeled with Alexa-555- and Alexa-488-conjugated F(ab’)</w:t>
      </w:r>
      <w:r w:rsidRPr="007C2DBE">
        <w:rPr>
          <w:rFonts w:cs="Times New Roman"/>
          <w:szCs w:val="24"/>
          <w:vertAlign w:val="subscript"/>
        </w:rPr>
        <w:t>2</w:t>
      </w:r>
      <w:r w:rsidRPr="007C2DBE">
        <w:rPr>
          <w:rFonts w:cs="Times New Roman"/>
          <w:szCs w:val="24"/>
        </w:rPr>
        <w:t xml:space="preserve"> secondary antibodies at concentrations of 1:1000 in 1% BSA-containing D-PBS; nuclei were counterstained with 1 µM Hoechst 33342 in D-PBS. Images were acquired at 20X using the </w:t>
      </w:r>
      <w:proofErr w:type="spellStart"/>
      <w:r w:rsidRPr="007C2DBE">
        <w:rPr>
          <w:rFonts w:cs="Times New Roman"/>
          <w:szCs w:val="24"/>
        </w:rPr>
        <w:t>ImageXPress</w:t>
      </w:r>
      <w:proofErr w:type="spellEnd"/>
      <w:r w:rsidRPr="007C2DBE">
        <w:rPr>
          <w:rFonts w:cs="Times New Roman"/>
          <w:szCs w:val="24"/>
        </w:rPr>
        <w:t xml:space="preserve"> HCS imager. An identification mask was overlaid onto each nucleus, and morphometric parameters, including (p)-Histone H3, EdU, and Ki-67 positivity, nuclear area, nuclear Hoechst 33342 intensity, and EdU intensity were quantitated using the </w:t>
      </w:r>
      <w:proofErr w:type="spellStart"/>
      <w:r w:rsidRPr="007C2DBE">
        <w:rPr>
          <w:rFonts w:cs="Times New Roman"/>
          <w:szCs w:val="24"/>
        </w:rPr>
        <w:t>MetaXPress</w:t>
      </w:r>
      <w:proofErr w:type="spellEnd"/>
      <w:r w:rsidRPr="007C2DBE">
        <w:rPr>
          <w:rFonts w:cs="Times New Roman"/>
          <w:szCs w:val="24"/>
        </w:rPr>
        <w:t xml:space="preserve"> v.6 Software (Molecular Devices) prior to single-cell analysis in R. Cell cycle designations were assessed via a label-free method similar to analyses by flow cytometry</w:t>
      </w:r>
      <w:r w:rsidR="00F03B4C" w:rsidRPr="007C2DBE">
        <w:rPr>
          <w:rFonts w:cs="Times New Roman"/>
          <w:szCs w:val="24"/>
          <w:vertAlign w:val="superscript"/>
        </w:rPr>
        <w:t>93</w:t>
      </w:r>
      <w:r w:rsidR="00F03B4C" w:rsidRPr="007C2DBE">
        <w:rPr>
          <w:rFonts w:cs="Times New Roman"/>
          <w:szCs w:val="24"/>
        </w:rPr>
        <w:t xml:space="preserve"> </w:t>
      </w:r>
      <w:r w:rsidRPr="007C2DBE">
        <w:rPr>
          <w:rFonts w:cs="Times New Roman"/>
          <w:szCs w:val="24"/>
        </w:rPr>
        <w:t>and specific markers for proliferation/cell phase delineation</w:t>
      </w:r>
      <w:r w:rsidR="00F03B4C" w:rsidRPr="007C2DBE">
        <w:rPr>
          <w:rFonts w:cs="Times New Roman"/>
          <w:szCs w:val="24"/>
        </w:rPr>
        <w:t>.</w:t>
      </w:r>
      <w:r w:rsidR="00F03B4C" w:rsidRPr="007C2DBE">
        <w:rPr>
          <w:rFonts w:cs="Times New Roman"/>
          <w:szCs w:val="24"/>
          <w:vertAlign w:val="superscript"/>
        </w:rPr>
        <w:t>94</w:t>
      </w:r>
      <w:r w:rsidRPr="007C2DBE">
        <w:rPr>
          <w:rFonts w:cs="Times New Roman"/>
          <w:szCs w:val="24"/>
        </w:rPr>
        <w:t xml:space="preserve"> Cells categorized into G1 were designated as Ki-67</w:t>
      </w:r>
      <w:r w:rsidRPr="007C2DBE">
        <w:rPr>
          <w:rFonts w:cs="Times New Roman"/>
          <w:szCs w:val="24"/>
          <w:vertAlign w:val="superscript"/>
        </w:rPr>
        <w:t>+</w:t>
      </w:r>
      <w:r w:rsidRPr="007C2DBE">
        <w:rPr>
          <w:rFonts w:cs="Times New Roman"/>
          <w:szCs w:val="24"/>
        </w:rPr>
        <w:t>/EdU</w:t>
      </w:r>
      <w:r w:rsidRPr="007C2DBE">
        <w:rPr>
          <w:rFonts w:cs="Times New Roman"/>
          <w:szCs w:val="24"/>
          <w:vertAlign w:val="superscript"/>
        </w:rPr>
        <w:t>-</w:t>
      </w:r>
      <w:r w:rsidRPr="007C2DBE">
        <w:rPr>
          <w:rFonts w:cs="Times New Roman"/>
          <w:szCs w:val="24"/>
        </w:rPr>
        <w:t xml:space="preserve"> with a nuclear intensity less than the median of EdU</w:t>
      </w:r>
      <w:r w:rsidRPr="007C2DBE">
        <w:rPr>
          <w:rFonts w:cs="Times New Roman"/>
          <w:szCs w:val="24"/>
          <w:vertAlign w:val="superscript"/>
        </w:rPr>
        <w:t>+</w:t>
      </w:r>
      <w:r w:rsidRPr="007C2DBE">
        <w:rPr>
          <w:rFonts w:cs="Times New Roman"/>
          <w:szCs w:val="24"/>
        </w:rPr>
        <w:t xml:space="preserve"> cells. Cells categorized into G2 were designated as Ki-67</w:t>
      </w:r>
      <w:r w:rsidRPr="007C2DBE">
        <w:rPr>
          <w:rFonts w:cs="Times New Roman"/>
          <w:szCs w:val="24"/>
          <w:vertAlign w:val="superscript"/>
        </w:rPr>
        <w:t>+</w:t>
      </w:r>
      <w:r w:rsidRPr="007C2DBE">
        <w:rPr>
          <w:rFonts w:cs="Times New Roman"/>
          <w:szCs w:val="24"/>
        </w:rPr>
        <w:t>/phospho-Histone H3</w:t>
      </w:r>
      <w:r w:rsidRPr="007C2DBE">
        <w:rPr>
          <w:rFonts w:cs="Times New Roman"/>
          <w:szCs w:val="24"/>
          <w:vertAlign w:val="superscript"/>
        </w:rPr>
        <w:t>Ser10-</w:t>
      </w:r>
      <w:r w:rsidRPr="007C2DBE">
        <w:rPr>
          <w:rFonts w:cs="Times New Roman"/>
          <w:szCs w:val="24"/>
        </w:rPr>
        <w:t>/EdU</w:t>
      </w:r>
      <w:r w:rsidRPr="007C2DBE">
        <w:rPr>
          <w:rFonts w:cs="Times New Roman"/>
          <w:szCs w:val="24"/>
          <w:vertAlign w:val="superscript"/>
        </w:rPr>
        <w:t>-</w:t>
      </w:r>
      <w:r w:rsidRPr="007C2DBE">
        <w:rPr>
          <w:rFonts w:cs="Times New Roman"/>
          <w:szCs w:val="24"/>
        </w:rPr>
        <w:t xml:space="preserve"> with a nuclear intensity greater than the median of EdU</w:t>
      </w:r>
      <w:r w:rsidRPr="007C2DBE">
        <w:rPr>
          <w:rFonts w:cs="Times New Roman"/>
          <w:szCs w:val="24"/>
          <w:vertAlign w:val="superscript"/>
        </w:rPr>
        <w:t>+</w:t>
      </w:r>
      <w:r w:rsidRPr="007C2DBE">
        <w:rPr>
          <w:rFonts w:cs="Times New Roman"/>
          <w:szCs w:val="24"/>
        </w:rPr>
        <w:t xml:space="preserve"> cells. G0 cells were designated as any cell Ki-67</w:t>
      </w:r>
      <w:r w:rsidRPr="007C2DBE">
        <w:rPr>
          <w:rFonts w:cs="Times New Roman"/>
          <w:szCs w:val="24"/>
          <w:vertAlign w:val="superscript"/>
        </w:rPr>
        <w:t>-</w:t>
      </w:r>
      <w:r w:rsidRPr="007C2DBE">
        <w:rPr>
          <w:rFonts w:cs="Times New Roman"/>
          <w:szCs w:val="24"/>
        </w:rPr>
        <w:t>.</w:t>
      </w:r>
    </w:p>
    <w:p w14:paraId="080308BF" w14:textId="77777777" w:rsidR="00FF11F0" w:rsidRPr="007C2DBE" w:rsidRDefault="00FF11F0" w:rsidP="00C03992">
      <w:pPr>
        <w:tabs>
          <w:tab w:val="left" w:pos="6663"/>
        </w:tabs>
        <w:spacing w:line="480" w:lineRule="auto"/>
        <w:rPr>
          <w:rFonts w:cs="Times New Roman"/>
          <w:b/>
          <w:i/>
          <w:szCs w:val="24"/>
        </w:rPr>
      </w:pPr>
    </w:p>
    <w:p w14:paraId="568184F8" w14:textId="77777777" w:rsidR="00B804D9" w:rsidRPr="007C2DBE" w:rsidRDefault="00FF11F0" w:rsidP="00C03992">
      <w:pPr>
        <w:spacing w:line="480" w:lineRule="auto"/>
        <w:rPr>
          <w:rFonts w:cs="Times New Roman"/>
          <w:szCs w:val="24"/>
        </w:rPr>
      </w:pPr>
      <w:r w:rsidRPr="007C2DBE">
        <w:rPr>
          <w:rFonts w:cs="Times New Roman"/>
          <w:szCs w:val="24"/>
        </w:rPr>
        <w:t>ROS Measurement</w:t>
      </w:r>
    </w:p>
    <w:p w14:paraId="701A702C" w14:textId="77777777" w:rsidR="00B804D9" w:rsidRPr="007C2DBE" w:rsidRDefault="00B804D9" w:rsidP="00C03992">
      <w:pPr>
        <w:spacing w:line="480" w:lineRule="auto"/>
        <w:rPr>
          <w:rFonts w:cs="Times New Roman"/>
          <w:szCs w:val="24"/>
        </w:rPr>
      </w:pPr>
    </w:p>
    <w:p w14:paraId="77732BA7" w14:textId="41D6FFA7" w:rsidR="00FF11F0" w:rsidRPr="007C2DBE" w:rsidRDefault="00FF11F0" w:rsidP="00C03992">
      <w:pPr>
        <w:spacing w:line="480" w:lineRule="auto"/>
        <w:rPr>
          <w:rFonts w:cs="Times New Roman"/>
          <w:szCs w:val="24"/>
        </w:rPr>
      </w:pPr>
      <w:r w:rsidRPr="007C2DBE">
        <w:rPr>
          <w:rFonts w:cs="Times New Roman"/>
          <w:szCs w:val="24"/>
        </w:rPr>
        <w:t>CellROX Green was employed for characterizing ROS associated with thermoplastic treatment. Beas-2B or pSAECs were plated with 5,000 and 7,500 cells per well, respectively, in clear-bottom, black-walled 96-well microplates and cultured 2 days prior to treatment with incinerated thermoplastics.</w:t>
      </w:r>
    </w:p>
    <w:p w14:paraId="185E9335" w14:textId="77777777" w:rsidR="00FF11F0" w:rsidRPr="007C2DBE" w:rsidRDefault="00FF11F0" w:rsidP="00C03992">
      <w:pPr>
        <w:spacing w:line="480" w:lineRule="auto"/>
        <w:ind w:firstLine="720"/>
        <w:rPr>
          <w:rFonts w:cs="Times New Roman"/>
          <w:szCs w:val="24"/>
        </w:rPr>
      </w:pPr>
      <w:r w:rsidRPr="007C2DBE">
        <w:rPr>
          <w:rFonts w:cs="Times New Roman"/>
          <w:i/>
          <w:szCs w:val="24"/>
        </w:rPr>
        <w:t>CellROX Green</w:t>
      </w:r>
      <w:r w:rsidRPr="007C2DBE">
        <w:rPr>
          <w:rFonts w:cs="Times New Roman"/>
          <w:szCs w:val="24"/>
        </w:rPr>
        <w:t xml:space="preserve">. At designated time points, thermoplastic- and menadione-treated cells were stained with 5 µM of CellROX Green (Cat. C10444, </w:t>
      </w:r>
      <w:proofErr w:type="spellStart"/>
      <w:r w:rsidRPr="007C2DBE">
        <w:rPr>
          <w:rFonts w:cs="Times New Roman"/>
          <w:szCs w:val="24"/>
        </w:rPr>
        <w:t>ThermoFisher</w:t>
      </w:r>
      <w:proofErr w:type="spellEnd"/>
      <w:r w:rsidRPr="007C2DBE">
        <w:rPr>
          <w:rFonts w:cs="Times New Roman"/>
          <w:szCs w:val="24"/>
        </w:rPr>
        <w:t xml:space="preserve"> Scientific) and 1 µM Hoechst 33342 </w:t>
      </w:r>
      <w:r w:rsidRPr="007C2DBE">
        <w:rPr>
          <w:rFonts w:cs="Times New Roman"/>
          <w:szCs w:val="24"/>
        </w:rPr>
        <w:lastRenderedPageBreak/>
        <w:t xml:space="preserve">in complete medium for 30 minutes under standard culture conditions. After staining, cells were gently washed thrice with respective medium, and CellROX fluorescence was measured using the </w:t>
      </w:r>
      <w:proofErr w:type="spellStart"/>
      <w:r w:rsidRPr="007C2DBE">
        <w:rPr>
          <w:rFonts w:cs="Times New Roman"/>
          <w:szCs w:val="24"/>
        </w:rPr>
        <w:t>SpectraMAX</w:t>
      </w:r>
      <w:proofErr w:type="spellEnd"/>
      <w:r w:rsidRPr="007C2DBE">
        <w:rPr>
          <w:rFonts w:cs="Times New Roman"/>
          <w:szCs w:val="24"/>
        </w:rPr>
        <w:t xml:space="preserve"> M4 plate reader (excitation/emission wavelengths: 485/520 nm). The same cells were visualized using the </w:t>
      </w:r>
      <w:proofErr w:type="spellStart"/>
      <w:r w:rsidRPr="007C2DBE">
        <w:rPr>
          <w:rFonts w:cs="Times New Roman"/>
          <w:szCs w:val="24"/>
        </w:rPr>
        <w:t>ImageXPress</w:t>
      </w:r>
      <w:proofErr w:type="spellEnd"/>
      <w:r w:rsidRPr="007C2DBE">
        <w:rPr>
          <w:rFonts w:cs="Times New Roman"/>
          <w:szCs w:val="24"/>
        </w:rPr>
        <w:t xml:space="preserve"> Micro XLS. Nuclei were visualized using a standard DAPI filter set, while CellROX was visualized using a FITC filter. Treatment with 100 µM menadione (Cat. 102259; MP Biomedicals, LLC. Solon, OH) for 30 minutes in complete growth medium was used as a positive ROS control prior to ROS assessment. After measurement/imaging, cells were fixed using 4% formaldehyde for 15 minutes at room temperature protected from light. The fixative was aspirated, and the cells washed once and subsequently held in fresh DPBS until probing for </w:t>
      </w:r>
      <w:r w:rsidRPr="007C2DBE">
        <w:rPr>
          <w:rFonts w:cs="Times New Roman"/>
          <w:i/>
          <w:szCs w:val="24"/>
        </w:rPr>
        <w:t>γH2AX</w:t>
      </w:r>
      <w:r w:rsidRPr="007C2DBE">
        <w:rPr>
          <w:rFonts w:cs="Times New Roman"/>
          <w:szCs w:val="24"/>
        </w:rPr>
        <w:t xml:space="preserve"> – a marker for genotoxicity.</w:t>
      </w:r>
    </w:p>
    <w:p w14:paraId="7F421205" w14:textId="77777777" w:rsidR="00FF11F0" w:rsidRPr="007C2DBE" w:rsidRDefault="00FF11F0" w:rsidP="00C03992">
      <w:pPr>
        <w:spacing w:line="480" w:lineRule="auto"/>
        <w:rPr>
          <w:rFonts w:cs="Times New Roman"/>
          <w:szCs w:val="24"/>
        </w:rPr>
      </w:pPr>
    </w:p>
    <w:p w14:paraId="24BA4BBE" w14:textId="54784677" w:rsidR="00FF11F0" w:rsidRPr="007C2DBE" w:rsidRDefault="00FF11F0" w:rsidP="00C03992">
      <w:pPr>
        <w:spacing w:line="480" w:lineRule="auto"/>
        <w:rPr>
          <w:rFonts w:cs="Times New Roman"/>
          <w:szCs w:val="24"/>
        </w:rPr>
      </w:pPr>
      <w:r w:rsidRPr="007C2DBE">
        <w:rPr>
          <w:rFonts w:cs="Times New Roman"/>
          <w:szCs w:val="24"/>
        </w:rPr>
        <w:t>Genotoxicity</w:t>
      </w:r>
    </w:p>
    <w:p w14:paraId="253415E1" w14:textId="77777777" w:rsidR="00B804D9" w:rsidRPr="007C2DBE" w:rsidRDefault="00B804D9" w:rsidP="00C03992">
      <w:pPr>
        <w:spacing w:line="480" w:lineRule="auto"/>
        <w:rPr>
          <w:rFonts w:cs="Times New Roman"/>
          <w:szCs w:val="24"/>
        </w:rPr>
      </w:pPr>
    </w:p>
    <w:p w14:paraId="19F890AB" w14:textId="49A50708" w:rsidR="00FF11F0" w:rsidRPr="007C2DBE" w:rsidRDefault="00FF11F0" w:rsidP="00C03992">
      <w:pPr>
        <w:spacing w:line="480" w:lineRule="auto"/>
        <w:ind w:firstLine="720"/>
        <w:rPr>
          <w:rFonts w:cs="Times New Roman"/>
          <w:szCs w:val="24"/>
        </w:rPr>
      </w:pPr>
      <w:r w:rsidRPr="007C2DBE">
        <w:rPr>
          <w:rFonts w:cs="Times New Roman"/>
          <w:i/>
          <w:szCs w:val="24"/>
        </w:rPr>
        <w:t>γH2AX</w:t>
      </w:r>
      <w:r w:rsidRPr="007C2DBE">
        <w:rPr>
          <w:rFonts w:cs="Times New Roman"/>
          <w:szCs w:val="24"/>
        </w:rPr>
        <w:t>. Nuclear γH2AX positivity serves as a marker of stress induced by genotoxic agents</w:t>
      </w:r>
      <w:r w:rsidR="00F03B4C" w:rsidRPr="007C2DBE">
        <w:rPr>
          <w:rFonts w:cs="Times New Roman"/>
          <w:szCs w:val="24"/>
        </w:rPr>
        <w:t>.</w:t>
      </w:r>
      <w:r w:rsidR="00F03B4C" w:rsidRPr="007C2DBE">
        <w:rPr>
          <w:rFonts w:cs="Times New Roman"/>
          <w:szCs w:val="24"/>
          <w:vertAlign w:val="superscript"/>
        </w:rPr>
        <w:t>95</w:t>
      </w:r>
      <w:r w:rsidR="00F03B4C" w:rsidRPr="007C2DBE">
        <w:rPr>
          <w:rFonts w:cs="Times New Roman"/>
          <w:szCs w:val="24"/>
        </w:rPr>
        <w:t xml:space="preserve"> </w:t>
      </w:r>
      <w:r w:rsidRPr="007C2DBE">
        <w:rPr>
          <w:rFonts w:cs="Times New Roman"/>
          <w:szCs w:val="24"/>
        </w:rPr>
        <w:t>After CellROX Green imaging, cells were fixed 4% paraformaldehyde and permeabilized using 0.25% Triton X-100 for 15 minutes, followed by blocking in 1% bovine serum albumin (Cat. Millipore-Sigma) in DPBS without Ca</w:t>
      </w:r>
      <w:r w:rsidRPr="007C2DBE">
        <w:rPr>
          <w:rFonts w:cs="Times New Roman"/>
          <w:szCs w:val="24"/>
          <w:vertAlign w:val="superscript"/>
        </w:rPr>
        <w:t>2+</w:t>
      </w:r>
      <w:r w:rsidRPr="007C2DBE">
        <w:rPr>
          <w:rFonts w:cs="Times New Roman"/>
          <w:szCs w:val="24"/>
        </w:rPr>
        <w:t>/Mg</w:t>
      </w:r>
      <w:r w:rsidRPr="007C2DBE">
        <w:rPr>
          <w:rFonts w:cs="Times New Roman"/>
          <w:szCs w:val="24"/>
          <w:vertAlign w:val="superscript"/>
        </w:rPr>
        <w:t>2+</w:t>
      </w:r>
      <w:r w:rsidRPr="007C2DBE">
        <w:rPr>
          <w:rFonts w:cs="Times New Roman"/>
          <w:szCs w:val="24"/>
        </w:rPr>
        <w:t xml:space="preserve"> for 30 minutes. γH2AX was probed using 1:250 rabbit α-γH2AX </w:t>
      </w:r>
      <w:proofErr w:type="spellStart"/>
      <w:r w:rsidRPr="007C2DBE">
        <w:rPr>
          <w:rFonts w:cs="Times New Roman"/>
          <w:szCs w:val="24"/>
        </w:rPr>
        <w:t>mAb</w:t>
      </w:r>
      <w:proofErr w:type="spellEnd"/>
      <w:r w:rsidRPr="007C2DBE">
        <w:rPr>
          <w:rFonts w:cs="Times New Roman"/>
          <w:szCs w:val="24"/>
        </w:rPr>
        <w:t xml:space="preserve"> (Cat. 9718; Cell Signaling Technology) in 1% BSA in DPBS for 1 hour at room temperature. Wells were washed thrice with DPBS and probed using Alexa Fluor 647-conjugated goat α-rabbit secondary antibody F(ab’)2 fragments (Cat. 4414, Cell Signaling Technology) in 1% BSA in DPBS for 1 hour at room temperature. Nuclei were counterstained with Hoechst 33342. Wells were washed thrice with and subsequently held in DPBS prior to imaging using the </w:t>
      </w:r>
      <w:proofErr w:type="spellStart"/>
      <w:r w:rsidRPr="007C2DBE">
        <w:rPr>
          <w:rFonts w:cs="Times New Roman"/>
          <w:szCs w:val="24"/>
        </w:rPr>
        <w:t>ImageXPress</w:t>
      </w:r>
      <w:proofErr w:type="spellEnd"/>
      <w:r w:rsidRPr="007C2DBE">
        <w:rPr>
          <w:rFonts w:cs="Times New Roman"/>
          <w:szCs w:val="24"/>
        </w:rPr>
        <w:t xml:space="preserve"> Micro XLS. 500 µM H</w:t>
      </w:r>
      <w:r w:rsidRPr="007C2DBE">
        <w:rPr>
          <w:rFonts w:cs="Times New Roman"/>
          <w:szCs w:val="24"/>
          <w:vertAlign w:val="subscript"/>
        </w:rPr>
        <w:t>2</w:t>
      </w:r>
      <w:r w:rsidRPr="007C2DBE">
        <w:rPr>
          <w:rFonts w:cs="Times New Roman"/>
          <w:szCs w:val="24"/>
        </w:rPr>
        <w:t>O</w:t>
      </w:r>
      <w:r w:rsidRPr="007C2DBE">
        <w:rPr>
          <w:rFonts w:cs="Times New Roman"/>
          <w:szCs w:val="24"/>
          <w:vertAlign w:val="subscript"/>
        </w:rPr>
        <w:t>2</w:t>
      </w:r>
      <w:r w:rsidRPr="007C2DBE">
        <w:rPr>
          <w:rFonts w:cs="Times New Roman"/>
          <w:szCs w:val="24"/>
        </w:rPr>
        <w:t>-treated cells (2 hours) served as a positive control for γH2AX formation.</w:t>
      </w:r>
    </w:p>
    <w:p w14:paraId="6FD29F06" w14:textId="77777777" w:rsidR="00FF11F0" w:rsidRPr="007C2DBE" w:rsidRDefault="00FF11F0" w:rsidP="00C03992">
      <w:pPr>
        <w:spacing w:line="480" w:lineRule="auto"/>
        <w:rPr>
          <w:rFonts w:cs="Times New Roman"/>
          <w:szCs w:val="24"/>
        </w:rPr>
      </w:pPr>
    </w:p>
    <w:p w14:paraId="6A5EB9BF" w14:textId="0619B857" w:rsidR="00FF11F0" w:rsidRPr="007C2DBE" w:rsidRDefault="00FF11F0" w:rsidP="00C03992">
      <w:pPr>
        <w:spacing w:line="480" w:lineRule="auto"/>
        <w:rPr>
          <w:rFonts w:cs="Times New Roman"/>
          <w:szCs w:val="24"/>
        </w:rPr>
      </w:pPr>
      <w:r w:rsidRPr="007C2DBE">
        <w:rPr>
          <w:rFonts w:cs="Times New Roman"/>
          <w:szCs w:val="24"/>
        </w:rPr>
        <w:t>Aryl Hydrocarbon Receptor</w:t>
      </w:r>
    </w:p>
    <w:p w14:paraId="23C1869F" w14:textId="77777777" w:rsidR="00B804D9" w:rsidRPr="007C2DBE" w:rsidRDefault="00B804D9" w:rsidP="00C03992">
      <w:pPr>
        <w:spacing w:line="480" w:lineRule="auto"/>
        <w:rPr>
          <w:rFonts w:cs="Times New Roman"/>
          <w:szCs w:val="24"/>
        </w:rPr>
      </w:pPr>
    </w:p>
    <w:p w14:paraId="4F08B92A" w14:textId="644C4A0C" w:rsidR="00FF11F0" w:rsidRPr="007C2DBE" w:rsidRDefault="00FF11F0" w:rsidP="00C03992">
      <w:pPr>
        <w:spacing w:line="480" w:lineRule="auto"/>
        <w:rPr>
          <w:rFonts w:cs="Times New Roman"/>
          <w:szCs w:val="24"/>
        </w:rPr>
      </w:pPr>
      <w:r w:rsidRPr="007C2DBE">
        <w:rPr>
          <w:rFonts w:cs="Times New Roman"/>
          <w:szCs w:val="24"/>
        </w:rPr>
        <w:tab/>
      </w:r>
      <w:r w:rsidRPr="007C2DBE">
        <w:rPr>
          <w:rFonts w:cs="Times New Roman"/>
          <w:i/>
          <w:szCs w:val="24"/>
        </w:rPr>
        <w:t>Cytochrome P450 1 Induction</w:t>
      </w:r>
      <w:r w:rsidRPr="007C2DBE">
        <w:rPr>
          <w:rFonts w:cs="Times New Roman"/>
          <w:szCs w:val="24"/>
        </w:rPr>
        <w:t xml:space="preserve">. Cytochrome P450 1 isoforms (CYP1) was assessed using a luminescence-based activity assay as per Manufacturer’s instructions (Cat. V8752; Promega). Briefly, Beas-2B cells were plated in 96-well plates at a density of 5,000 cells/well 48 hours prior to treatment. 48 hours post-treatment, cells were washed briefly with fresh medium and incubated with 100 µM luciferin-CEE for 3 hours under standard culture conditions. Thereafter, 25 µL of cell culture supernatant was abstracted and incubated in an equal volume of luciferase detection reagent at RT with periodic gentle mixing. Luminescent signal was quantitated using the </w:t>
      </w:r>
      <w:proofErr w:type="spellStart"/>
      <w:r w:rsidRPr="007C2DBE">
        <w:rPr>
          <w:rFonts w:cs="Times New Roman"/>
          <w:szCs w:val="24"/>
        </w:rPr>
        <w:t>Varoiskan</w:t>
      </w:r>
      <w:proofErr w:type="spellEnd"/>
      <w:r w:rsidRPr="007C2DBE">
        <w:rPr>
          <w:rFonts w:cs="Times New Roman"/>
          <w:szCs w:val="24"/>
        </w:rPr>
        <w:t xml:space="preserve"> LUX multimodal plate reader (Thermo Fisher) with a 1.5 second integration time – cell-free medium served as the assay blank. Cells treated with 0.5 µM </w:t>
      </w:r>
      <w:r w:rsidR="00EE1276" w:rsidRPr="007C2DBE">
        <w:rPr>
          <w:rFonts w:cs="Times New Roman"/>
          <w:szCs w:val="24"/>
        </w:rPr>
        <w:t>B[a]</w:t>
      </w:r>
      <w:r w:rsidRPr="007C2DBE">
        <w:rPr>
          <w:rFonts w:cs="Times New Roman"/>
          <w:szCs w:val="24"/>
        </w:rPr>
        <w:t>P served as a control for CYP1 activity induction.</w:t>
      </w:r>
    </w:p>
    <w:p w14:paraId="4FB48E73" w14:textId="77777777" w:rsidR="00FF11F0" w:rsidRPr="007C2DBE" w:rsidRDefault="00FF11F0" w:rsidP="00C03992">
      <w:pPr>
        <w:spacing w:line="480" w:lineRule="auto"/>
        <w:rPr>
          <w:rFonts w:cs="Times New Roman"/>
          <w:szCs w:val="24"/>
        </w:rPr>
      </w:pPr>
    </w:p>
    <w:p w14:paraId="5CC9B056" w14:textId="77777777" w:rsidR="00FF11F0" w:rsidRPr="007C2DBE" w:rsidRDefault="00FF11F0" w:rsidP="00C03992">
      <w:pPr>
        <w:spacing w:line="480" w:lineRule="auto"/>
        <w:rPr>
          <w:rFonts w:cs="Times New Roman"/>
          <w:szCs w:val="24"/>
        </w:rPr>
      </w:pPr>
      <w:r w:rsidRPr="007C2DBE">
        <w:rPr>
          <w:rFonts w:cs="Times New Roman"/>
          <w:szCs w:val="24"/>
        </w:rPr>
        <w:t>Protein Analysis</w:t>
      </w:r>
    </w:p>
    <w:p w14:paraId="407EB5EC" w14:textId="6A43AACA" w:rsidR="00FF11F0" w:rsidRPr="007C2DBE" w:rsidRDefault="00FF11F0" w:rsidP="00C03992">
      <w:pPr>
        <w:spacing w:line="480" w:lineRule="auto"/>
        <w:rPr>
          <w:rFonts w:cs="Times New Roman"/>
          <w:szCs w:val="24"/>
        </w:rPr>
      </w:pPr>
      <w:r w:rsidRPr="007C2DBE">
        <w:rPr>
          <w:rFonts w:cs="Times New Roman"/>
          <w:szCs w:val="24"/>
        </w:rPr>
        <w:tab/>
        <w:t xml:space="preserve">Beas-2B cells were plated in 12-well microplates at a density of 62,000 cells per well 48 hours prior to treatment. Cells were then treated with 0.5 µM </w:t>
      </w:r>
      <w:r w:rsidR="00EE1276" w:rsidRPr="007C2DBE">
        <w:rPr>
          <w:rFonts w:cs="Times New Roman"/>
          <w:szCs w:val="24"/>
        </w:rPr>
        <w:t>B[a]</w:t>
      </w:r>
      <w:r w:rsidRPr="007C2DBE">
        <w:rPr>
          <w:rFonts w:cs="Times New Roman"/>
          <w:szCs w:val="24"/>
        </w:rPr>
        <w:t>P for 4, 24, and 48 hours. At the designated time point, Beas-2B cells were lysed in RIPA buffer supplemented with 1 mM PMSF (Millipore-Sigma), 1 mM Na-orthovanadate, and 1X proteinase inhibitor cocktail (Santa Cruz Biotechnologies, CA). Whole cell lysate preparations were centrifuged at 13,000 x g for 10 minutes at 4 °C, and the supernatant moved to clean tubes for storage at 80 °C. An aliquot of each sample was diluted 1:10 in DPBS for protein quantitation via the BCA method.</w:t>
      </w:r>
      <w:r w:rsidR="00C344E6" w:rsidRPr="007C2DBE">
        <w:rPr>
          <w:rFonts w:cs="Times New Roman"/>
          <w:szCs w:val="24"/>
        </w:rPr>
        <w:t xml:space="preserve"> As a positive control for proliferative inhibition, cells were pre-treated each with 3 µg/mL aphidicolin (G1/S Block; Millipore-Sigma, Cat.: A0781) or 100 ng/mL nocodazole (G2/M Block; Millipore-Sigma, Cat.: M1404) for 18 hours prior to lysis.</w:t>
      </w:r>
    </w:p>
    <w:p w14:paraId="5F32C275" w14:textId="63190991" w:rsidR="00FC70C6" w:rsidRPr="007C2DBE" w:rsidRDefault="00FF11F0" w:rsidP="00C03992">
      <w:pPr>
        <w:spacing w:line="480" w:lineRule="auto"/>
        <w:rPr>
          <w:rFonts w:cs="Times New Roman"/>
          <w:szCs w:val="24"/>
        </w:rPr>
      </w:pPr>
      <w:r w:rsidRPr="007C2DBE">
        <w:rPr>
          <w:rFonts w:cs="Times New Roman"/>
          <w:szCs w:val="24"/>
        </w:rPr>
        <w:tab/>
        <w:t xml:space="preserve">Protein expression of whole cell lysates was evaluated using the </w:t>
      </w:r>
      <w:proofErr w:type="spellStart"/>
      <w:r w:rsidRPr="007C2DBE">
        <w:rPr>
          <w:rFonts w:cs="Times New Roman"/>
          <w:szCs w:val="24"/>
        </w:rPr>
        <w:t>ProteinSimple</w:t>
      </w:r>
      <w:proofErr w:type="spellEnd"/>
      <w:r w:rsidRPr="007C2DBE">
        <w:rPr>
          <w:rFonts w:cs="Times New Roman"/>
          <w:szCs w:val="24"/>
        </w:rPr>
        <w:t xml:space="preserve"> Wes (</w:t>
      </w:r>
      <w:proofErr w:type="spellStart"/>
      <w:r w:rsidRPr="007C2DBE">
        <w:rPr>
          <w:rFonts w:cs="Times New Roman"/>
          <w:szCs w:val="24"/>
        </w:rPr>
        <w:t>ProteinSimple</w:t>
      </w:r>
      <w:proofErr w:type="spellEnd"/>
      <w:r w:rsidRPr="007C2DBE">
        <w:rPr>
          <w:rFonts w:cs="Times New Roman"/>
          <w:szCs w:val="24"/>
        </w:rPr>
        <w:t xml:space="preserve">, San Jose, CA) with total protein as the loading normalization method. Briefly, lysates were diluted to 1.0 µg/µL in 0.1X sample buffer supplied by </w:t>
      </w:r>
      <w:proofErr w:type="spellStart"/>
      <w:r w:rsidRPr="007C2DBE">
        <w:rPr>
          <w:rFonts w:cs="Times New Roman"/>
          <w:szCs w:val="24"/>
        </w:rPr>
        <w:t>ProteinSimple</w:t>
      </w:r>
      <w:proofErr w:type="spellEnd"/>
      <w:r w:rsidRPr="007C2DBE">
        <w:rPr>
          <w:rFonts w:cs="Times New Roman"/>
          <w:szCs w:val="24"/>
        </w:rPr>
        <w:t xml:space="preserve">. All primary and secondary antibodies were purchased from Cell Signaling Technologies (Danvers, MA). Primary antibodies used </w:t>
      </w:r>
      <w:r w:rsidRPr="007C2DBE">
        <w:rPr>
          <w:rFonts w:cs="Times New Roman"/>
          <w:szCs w:val="24"/>
        </w:rPr>
        <w:lastRenderedPageBreak/>
        <w:t>are as followed: phospho-cdc2(Tyr15), phospho-Chk1(Ser345), which were diluted 1:50 in supplied antibody diluent. For chemiluminescent signal detection, primary antibodies were probed using a 1:100 anti-rabbit-HRP secondary antibody in supplied antibody diluent.</w:t>
      </w:r>
    </w:p>
    <w:sectPr w:rsidR="00FC70C6" w:rsidRPr="007C2DBE" w:rsidSect="00A214E2">
      <w:pgSz w:w="12240" w:h="15840"/>
      <w:pgMar w:top="1080" w:right="1080" w:bottom="1080" w:left="108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24E"/>
    <w:rsid w:val="00004A5C"/>
    <w:rsid w:val="00006A61"/>
    <w:rsid w:val="00025814"/>
    <w:rsid w:val="00031C4A"/>
    <w:rsid w:val="000501BF"/>
    <w:rsid w:val="000811A4"/>
    <w:rsid w:val="00103145"/>
    <w:rsid w:val="001708DD"/>
    <w:rsid w:val="001A6734"/>
    <w:rsid w:val="001B1216"/>
    <w:rsid w:val="00226808"/>
    <w:rsid w:val="00231640"/>
    <w:rsid w:val="002C1F78"/>
    <w:rsid w:val="00354CC9"/>
    <w:rsid w:val="003711AD"/>
    <w:rsid w:val="003A3D50"/>
    <w:rsid w:val="003C0602"/>
    <w:rsid w:val="005C6BBA"/>
    <w:rsid w:val="005D58D9"/>
    <w:rsid w:val="00620004"/>
    <w:rsid w:val="00655BB0"/>
    <w:rsid w:val="00732ECF"/>
    <w:rsid w:val="007517B5"/>
    <w:rsid w:val="007C2DBE"/>
    <w:rsid w:val="007C5F0B"/>
    <w:rsid w:val="008379F0"/>
    <w:rsid w:val="00842179"/>
    <w:rsid w:val="00870ED4"/>
    <w:rsid w:val="008A3797"/>
    <w:rsid w:val="008B457F"/>
    <w:rsid w:val="00946ADA"/>
    <w:rsid w:val="009C6DC5"/>
    <w:rsid w:val="00A214E2"/>
    <w:rsid w:val="00A23155"/>
    <w:rsid w:val="00A32E32"/>
    <w:rsid w:val="00A6414D"/>
    <w:rsid w:val="00A717F3"/>
    <w:rsid w:val="00B3598F"/>
    <w:rsid w:val="00B475BB"/>
    <w:rsid w:val="00B711E5"/>
    <w:rsid w:val="00B804D9"/>
    <w:rsid w:val="00BB6C6D"/>
    <w:rsid w:val="00C03992"/>
    <w:rsid w:val="00C2368A"/>
    <w:rsid w:val="00C344E6"/>
    <w:rsid w:val="00C76CEC"/>
    <w:rsid w:val="00C919B8"/>
    <w:rsid w:val="00CA5FF4"/>
    <w:rsid w:val="00D26908"/>
    <w:rsid w:val="00DC657B"/>
    <w:rsid w:val="00DD2950"/>
    <w:rsid w:val="00E41E4B"/>
    <w:rsid w:val="00ED524E"/>
    <w:rsid w:val="00EE1276"/>
    <w:rsid w:val="00F03B4C"/>
    <w:rsid w:val="00F448C5"/>
    <w:rsid w:val="00F82845"/>
    <w:rsid w:val="00F9586A"/>
    <w:rsid w:val="00FB0B0F"/>
    <w:rsid w:val="00FB1BD4"/>
    <w:rsid w:val="00FC70C6"/>
    <w:rsid w:val="00FF11F0"/>
    <w:rsid w:val="00FF2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122A5"/>
  <w15:chartTrackingRefBased/>
  <w15:docId w15:val="{6D1D7668-525E-4F11-A141-3D0939DC3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F11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01BF"/>
    <w:rPr>
      <w:sz w:val="16"/>
      <w:szCs w:val="16"/>
    </w:rPr>
  </w:style>
  <w:style w:type="paragraph" w:styleId="CommentText">
    <w:name w:val="annotation text"/>
    <w:basedOn w:val="Normal"/>
    <w:link w:val="CommentTextChar"/>
    <w:uiPriority w:val="99"/>
    <w:semiHidden/>
    <w:unhideWhenUsed/>
    <w:rsid w:val="000501BF"/>
    <w:pPr>
      <w:spacing w:line="240" w:lineRule="auto"/>
    </w:pPr>
    <w:rPr>
      <w:sz w:val="20"/>
      <w:szCs w:val="20"/>
    </w:rPr>
  </w:style>
  <w:style w:type="character" w:customStyle="1" w:styleId="CommentTextChar">
    <w:name w:val="Comment Text Char"/>
    <w:basedOn w:val="DefaultParagraphFont"/>
    <w:link w:val="CommentText"/>
    <w:uiPriority w:val="99"/>
    <w:semiHidden/>
    <w:rsid w:val="000501BF"/>
    <w:rPr>
      <w:sz w:val="20"/>
      <w:szCs w:val="20"/>
    </w:rPr>
  </w:style>
  <w:style w:type="paragraph" w:styleId="CommentSubject">
    <w:name w:val="annotation subject"/>
    <w:basedOn w:val="CommentText"/>
    <w:next w:val="CommentText"/>
    <w:link w:val="CommentSubjectChar"/>
    <w:uiPriority w:val="99"/>
    <w:semiHidden/>
    <w:unhideWhenUsed/>
    <w:rsid w:val="000501BF"/>
    <w:rPr>
      <w:b/>
      <w:bCs/>
    </w:rPr>
  </w:style>
  <w:style w:type="character" w:customStyle="1" w:styleId="CommentSubjectChar">
    <w:name w:val="Comment Subject Char"/>
    <w:basedOn w:val="CommentTextChar"/>
    <w:link w:val="CommentSubject"/>
    <w:uiPriority w:val="99"/>
    <w:semiHidden/>
    <w:rsid w:val="000501BF"/>
    <w:rPr>
      <w:b/>
      <w:bCs/>
      <w:sz w:val="20"/>
      <w:szCs w:val="20"/>
    </w:rPr>
  </w:style>
  <w:style w:type="paragraph" w:styleId="BalloonText">
    <w:name w:val="Balloon Text"/>
    <w:basedOn w:val="Normal"/>
    <w:link w:val="BalloonTextChar"/>
    <w:uiPriority w:val="99"/>
    <w:semiHidden/>
    <w:unhideWhenUsed/>
    <w:rsid w:val="000501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1BF"/>
    <w:rPr>
      <w:rFonts w:ascii="Segoe UI" w:hAnsi="Segoe UI" w:cs="Segoe UI"/>
      <w:sz w:val="18"/>
      <w:szCs w:val="18"/>
    </w:rPr>
  </w:style>
  <w:style w:type="character" w:styleId="LineNumber">
    <w:name w:val="line number"/>
    <w:basedOn w:val="DefaultParagraphFont"/>
    <w:uiPriority w:val="99"/>
    <w:semiHidden/>
    <w:unhideWhenUsed/>
    <w:rsid w:val="00A21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482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3280</Words>
  <Characters>18699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Coyle, Jayme (CDC/NIOSH/HELD/ACIB)</dc:creator>
  <cp:keywords/>
  <dc:description/>
  <cp:lastModifiedBy>Coyle, Jayme (CDC/NIOSH/HELD/ACIB)</cp:lastModifiedBy>
  <cp:revision>4</cp:revision>
  <dcterms:created xsi:type="dcterms:W3CDTF">2020-06-25T19:11:00Z</dcterms:created>
  <dcterms:modified xsi:type="dcterms:W3CDTF">2020-06-25T19:11:00Z</dcterms:modified>
</cp:coreProperties>
</file>