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814" w:rsidRDefault="000C5814" w:rsidP="000C5814">
      <w:pPr>
        <w:ind w:rightChars="40" w:right="88"/>
        <w:rPr>
          <w:rFonts w:ascii="Times New Roman" w:eastAsia="SimSun" w:hAnsi="Times New Roman" w:cs="Times New Roman"/>
          <w:sz w:val="24"/>
          <w:szCs w:val="24"/>
          <w:vertAlign w:val="superscript"/>
        </w:rPr>
      </w:pPr>
      <w:proofErr w:type="gramStart"/>
      <w:r w:rsidRPr="00C95D9A">
        <w:rPr>
          <w:rFonts w:ascii="Times New Roman" w:eastAsia="SimSun" w:hAnsi="Times New Roman" w:cs="Times New Roman"/>
          <w:sz w:val="24"/>
          <w:szCs w:val="24"/>
        </w:rPr>
        <w:t>Supplemental Table 6.</w:t>
      </w:r>
      <w:proofErr w:type="gramEnd"/>
      <w:r w:rsidRPr="00C95D9A">
        <w:rPr>
          <w:rFonts w:ascii="Times New Roman" w:eastAsia="SimSun" w:hAnsi="Times New Roman" w:cs="Times New Roman"/>
          <w:sz w:val="24"/>
          <w:szCs w:val="24"/>
        </w:rPr>
        <w:t xml:space="preserve"> The effect of diesel exhaust exposure status on 9</w:t>
      </w:r>
      <w:r w:rsidRPr="00C95D9A">
        <w:rPr>
          <w:rFonts w:ascii="Times New Roman" w:eastAsia="SimSun" w:hAnsi="Times New Roman" w:cs="Times New Roman"/>
          <w:sz w:val="24"/>
          <w:szCs w:val="24"/>
          <w:vertAlign w:val="superscript"/>
        </w:rPr>
        <w:t>th</w:t>
      </w:r>
      <w:r w:rsidRPr="00C95D9A">
        <w:rPr>
          <w:rFonts w:ascii="Times New Roman" w:eastAsia="SimSun" w:hAnsi="Times New Roman" w:cs="Times New Roman"/>
          <w:sz w:val="24"/>
          <w:szCs w:val="24"/>
        </w:rPr>
        <w:t xml:space="preserve"> generation airway dimensions in all study subjects (n=154</w:t>
      </w:r>
      <w:proofErr w:type="gramStart"/>
      <w:r w:rsidRPr="00C95D9A">
        <w:rPr>
          <w:rFonts w:ascii="Times New Roman" w:eastAsia="SimSun" w:hAnsi="Times New Roman" w:cs="Times New Roman"/>
          <w:sz w:val="24"/>
          <w:szCs w:val="24"/>
        </w:rPr>
        <w:t>)</w:t>
      </w:r>
      <w:r w:rsidRPr="00C95D9A">
        <w:rPr>
          <w:rFonts w:ascii="Times New Roman" w:eastAsia="SimSun" w:hAnsi="Times New Roman" w:cs="Times New Roman"/>
          <w:sz w:val="24"/>
          <w:szCs w:val="24"/>
          <w:vertAlign w:val="superscript"/>
        </w:rPr>
        <w:t>a</w:t>
      </w:r>
      <w:proofErr w:type="gramEnd"/>
    </w:p>
    <w:p w:rsidR="000C5814" w:rsidRPr="00C95D9A" w:rsidRDefault="000C5814" w:rsidP="000C5814">
      <w:pPr>
        <w:ind w:rightChars="40" w:right="88"/>
        <w:rPr>
          <w:rFonts w:ascii="Times New Roman" w:eastAsia="SimSun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CellMar>
          <w:left w:w="11" w:type="dxa"/>
          <w:right w:w="11" w:type="dxa"/>
        </w:tblCellMar>
        <w:tblLook w:val="04A0" w:firstRow="1" w:lastRow="0" w:firstColumn="1" w:lastColumn="0" w:noHBand="0" w:noVBand="1"/>
      </w:tblPr>
      <w:tblGrid>
        <w:gridCol w:w="2362"/>
        <w:gridCol w:w="2068"/>
        <w:gridCol w:w="2068"/>
        <w:gridCol w:w="2068"/>
        <w:gridCol w:w="816"/>
      </w:tblGrid>
      <w:tr w:rsidR="000C5814" w:rsidRPr="00C95D9A" w:rsidTr="009F5D00">
        <w:trPr>
          <w:trHeight w:val="312"/>
          <w:jc w:val="center"/>
        </w:trPr>
        <w:tc>
          <w:tcPr>
            <w:tcW w:w="1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11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Non-DET (n=76)</w:t>
            </w:r>
          </w:p>
        </w:tc>
        <w:tc>
          <w:tcPr>
            <w:tcW w:w="11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DET (n=78)</w:t>
            </w:r>
          </w:p>
        </w:tc>
        <w:tc>
          <w:tcPr>
            <w:tcW w:w="11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Ratio (</w:t>
            </w:r>
            <w:proofErr w:type="gramStart"/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95CI%</w:t>
            </w:r>
            <w:proofErr w:type="gramEnd"/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Wall area (mm</w:t>
            </w: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0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LB1+2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2.3 (1.6, 3.1)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2.3 (1.8, 3.3)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LB9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2.8 (1.9, 4.1)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2.9 (2.2, 4.4)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RB9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2.6 (1.8, 4.3)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2.6 (1.8, 4.1)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RB1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2.4 (1.7, 3.2)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2.5 (1.9, 3.4)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All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hAnsi="Times New Roman" w:cs="Times New Roman"/>
                <w:sz w:val="24"/>
                <w:szCs w:val="24"/>
              </w:rPr>
              <w:t>2.5 (2.3, 2.8)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D9A">
              <w:rPr>
                <w:rFonts w:ascii="Times New Roman" w:hAnsi="Times New Roman" w:cs="Times New Roman"/>
                <w:sz w:val="24"/>
                <w:szCs w:val="24"/>
              </w:rPr>
              <w:t>2.8 (2.6, 3.1)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D9A">
              <w:rPr>
                <w:rFonts w:ascii="Times New Roman" w:hAnsi="Times New Roman" w:cs="Times New Roman"/>
                <w:sz w:val="24"/>
                <w:szCs w:val="24"/>
              </w:rPr>
              <w:t>1.12 (0.98, 1.28 )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D9A">
              <w:rPr>
                <w:rFonts w:ascii="Times New Roman" w:hAnsi="Times New Roman" w:cs="Times New Roman"/>
                <w:sz w:val="24"/>
                <w:szCs w:val="24"/>
              </w:rPr>
              <w:t>0.090</w:t>
            </w: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Lumen area (mm</w:t>
            </w: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LB1+2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3.0 (2.2, 3.6)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3.0 (2.4, 3.7)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LB9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3.5 (2.8, 4.9)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3.9 (3.0, 5.0)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RB9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3.4 (2.7, 4.2)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3.7 (2.7, 4.3)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RB1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2.8 (2.0, 3.6)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2.9 (2.3, 3.5)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All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hAnsi="Times New Roman" w:cs="Times New Roman"/>
                <w:sz w:val="24"/>
                <w:szCs w:val="24"/>
              </w:rPr>
              <w:t>3.0 (2.8, 3.2)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D9A">
              <w:rPr>
                <w:rFonts w:ascii="Times New Roman" w:hAnsi="Times New Roman" w:cs="Times New Roman"/>
                <w:sz w:val="24"/>
                <w:szCs w:val="24"/>
              </w:rPr>
              <w:t>3.3 (3.1, 3.5)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D9A">
              <w:rPr>
                <w:rFonts w:ascii="Times New Roman" w:hAnsi="Times New Roman" w:cs="Times New Roman"/>
                <w:sz w:val="24"/>
                <w:szCs w:val="24"/>
              </w:rPr>
              <w:t>1.09 (0.99, 1.19)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D9A">
              <w:rPr>
                <w:rFonts w:ascii="Times New Roman" w:hAnsi="Times New Roman" w:cs="Times New Roman"/>
                <w:sz w:val="24"/>
                <w:szCs w:val="24"/>
              </w:rPr>
              <w:t>0.067</w:t>
            </w: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Airway</w:t>
            </w: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area (mm</w:t>
            </w: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LB1+2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5.4 (4.4, 6.4)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5.5 (4.6, 7.1)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LB9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6.7 (5.3, 7.8)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7.1 (6.2, 8.9)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RB9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6.4 (5.2, 7.8)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6.5 (5.5, 8.0)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RB1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5.2 (4.1, 6.8)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5.6 (4.4, 6.8)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814" w:rsidRPr="00C95D9A" w:rsidTr="009F5D00">
        <w:trPr>
          <w:trHeight w:val="312"/>
          <w:jc w:val="center"/>
        </w:trPr>
        <w:tc>
          <w:tcPr>
            <w:tcW w:w="1259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All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C95D9A">
              <w:rPr>
                <w:rFonts w:ascii="Times New Roman" w:hAnsi="Times New Roman" w:cs="Times New Roman"/>
                <w:sz w:val="24"/>
                <w:szCs w:val="24"/>
              </w:rPr>
              <w:t>5.8 (5.5, 6.1)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D9A">
              <w:rPr>
                <w:rFonts w:ascii="Times New Roman" w:hAnsi="Times New Roman" w:cs="Times New Roman"/>
                <w:sz w:val="24"/>
                <w:szCs w:val="24"/>
              </w:rPr>
              <w:t>6.4 (6.1, 6.7)</w:t>
            </w:r>
          </w:p>
        </w:tc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1.10 (1.03, 1.18)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0C5814" w:rsidRPr="00C95D9A" w:rsidRDefault="000C5814" w:rsidP="009F5D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D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0.005</w:t>
            </w:r>
          </w:p>
        </w:tc>
      </w:tr>
    </w:tbl>
    <w:p w:rsidR="000C5814" w:rsidRPr="00C95D9A" w:rsidRDefault="000C5814" w:rsidP="000C5814">
      <w:pPr>
        <w:ind w:rightChars="-27" w:right="-59"/>
        <w:rPr>
          <w:rFonts w:ascii="Times New Roman" w:hAnsi="Times New Roman" w:cs="Times New Roman"/>
          <w:sz w:val="24"/>
          <w:szCs w:val="24"/>
        </w:rPr>
      </w:pPr>
      <w:bookmarkStart w:id="0" w:name="_Hlk41559642"/>
      <w:r w:rsidRPr="00C95D9A">
        <w:rPr>
          <w:rFonts w:ascii="Times New Roman" w:hAnsi="Times New Roman" w:cs="Times New Roman"/>
          <w:sz w:val="24"/>
          <w:szCs w:val="24"/>
        </w:rPr>
        <w:t xml:space="preserve">Deﬁnition of abbreviations: DETs = diesel engine testers; CI = confidence interval; LB = left bronchus; RB = right bronchus. </w:t>
      </w:r>
    </w:p>
    <w:p w:rsidR="000C5814" w:rsidRPr="00C95D9A" w:rsidRDefault="000C5814" w:rsidP="000C5814">
      <w:pPr>
        <w:ind w:rightChars="-27" w:right="-59"/>
        <w:rPr>
          <w:rFonts w:ascii="Times New Roman" w:hAnsi="Times New Roman" w:cs="Times New Roman"/>
          <w:sz w:val="24"/>
          <w:szCs w:val="24"/>
        </w:rPr>
      </w:pPr>
      <w:r w:rsidRPr="00C95D9A">
        <w:rPr>
          <w:rFonts w:ascii="Times New Roman" w:eastAsia="DengXian" w:hAnsi="Times New Roman" w:cs="Times New Roman"/>
          <w:sz w:val="24"/>
          <w:szCs w:val="24"/>
          <w:vertAlign w:val="superscript"/>
        </w:rPr>
        <w:t>a</w:t>
      </w:r>
      <w:r w:rsidRPr="00C95D9A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>
        <w:rPr>
          <w:rFonts w:ascii="Times New Roman" w:eastAsia="DengXian" w:hAnsi="Times New Roman" w:cs="Times New Roman"/>
          <w:sz w:val="24"/>
          <w:szCs w:val="24"/>
        </w:rPr>
        <w:t>Linear mixed effects model</w:t>
      </w:r>
      <w:r w:rsidRPr="00C95D9A">
        <w:rPr>
          <w:rFonts w:ascii="Times New Roman" w:eastAsia="DengXian" w:hAnsi="Times New Roman" w:cs="Times New Roman"/>
          <w:sz w:val="24"/>
          <w:szCs w:val="24"/>
        </w:rPr>
        <w:t xml:space="preserve"> assessed differences of natural log transformed areas of wall, lumen, and airway between non-DETs and DETs with adjustment of age, BMI, smoking </w:t>
      </w:r>
      <w:r>
        <w:rPr>
          <w:rFonts w:ascii="Times New Roman" w:eastAsia="DengXian" w:hAnsi="Times New Roman" w:cs="Times New Roman"/>
          <w:sz w:val="24"/>
          <w:szCs w:val="24"/>
        </w:rPr>
        <w:t>history</w:t>
      </w:r>
      <w:r w:rsidRPr="00C95D9A">
        <w:rPr>
          <w:rFonts w:ascii="Times New Roman" w:eastAsia="DengXian" w:hAnsi="Times New Roman" w:cs="Times New Roman"/>
          <w:sz w:val="24"/>
          <w:szCs w:val="24"/>
        </w:rPr>
        <w:t xml:space="preserve">, CT reconstruction method, and lung lobes. </w:t>
      </w:r>
      <w:r w:rsidRPr="00C95D9A">
        <w:rPr>
          <w:rFonts w:ascii="Times New Roman" w:hAnsi="Times New Roman" w:cs="Times New Roman"/>
          <w:sz w:val="24"/>
          <w:szCs w:val="24"/>
        </w:rPr>
        <w:t>Indices were shown as median (Q1, Q3). Ratio = e</w:t>
      </w:r>
      <w:r w:rsidRPr="00C95D9A">
        <w:rPr>
          <w:rFonts w:ascii="Times New Roman" w:hAnsi="Times New Roman" w:cs="Times New Roman"/>
          <w:sz w:val="24"/>
          <w:szCs w:val="24"/>
          <w:vertAlign w:val="superscript"/>
        </w:rPr>
        <w:t>β</w:t>
      </w:r>
      <w:r w:rsidRPr="00C95D9A">
        <w:rPr>
          <w:rFonts w:ascii="Times New Roman" w:hAnsi="Times New Roman" w:cs="Times New Roman"/>
          <w:sz w:val="24"/>
          <w:szCs w:val="24"/>
        </w:rPr>
        <w:t xml:space="preserve">, 95%CI = </w:t>
      </w:r>
      <w:proofErr w:type="gramStart"/>
      <w:r w:rsidRPr="00C95D9A">
        <w:rPr>
          <w:rFonts w:ascii="Times New Roman" w:hAnsi="Times New Roman" w:cs="Times New Roman"/>
          <w:sz w:val="24"/>
          <w:szCs w:val="24"/>
        </w:rPr>
        <w:t>e</w:t>
      </w:r>
      <w:r w:rsidRPr="00C95D9A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Pr="00C95D9A">
        <w:rPr>
          <w:rFonts w:ascii="Times New Roman" w:hAnsi="Times New Roman" w:cs="Times New Roman"/>
          <w:sz w:val="24"/>
          <w:szCs w:val="24"/>
          <w:vertAlign w:val="superscript"/>
        </w:rPr>
        <w:t xml:space="preserve">β ± 1.96×Se) </w:t>
      </w:r>
      <w:r w:rsidRPr="00C95D9A">
        <w:rPr>
          <w:rFonts w:ascii="Times New Roman" w:hAnsi="Times New Roman" w:cs="Times New Roman"/>
          <w:sz w:val="24"/>
          <w:szCs w:val="24"/>
        </w:rPr>
        <w:t xml:space="preserve">. Descriptive statistics for all were exponentials of least square means and 95%CIs that were calculated based on natural log transformed data using </w:t>
      </w:r>
      <w:r>
        <w:rPr>
          <w:rFonts w:ascii="Times New Roman" w:hAnsi="Times New Roman" w:cs="Times New Roman"/>
          <w:sz w:val="24"/>
          <w:szCs w:val="24"/>
        </w:rPr>
        <w:t>linear mixed effects model</w:t>
      </w:r>
      <w:r w:rsidRPr="00C95D9A">
        <w:rPr>
          <w:rFonts w:ascii="Times New Roman" w:hAnsi="Times New Roman" w:cs="Times New Roman"/>
          <w:sz w:val="24"/>
          <w:szCs w:val="24"/>
        </w:rPr>
        <w:t xml:space="preserve"> with adjustment for covariates listed above and may be regarded as an overall level of airway dimension indices based on the four sampled airways of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95D9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95D9A">
        <w:rPr>
          <w:rFonts w:ascii="Times New Roman" w:hAnsi="Times New Roman" w:cs="Times New Roman"/>
          <w:sz w:val="24"/>
          <w:szCs w:val="24"/>
        </w:rPr>
        <w:t xml:space="preserve"> generation.</w:t>
      </w:r>
    </w:p>
    <w:bookmarkEnd w:id="0"/>
    <w:p w:rsidR="000C5814" w:rsidRPr="00C95D9A" w:rsidRDefault="000C5814" w:rsidP="000C5814">
      <w:pPr>
        <w:ind w:rightChars="-27" w:right="-59"/>
        <w:rPr>
          <w:rFonts w:ascii="Times New Roman" w:hAnsi="Times New Roman" w:cs="Times New Roman"/>
          <w:sz w:val="24"/>
          <w:szCs w:val="24"/>
        </w:rPr>
      </w:pPr>
      <w:r w:rsidRPr="00C95D9A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9D6D5B" w:rsidRPr="000C5814" w:rsidRDefault="009D6D5B" w:rsidP="000C5814">
      <w:bookmarkStart w:id="1" w:name="_GoBack"/>
      <w:bookmarkEnd w:id="1"/>
    </w:p>
    <w:sectPr w:rsidR="009D6D5B" w:rsidRPr="000C5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SimSun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DC3"/>
    <w:rsid w:val="000C5814"/>
    <w:rsid w:val="00163DC3"/>
    <w:rsid w:val="00414416"/>
    <w:rsid w:val="004D6B2E"/>
    <w:rsid w:val="005E517A"/>
    <w:rsid w:val="00995BD9"/>
    <w:rsid w:val="009D6D5B"/>
    <w:rsid w:val="00A53A75"/>
    <w:rsid w:val="00BE799C"/>
    <w:rsid w:val="00CB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1362</Characters>
  <Application>Microsoft Office Word</Application>
  <DocSecurity>0</DocSecurity>
  <Lines>151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2021-03-15T08:08:00Z</dcterms:created>
  <dcterms:modified xsi:type="dcterms:W3CDTF">2021-03-15T08:08:00Z</dcterms:modified>
</cp:coreProperties>
</file>