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D57" w:rsidRDefault="00BC5A67">
      <w:proofErr w:type="spellStart"/>
      <w:r>
        <w:t>Additional</w:t>
      </w:r>
      <w:proofErr w:type="spellEnd"/>
      <w:r>
        <w:t xml:space="preserve"> information 10</w:t>
      </w:r>
    </w:p>
    <w:p w:rsidR="00BC5A67" w:rsidRDefault="00BC5A67" w:rsidP="00284E95">
      <w:pPr>
        <w:jc w:val="center"/>
      </w:pPr>
      <w:r>
        <w:object w:dxaOrig="16101" w:dyaOrig="8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245.5pt" o:ole="" filled="t">
            <v:imagedata r:id="rId5" o:title=""/>
          </v:shape>
          <o:OLEObject Type="Embed" ProgID="Prism9.Document" ShapeID="_x0000_i1025" DrawAspect="Content" ObjectID="_1722685339" r:id="rId6"/>
        </w:object>
      </w:r>
    </w:p>
    <w:p w:rsidR="00B55B6C" w:rsidRDefault="00BC5A67">
      <w:pPr>
        <w:rPr>
          <w:lang w:val="en-US"/>
        </w:rPr>
      </w:pPr>
      <w:r w:rsidRPr="00284E95">
        <w:rPr>
          <w:lang w:val="en-US"/>
        </w:rPr>
        <w:t>Figure</w:t>
      </w:r>
      <w:r w:rsidR="00284E95" w:rsidRPr="00284E95">
        <w:rPr>
          <w:lang w:val="en-US"/>
        </w:rPr>
        <w:t xml:space="preserve"> S4. </w:t>
      </w:r>
      <w:r w:rsidR="00284E95" w:rsidRPr="00284E95">
        <w:rPr>
          <w:i/>
          <w:lang w:val="en-US"/>
        </w:rPr>
        <w:t>Saa3</w:t>
      </w:r>
      <w:r w:rsidR="00284E95">
        <w:rPr>
          <w:lang w:val="en-US"/>
        </w:rPr>
        <w:t xml:space="preserve"> mRNA levels in lung</w:t>
      </w:r>
      <w:r w:rsidR="00543F4A">
        <w:rPr>
          <w:lang w:val="en-US"/>
        </w:rPr>
        <w:t xml:space="preserve"> tissue</w:t>
      </w:r>
      <w:r w:rsidR="00B55B6C">
        <w:rPr>
          <w:lang w:val="en-US"/>
        </w:rPr>
        <w:t xml:space="preserve"> from mice, 1 day after </w:t>
      </w:r>
      <w:proofErr w:type="spellStart"/>
      <w:r w:rsidR="00B55B6C" w:rsidRPr="00B55B6C">
        <w:rPr>
          <w:lang w:val="en-US"/>
        </w:rPr>
        <w:t>intratracheally</w:t>
      </w:r>
      <w:proofErr w:type="spellEnd"/>
      <w:r w:rsidR="00B55B6C" w:rsidRPr="00B55B6C">
        <w:rPr>
          <w:lang w:val="en-US"/>
        </w:rPr>
        <w:t xml:space="preserve"> instill</w:t>
      </w:r>
      <w:r w:rsidR="00B55B6C">
        <w:rPr>
          <w:lang w:val="en-US"/>
        </w:rPr>
        <w:t>ation</w:t>
      </w:r>
      <w:r w:rsidR="00B55B6C" w:rsidRPr="00B55B6C">
        <w:rPr>
          <w:lang w:val="en-US"/>
        </w:rPr>
        <w:t xml:space="preserve"> with 2, 6 or 18 µg of ZnO</w:t>
      </w:r>
      <w:r w:rsidR="00B55B6C">
        <w:rPr>
          <w:lang w:val="en-US"/>
        </w:rPr>
        <w:t xml:space="preserve">. </w:t>
      </w:r>
      <w:r w:rsidR="00B55B6C" w:rsidRPr="00284E95">
        <w:rPr>
          <w:lang w:val="en-US"/>
        </w:rPr>
        <w:t>Data are shown as mean and bars represent SD</w:t>
      </w:r>
      <w:r w:rsidR="00B55B6C">
        <w:rPr>
          <w:lang w:val="en-US"/>
        </w:rPr>
        <w:t xml:space="preserve">. More details can be found in </w:t>
      </w:r>
      <w:r w:rsidR="00B55B6C">
        <w:rPr>
          <w:lang w:val="en-US"/>
        </w:rPr>
        <w:fldChar w:fldCharType="begin" w:fldLock="1"/>
      </w:r>
      <w:r w:rsidR="00B55B6C">
        <w:rPr>
          <w:lang w:val="en-US"/>
        </w:rPr>
        <w:instrText>ADDIN CSL_CITATION {"citationItems":[{"id":"ITEM-1","itemData":{"DOI":"10.1016/j.fct.2015.08.008","ISSN":"18736351","PMID":"26260750","abstract":"Inhalation is the main pathway of ZnO exposure in the occupational environment but only few studies have addressed toxic effects after pulmonary exposure to ZnO nanoparticles (NP). Here we present results from three studies of pulmonary exposure and toxicity of ZnO NP in mice. The studies were prematurely terminated because interim results unexpectedly showed severe pulmonary toxicity. High bolus doses of ZnO NP (25 up to 100 μg; ≥1.4 mg/kg) were clearly associated with a dose dependent mortality in the mice. Lower doses (≥6 μg; ≥0.3 mg/kg) elicited acute toxicity in terms of reduced weight gain, desquamation of epithelial cells with concomitantly increased barrier permeability of the alveolar/blood as well as DNA damage. Oxidative stress was shown via a strong increase in lipid peroxidation and reduced glutathione in the pulmonary tissue. Two months post-exposure revealed no obvious toxicity for 12.5 and 25 μg on a range of parameters. However, mice that survived a high dose (50 μg; 2.7 mg/kg) had an increased pulmonary collagen accumulation (fibrosis) at a similar level as a high bolus dose of crystalline silica. The recovery from these toxicological effects appeared dose-dependent. The results indicate that alveolar deposition of ZnO NP may cause significant adverse health effects.","author":[{"dropping-particle":"","family":"Jacobsen","given":"Nicklas Raun","non-dropping-particle":"","parse-names":false,"suffix":""},{"dropping-particle":"","family":"Stoeger","given":"Tobias","non-dropping-particle":"","parse-names":false,"suffix":""},{"dropping-particle":"","family":"Brule","given":"Sybille","non-dropping-particle":"van den","parse-names":false,"suffix":""},{"dropping-particle":"","family":"Saber","given":"Anne Thoustrup","non-dropping-particle":"","parse-names":false,"suffix":""},{"dropping-particle":"","family":"Beyerle","given":"Andrea","non-dropping-particle":"","parse-names":false,"suffix":""},{"dropping-particle":"","family":"Vietti","given":"Giulia","non-dropping-particle":"","parse-names":false,"suffix":""},{"dropping-particle":"","family":"Mortensen","given":"Alicja","non-dropping-particle":"","parse-names":false,"suffix":""},{"dropping-particle":"","family":"Szarek","given":"Józef","non-dropping-particle":"","parse-names":false,"suffix":""},{"dropping-particle":"","family":"Budtz","given":"Hans Christian","non-dropping-particle":"","parse-names":false,"suffix":""},{"dropping-particle":"","family":"Kermanizadeh","given":"Ali","non-dropping-particle":"","parse-names":false,"suffix":""},{"dropping-particle":"","family":"Banerjee","given":"Atrayee","non-dropping-particle":"","parse-names":false,"suffix":""},{"dropping-particle":"","family":"Ercal","given":"Nuran","non-dropping-particle":"","parse-names":false,"suffix":""},{"dropping-particle":"","family":"Vogel","given":"Ulla","non-dropping-particle":"","parse-names":false,"suffix":""},{"dropping-particle":"","family":"Wallin","given":"Håkan","non-dropping-particle":"","parse-names":false,"suffix":""},{"dropping-particle":"","family":"Møller","given":"Peter","non-dropping-particle":"","parse-names":false,"suffix":""}],"container-title":"Food and Chemical Toxicology","id":"ITEM-1","issued":{"date-parts":[["2015"]]},"page":"84-95","title":"Acute and subacute pulmonary toxicity and mortality in mice after intratracheal instillation of ZnO nanoparticles in three laboratories","type":"article-journal","volume":"85"},"uris":["http://www.mendeley.com/documents/?uuid=cd5340dc-e915-42bf-9a4c-bd12ce829053"]}],"mendeley":{"formattedCitation":"(Jacobsen et al., 2015)","manualFormatting":"Jacobsen et al. (2015)","plainTextFormattedCitation":"(Jacobsen et al., 2015)","previouslyFormattedCitation":"(Jacobsen et al., 2015)"},"properties":{"noteIndex":0},"schema":"https://github.com/citation-style-language/schema/raw/master/csl-citation.json"}</w:instrText>
      </w:r>
      <w:r w:rsidR="00B55B6C">
        <w:rPr>
          <w:lang w:val="en-US"/>
        </w:rPr>
        <w:fldChar w:fldCharType="separate"/>
      </w:r>
      <w:r w:rsidR="00B55B6C" w:rsidRPr="002011F9">
        <w:rPr>
          <w:noProof/>
          <w:lang w:val="en-US"/>
        </w:rPr>
        <w:t>Jacobsen et al.</w:t>
      </w:r>
      <w:r w:rsidR="00B55B6C">
        <w:rPr>
          <w:noProof/>
          <w:lang w:val="en-US"/>
        </w:rPr>
        <w:t xml:space="preserve"> (</w:t>
      </w:r>
      <w:r w:rsidR="00B55B6C" w:rsidRPr="002011F9">
        <w:rPr>
          <w:noProof/>
          <w:lang w:val="en-US"/>
        </w:rPr>
        <w:t>2015)</w:t>
      </w:r>
      <w:r w:rsidR="00B55B6C">
        <w:rPr>
          <w:lang w:val="en-US"/>
        </w:rPr>
        <w:fldChar w:fldCharType="end"/>
      </w:r>
      <w:r w:rsidR="00B55B6C" w:rsidRPr="00B55B6C">
        <w:rPr>
          <w:lang w:val="en-US"/>
        </w:rPr>
        <w:t>.</w:t>
      </w:r>
      <w:r w:rsidR="00B55B6C">
        <w:rPr>
          <w:lang w:val="en-US"/>
        </w:rPr>
        <w:t xml:space="preserve"> </w:t>
      </w:r>
    </w:p>
    <w:p w:rsidR="00BC5A67" w:rsidRDefault="00BC5A67">
      <w:pPr>
        <w:rPr>
          <w:lang w:val="en-US"/>
        </w:rPr>
      </w:pPr>
    </w:p>
    <w:p w:rsidR="00B55B6C" w:rsidRPr="00284E95" w:rsidRDefault="00B55B6C">
      <w:pPr>
        <w:rPr>
          <w:lang w:val="en-US"/>
        </w:rPr>
      </w:pPr>
      <w:bookmarkStart w:id="0" w:name="_GoBack"/>
      <w:bookmarkEnd w:id="0"/>
    </w:p>
    <w:p w:rsidR="00BC5A67" w:rsidRPr="00B55B6C" w:rsidRDefault="00284E95" w:rsidP="00284E95">
      <w:pPr>
        <w:jc w:val="center"/>
        <w:rPr>
          <w:lang w:val="en-US"/>
        </w:rPr>
      </w:pPr>
      <w:r>
        <w:object w:dxaOrig="15799" w:dyaOrig="10591">
          <v:shape id="_x0000_i1026" type="#_x0000_t75" style="width:352.5pt;height:236pt" o:ole="" filled="t">
            <v:imagedata r:id="rId7" o:title=""/>
          </v:shape>
          <o:OLEObject Type="Embed" ProgID="Prism9.Document" ShapeID="_x0000_i1026" DrawAspect="Content" ObjectID="_1722685340" r:id="rId8"/>
        </w:object>
      </w:r>
    </w:p>
    <w:p w:rsidR="00B55B6C" w:rsidRDefault="00284E95" w:rsidP="00B55B6C">
      <w:pPr>
        <w:rPr>
          <w:lang w:val="en-US"/>
        </w:rPr>
      </w:pPr>
      <w:r w:rsidRPr="00B55B6C">
        <w:rPr>
          <w:lang w:val="en-US"/>
        </w:rPr>
        <w:t>Figure S5.</w:t>
      </w:r>
      <w:r w:rsidR="00B55B6C">
        <w:rPr>
          <w:lang w:val="en-US"/>
        </w:rPr>
        <w:t xml:space="preserve"> </w:t>
      </w:r>
      <w:r w:rsidR="00B55B6C" w:rsidRPr="00B55B6C">
        <w:rPr>
          <w:lang w:val="en-US"/>
        </w:rPr>
        <w:t>SAA3 protein levels in plasma</w:t>
      </w:r>
      <w:r w:rsidR="00B55B6C">
        <w:rPr>
          <w:lang w:val="en-US"/>
        </w:rPr>
        <w:t xml:space="preserve"> from mice, 1 day after </w:t>
      </w:r>
      <w:proofErr w:type="spellStart"/>
      <w:r w:rsidR="00B55B6C" w:rsidRPr="00B55B6C">
        <w:rPr>
          <w:lang w:val="en-US"/>
        </w:rPr>
        <w:t>intratracheally</w:t>
      </w:r>
      <w:proofErr w:type="spellEnd"/>
      <w:r w:rsidR="00B55B6C" w:rsidRPr="00B55B6C">
        <w:rPr>
          <w:lang w:val="en-US"/>
        </w:rPr>
        <w:t xml:space="preserve"> instill</w:t>
      </w:r>
      <w:r w:rsidR="00B55B6C">
        <w:rPr>
          <w:lang w:val="en-US"/>
        </w:rPr>
        <w:t>ation</w:t>
      </w:r>
      <w:r w:rsidR="00B55B6C" w:rsidRPr="00B55B6C">
        <w:rPr>
          <w:lang w:val="en-US"/>
        </w:rPr>
        <w:t xml:space="preserve"> with 6 or 18 µg of ZnO</w:t>
      </w:r>
      <w:r w:rsidR="00B55B6C">
        <w:rPr>
          <w:lang w:val="en-US"/>
        </w:rPr>
        <w:t xml:space="preserve">. </w:t>
      </w:r>
      <w:r w:rsidR="00B55B6C" w:rsidRPr="00284E95">
        <w:rPr>
          <w:lang w:val="en-US"/>
        </w:rPr>
        <w:t>Data are shown as mean and bars represent SD</w:t>
      </w:r>
      <w:r w:rsidR="00B55B6C">
        <w:rPr>
          <w:lang w:val="en-US"/>
        </w:rPr>
        <w:t xml:space="preserve">. More details can be found in </w:t>
      </w:r>
      <w:r w:rsidR="00B55B6C">
        <w:rPr>
          <w:lang w:val="en-US"/>
        </w:rPr>
        <w:fldChar w:fldCharType="begin" w:fldLock="1"/>
      </w:r>
      <w:r w:rsidR="00B55B6C">
        <w:rPr>
          <w:lang w:val="en-US"/>
        </w:rPr>
        <w:instrText>ADDIN CSL_CITATION {"citationItems":[{"id":"ITEM-1","itemData":{"DOI":"10.1016/j.fct.2015.08.008","ISSN":"18736351","PMID":"26260750","abstract":"Inhalation is the main pathway of ZnO exposure in the occupational environment but only few studies have addressed toxic effects after pulmonary exposure to ZnO nanoparticles (NP). Here we present results from three studies of pulmonary exposure and toxicity of ZnO NP in mice. The studies were prematurely terminated because interim results unexpectedly showed severe pulmonary toxicity. High bolus doses of ZnO NP (25 up to 100 μg; ≥1.4 mg/kg) were clearly associated with a dose dependent mortality in the mice. Lower doses (≥6 μg; ≥0.3 mg/kg) elicited acute toxicity in terms of reduced weight gain, desquamation of epithelial cells with concomitantly increased barrier permeability of the alveolar/blood as well as DNA damage. Oxidative stress was shown via a strong increase in lipid peroxidation and reduced glutathione in the pulmonary tissue. Two months post-exposure revealed no obvious toxicity for 12.5 and 25 μg on a range of parameters. However, mice that survived a high dose (50 μg; 2.7 mg/kg) had an increased pulmonary collagen accumulation (fibrosis) at a similar level as a high bolus dose of crystalline silica. The recovery from these toxicological effects appeared dose-dependent. The results indicate that alveolar deposition of ZnO NP may cause significant adverse health effects.","author":[{"dropping-particle":"","family":"Jacobsen","given":"Nicklas Raun","non-dropping-particle":"","parse-names":false,"suffix":""},{"dropping-particle":"","family":"Stoeger","given":"Tobias","non-dropping-particle":"","parse-names":false,"suffix":""},{"dropping-particle":"","family":"Brule","given":"Sybille","non-dropping-particle":"van den","parse-names":false,"suffix":""},{"dropping-particle":"","family":"Saber","given":"Anne Thoustrup","non-dropping-particle":"","parse-names":false,"suffix":""},{"dropping-particle":"","family":"Beyerle","given":"Andrea","non-dropping-particle":"","parse-names":false,"suffix":""},{"dropping-particle":"","family":"Vietti","given":"Giulia","non-dropping-particle":"","parse-names":false,"suffix":""},{"dropping-particle":"","family":"Mortensen","given":"Alicja","non-dropping-particle":"","parse-names":false,"suffix":""},{"dropping-particle":"","family":"Szarek","given":"Józef","non-dropping-particle":"","parse-names":false,"suffix":""},{"dropping-particle":"","family":"Budtz","given":"Hans Christian","non-dropping-particle":"","parse-names":false,"suffix":""},{"dropping-particle":"","family":"Kermanizadeh","given":"Ali","non-dropping-particle":"","parse-names":false,"suffix":""},{"dropping-particle":"","family":"Banerjee","given":"Atrayee","non-dropping-particle":"","parse-names":false,"suffix":""},{"dropping-particle":"","family":"Ercal","given":"Nuran","non-dropping-particle":"","parse-names":false,"suffix":""},{"dropping-particle":"","family":"Vogel","given":"Ulla","non-dropping-particle":"","parse-names":false,"suffix":""},{"dropping-particle":"","family":"Wallin","given":"Håkan","non-dropping-particle":"","parse-names":false,"suffix":""},{"dropping-particle":"","family":"Møller","given":"Peter","non-dropping-particle":"","parse-names":false,"suffix":""}],"container-title":"Food and Chemical Toxicology","id":"ITEM-1","issued":{"date-parts":[["2015"]]},"page":"84-95","title":"Acute and subacute pulmonary toxicity and mortality in mice after intratracheal instillation of ZnO nanoparticles in three laboratories","type":"article-journal","volume":"85"},"uris":["http://www.mendeley.com/documents/?uuid=cd5340dc-e915-42bf-9a4c-bd12ce829053"]}],"mendeley":{"formattedCitation":"(Jacobsen et al., 2015)","manualFormatting":"Jacobsen et al. (2015)","plainTextFormattedCitation":"(Jacobsen et al., 2015)","previouslyFormattedCitation":"(Jacobsen et al., 2015)"},"properties":{"noteIndex":0},"schema":"https://github.com/citation-style-language/schema/raw/master/csl-citation.json"}</w:instrText>
      </w:r>
      <w:r w:rsidR="00B55B6C">
        <w:rPr>
          <w:lang w:val="en-US"/>
        </w:rPr>
        <w:fldChar w:fldCharType="separate"/>
      </w:r>
      <w:r w:rsidR="00B55B6C" w:rsidRPr="002011F9">
        <w:rPr>
          <w:noProof/>
          <w:lang w:val="en-US"/>
        </w:rPr>
        <w:t>Jacobsen et al.</w:t>
      </w:r>
      <w:r w:rsidR="00B55B6C">
        <w:rPr>
          <w:noProof/>
          <w:lang w:val="en-US"/>
        </w:rPr>
        <w:t xml:space="preserve"> (</w:t>
      </w:r>
      <w:r w:rsidR="00B55B6C" w:rsidRPr="002011F9">
        <w:rPr>
          <w:noProof/>
          <w:lang w:val="en-US"/>
        </w:rPr>
        <w:t>2015)</w:t>
      </w:r>
      <w:r w:rsidR="00B55B6C">
        <w:rPr>
          <w:lang w:val="en-US"/>
        </w:rPr>
        <w:fldChar w:fldCharType="end"/>
      </w:r>
      <w:r w:rsidR="00B55B6C" w:rsidRPr="00B55B6C">
        <w:rPr>
          <w:lang w:val="en-US"/>
        </w:rPr>
        <w:t>.</w:t>
      </w:r>
      <w:r w:rsidR="00B55B6C">
        <w:rPr>
          <w:lang w:val="en-US"/>
        </w:rPr>
        <w:t xml:space="preserve"> </w:t>
      </w:r>
    </w:p>
    <w:p w:rsidR="00BC5A67" w:rsidRPr="00B55B6C" w:rsidRDefault="00BC5A67">
      <w:pPr>
        <w:rPr>
          <w:lang w:val="en-US"/>
        </w:rPr>
      </w:pPr>
    </w:p>
    <w:sectPr w:rsidR="00BC5A67" w:rsidRPr="00B55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67"/>
    <w:rsid w:val="00171D57"/>
    <w:rsid w:val="00284E95"/>
    <w:rsid w:val="00543F4A"/>
    <w:rsid w:val="00784850"/>
    <w:rsid w:val="00B55B6C"/>
    <w:rsid w:val="00BC5A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235935"/>
  <w15:chartTrackingRefBased/>
  <w15:docId w15:val="{5841C4D3-7EA2-4923-8B1D-28A55383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35DE9-9A96-4041-B661-20D37B63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1569</Words>
  <Characters>6967</Characters>
  <Application>Microsoft Office Word</Application>
  <DocSecurity>0</DocSecurity>
  <Lines>211</Lines>
  <Paragraphs>68</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Andrea Torero Gutierrez</dc:creator>
  <cp:keywords/>
  <dc:description/>
  <cp:lastModifiedBy>Claudia Andrea Torero Gutierrez</cp:lastModifiedBy>
  <cp:revision>3</cp:revision>
  <dcterms:created xsi:type="dcterms:W3CDTF">2022-07-23T11:48:00Z</dcterms:created>
  <dcterms:modified xsi:type="dcterms:W3CDTF">2022-08-22T12:55:00Z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