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D57" w:rsidRPr="00664774" w:rsidRDefault="00664774">
      <w:pPr>
        <w:rPr>
          <w:lang w:val="en-US"/>
        </w:rPr>
      </w:pPr>
      <w:r w:rsidRPr="00664774">
        <w:rPr>
          <w:lang w:val="en-US"/>
        </w:rPr>
        <w:t>Additional information</w:t>
      </w:r>
    </w:p>
    <w:p w:rsidR="00664774" w:rsidRPr="00664774" w:rsidRDefault="00B71DBB">
      <w:pPr>
        <w:rPr>
          <w:lang w:val="en-US"/>
        </w:rPr>
      </w:pPr>
      <w:r>
        <w:rPr>
          <w:lang w:val="en-US"/>
        </w:rPr>
        <w:t>Table S</w:t>
      </w:r>
      <w:r w:rsidR="00F95B47">
        <w:rPr>
          <w:lang w:val="en-US"/>
        </w:rPr>
        <w:t>6</w:t>
      </w:r>
      <w:r w:rsidR="00664774" w:rsidRPr="00664774">
        <w:rPr>
          <w:lang w:val="en-US"/>
        </w:rPr>
        <w:t>. Publications used in the correlation analysis</w:t>
      </w:r>
      <w:r w:rsidR="00411D44">
        <w:rPr>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3918"/>
      </w:tblGrid>
      <w:tr w:rsidR="00664774" w:rsidRPr="00664774" w:rsidTr="00664774">
        <w:trPr>
          <w:trHeight w:val="372"/>
        </w:trPr>
        <w:tc>
          <w:tcPr>
            <w:tcW w:w="2827" w:type="pct"/>
            <w:shd w:val="clear" w:color="auto" w:fill="auto"/>
            <w:noWrap/>
            <w:vAlign w:val="center"/>
            <w:hideMark/>
          </w:tcPr>
          <w:p w:rsidR="00664774" w:rsidRPr="00664774" w:rsidRDefault="00664774" w:rsidP="00664774">
            <w:pPr>
              <w:spacing w:after="0" w:line="240" w:lineRule="auto"/>
              <w:jc w:val="center"/>
              <w:rPr>
                <w:rFonts w:ascii="Calibri" w:eastAsia="Times New Roman" w:hAnsi="Calibri" w:cs="Calibri"/>
                <w:b/>
                <w:color w:val="000000"/>
                <w:lang w:eastAsia="da-DK"/>
              </w:rPr>
            </w:pPr>
            <w:proofErr w:type="spellStart"/>
            <w:r w:rsidRPr="00664774">
              <w:rPr>
                <w:rFonts w:ascii="Calibri" w:eastAsia="Times New Roman" w:hAnsi="Calibri" w:cs="Calibri"/>
                <w:b/>
                <w:color w:val="000000"/>
                <w:lang w:eastAsia="da-DK"/>
              </w:rPr>
              <w:t>Publication</w:t>
            </w:r>
            <w:proofErr w:type="spellEnd"/>
          </w:p>
        </w:tc>
        <w:tc>
          <w:tcPr>
            <w:tcW w:w="2173" w:type="pct"/>
            <w:shd w:val="clear" w:color="auto" w:fill="auto"/>
            <w:noWrap/>
            <w:vAlign w:val="center"/>
            <w:hideMark/>
          </w:tcPr>
          <w:p w:rsidR="00664774" w:rsidRPr="00664774" w:rsidRDefault="00664774" w:rsidP="00664774">
            <w:pPr>
              <w:spacing w:after="0" w:line="240" w:lineRule="auto"/>
              <w:jc w:val="center"/>
              <w:rPr>
                <w:rFonts w:ascii="Calibri" w:eastAsia="Times New Roman" w:hAnsi="Calibri" w:cs="Calibri"/>
                <w:b/>
                <w:color w:val="000000"/>
                <w:lang w:eastAsia="da-DK"/>
              </w:rPr>
            </w:pPr>
            <w:proofErr w:type="spellStart"/>
            <w:r w:rsidRPr="00664774">
              <w:rPr>
                <w:rFonts w:ascii="Calibri" w:eastAsia="Times New Roman" w:hAnsi="Calibri" w:cs="Calibri"/>
                <w:b/>
                <w:color w:val="000000"/>
                <w:lang w:eastAsia="da-DK"/>
              </w:rPr>
              <w:t>Nanomaterials</w:t>
            </w:r>
            <w:proofErr w:type="spellEnd"/>
          </w:p>
        </w:tc>
      </w:tr>
      <w:tr w:rsidR="00664774" w:rsidRPr="00664774" w:rsidTr="00664774">
        <w:trPr>
          <w:trHeight w:val="290"/>
        </w:trPr>
        <w:tc>
          <w:tcPr>
            <w:tcW w:w="2827" w:type="pct"/>
            <w:shd w:val="clear" w:color="auto" w:fill="auto"/>
            <w:noWrap/>
            <w:vAlign w:val="center"/>
            <w:hideMark/>
          </w:tcPr>
          <w:p w:rsidR="00664774" w:rsidRPr="00664774" w:rsidRDefault="00411D44" w:rsidP="00411D44">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{"citationItems":[{"id":"ITEM-1","itemData":{"DOI":"10.1016/j.taap.2019.114830","ISSN":"10960333","PMID":"31734322","abstract":"Nanomaterial (NM) characteristics may affect the pulmonary toxicity and inflammatory response, including specific surface area, size, shape, crystal phase or other surface characteristics. Grouping of TiO2 in hazard assessment might be challenging because of variation in physicochemical properties. We exposed C57BL/6 J mice to a single dose of four anatase TiO2 NMs with various sizes and shapes by intratracheal instillation and assessed the pulmonary toxicity 1, 3, 28, 90 or 180 days post-exposure. The quartz DQ12 was included as benchmark particle. Pulmonary responses were evaluated by histopathology, electron microscopy, bronchoalveolar lavage (BAL) fluid cell composition and acute phase response. Genotoxicity was evaluated by DNA strand break levels in BAL cells, lung and liver in the comet assay. Multiple regression analyses were applied to identify specific TiO2 NMs properties important for the pulmonary inflammation and acute phase response. The TiO2 NMs induced similar inflammatory responses when surface area was used as dose metrics, although inflammatory and acute phase response was greatest and more persistent for the TiO2 tube. Similar histopathological changes were observed for the TiO2 tube and DQ12 including pulmonary alveolar proteinosis indicating profound effects related to the tube shape. Comparison with previously published data on rutile TiO2 NMs indicated that rutile TiO2 NMs were more inflammogenic in terms of neutrophil influx than anatase TiO2 NMs when normalized to total deposited surface area. Overall, the results suggest that specific surface area, crystal phase and shape of TiO2 NMs are important predictors for the observed pulmonary effects of TiO2 NMs.","author":[{"dropping-particle":"","family":"Danielsen","given":"Pernille Høgh","non-dropping-particle":"","parse-names":false,"suffix":""},{"dropping-particle":"","family":"Knudsen","given":"Kristina Bram","non-dropping-particle":"","parse-names":false,"suffix":""},{"dropping-particle":"","family":"Štrancar","given":"Janez","non-dropping-particle":"","parse-names":false,"suffix":""},{"dropping-particle":"","family":"Umek","given":"Polona","non-dropping-particle":"","parse-names":false,"suffix":""},{"dropping-particle":"","family":"Koklič","given":"Tilen","non-dropping-particle":"","parse-names":false,"suffix":""},{"dropping-particle":"","family":"Garvas","given":"Maja","non-dropping-particle":"","parse-names":false,"suffix":""},{"dropping-particle":"","family":"Vanhala","given":"Esa","non-dropping-particle":"","parse-names":false,"suffix":""},{"dropping-particle":"","family":"Savukoski","given":"Sauli","non-dropping-particle":"","parse-names":false,"suffix":""},{"dropping-particle":"","family":"Ding","given":"Yaobo","non-dropping-particle":"","parse-names":false,"suffix":""},{"dropping-particle":"","family":"Madsen","given":"Anne Mette","non-dropping-particle":"","parse-names":false,"suffix":""},{"dropping-particle":"","family":"Jacobsen","given":"Nicklas Raun","non-dropping-particle":"","parse-names":false,"suffix":""},{"dropping-particle":"","family":"Weydahl","given":"Ingrid Konow","non-dropping-particle":"","parse-names":false,"suffix":""},{"dropping-particle":"","family":"Berthing","given":"Trine","non-dropping-particle":"","parse-names":false,"suffix":""},{"dropping-particle":"","family":"Poulsen","given":"Sarah Søs","non-dropping-particle":"","parse-names":false,"suffix":""},{"dropping-particle":"","family":"Schmid","given":"Otmar","non-dropping-particle":"","parse-names":false,"suffix":""},{"dropping-particle":"","family":"Wolff","given":"Henrik","non-dropping-particle":"","parse-names":false,"suffix":""},{"dropping-particle":"","family":"Vogel","given":"Ulla","non-dropping-particle":"","parse-names":false,"suffix":""}],"container-title":"Toxicology and Applied Pharmacology","id":"ITEM-1","issue":"October 2019","issued":{"date-parts":[["2020"]]},"page":"114830","publisher":"Elsevier","title":"Effects of physicochemical properties of TiO2 nanomaterials for pulmonary inflammation, acute phase response and alveolar proteinosis in intratracheally exposed mice","type":"article-journal","volume":"386"},"uris":["http://www.mendeley.com/documents/?uuid=93cf132f-f56c-4838-92ac-1714f1e5db88"]}],"mendeley":{"formattedCitation":"(Danielsen et al., 2020)","manualFormatting":"Danielsen et al. (2020)","plainTextFormattedCitation":"(Danielsen et al., 2020)","previouslyFormattedCitation":"(Danielsen et al., 2020)"},"properties":{"noteIndex":0},"schema":"https://github.com/citation-style-language/schema/raw/master/csl-citation.json"}</w:instrText>
            </w:r>
            <w:r>
              <w:rPr>
                <w:rFonts w:ascii="Calibri" w:eastAsia="Times New Roman" w:hAnsi="Calibri" w:cs="Calibri"/>
                <w:color w:val="000000"/>
                <w:lang w:eastAsia="da-DK"/>
              </w:rPr>
              <w:fldChar w:fldCharType="separate"/>
            </w:r>
            <w:r w:rsidRPr="00411D44">
              <w:rPr>
                <w:rFonts w:ascii="Calibri" w:eastAsia="Times New Roman" w:hAnsi="Calibri" w:cs="Calibri"/>
                <w:noProof/>
                <w:color w:val="000000"/>
                <w:lang w:eastAsia="da-DK"/>
              </w:rPr>
              <w:t>Danielsen et al</w:t>
            </w:r>
            <w:r>
              <w:rPr>
                <w:rFonts w:ascii="Calibri" w:eastAsia="Times New Roman" w:hAnsi="Calibri" w:cs="Calibri"/>
                <w:noProof/>
                <w:color w:val="000000"/>
                <w:lang w:eastAsia="da-DK"/>
              </w:rPr>
              <w:t>.</w:t>
            </w:r>
            <w:r w:rsidRPr="00411D44">
              <w:rPr>
                <w:rFonts w:ascii="Calibri" w:eastAsia="Times New Roman" w:hAnsi="Calibri" w:cs="Calibri"/>
                <w:noProof/>
                <w:color w:val="000000"/>
                <w:lang w:eastAsia="da-DK"/>
              </w:rPr>
              <w:t xml:space="preserve"> </w:t>
            </w:r>
            <w:r>
              <w:rPr>
                <w:rFonts w:ascii="Calibri" w:eastAsia="Times New Roman" w:hAnsi="Calibri" w:cs="Calibri"/>
                <w:noProof/>
                <w:color w:val="000000"/>
                <w:lang w:eastAsia="da-DK"/>
              </w:rPr>
              <w:t>(</w:t>
            </w:r>
            <w:r w:rsidRPr="00411D44">
              <w:rPr>
                <w:rFonts w:ascii="Calibri" w:eastAsia="Times New Roman" w:hAnsi="Calibri" w:cs="Calibri"/>
                <w:noProof/>
                <w:color w:val="000000"/>
                <w:lang w:eastAsia="da-DK"/>
              </w:rPr>
              <w:t>2020)</w:t>
            </w:r>
            <w:r>
              <w:rPr>
                <w:rFonts w:ascii="Calibri" w:eastAsia="Times New Roman" w:hAnsi="Calibri" w:cs="Calibri"/>
                <w:color w:val="000000"/>
                <w:lang w:eastAsia="da-DK"/>
              </w:rPr>
              <w:fldChar w:fldCharType="end"/>
            </w:r>
          </w:p>
        </w:tc>
        <w:tc>
          <w:tcPr>
            <w:tcW w:w="2173" w:type="pct"/>
            <w:shd w:val="clear" w:color="auto" w:fill="auto"/>
            <w:noWrap/>
            <w:vAlign w:val="center"/>
            <w:hideMark/>
          </w:tcPr>
          <w:p w:rsidR="00664774" w:rsidRPr="00664774" w:rsidRDefault="00664774" w:rsidP="00664774">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TiO</w:t>
            </w:r>
            <w:r w:rsidRPr="00537C08">
              <w:rPr>
                <w:rFonts w:ascii="Calibri" w:eastAsia="Times New Roman" w:hAnsi="Calibri" w:cs="Calibri"/>
                <w:color w:val="000000"/>
                <w:vertAlign w:val="subscript"/>
                <w:lang w:eastAsia="da-DK"/>
              </w:rPr>
              <w:t>2</w:t>
            </w:r>
          </w:p>
        </w:tc>
      </w:tr>
      <w:tr w:rsidR="00664774" w:rsidRPr="00664774" w:rsidTr="00664774">
        <w:trPr>
          <w:trHeight w:val="290"/>
        </w:trPr>
        <w:tc>
          <w:tcPr>
            <w:tcW w:w="2827" w:type="pct"/>
            <w:vMerge w:val="restart"/>
            <w:shd w:val="clear" w:color="auto" w:fill="auto"/>
            <w:noWrap/>
            <w:vAlign w:val="center"/>
            <w:hideMark/>
          </w:tcPr>
          <w:p w:rsidR="00664774" w:rsidRPr="00664774" w:rsidRDefault="00411D44" w:rsidP="00664774">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{"citationItems":[{"id":"ITEM-1","itemData":{"DOI":"10.1021/acsnano.9b08818","ISSN":"1936086X","PMID":"32167280","abstract":"Despite broad application of magnetic nanoparticles in biomedicine and electronics, only a few in vivo studies on biocompatibility are available. In this study, toxicity of magnetic metal oxide nanoparticles on the respiratory system was examined in vivo by single intratracheal instillation in mice. Bronchoalveolar lavage fluid (BALF) samples were collected for proteome analyses by LC-MS/MS, testing Fe3O4 nanoparticles doped with increasing amounts of cobalt (Fe3O4, CoFe2O4 with an iron to cobalt ratio 5:1, 3:1, 1:3, Co3O4) at two doses (54 μg, 162 μg per animal) and two time points (day 1 and 3 days postinstillation). In discovery phase, in-depth proteome profiling of a few representative samples allowed for comprehensive pathway analyses. Clustering of the 681 differentially expressed proteins (FDR &lt; 0.05) revealed general as well as metal oxide specific responses with an overall strong induction of innate immunity and activation of the complement system. The highest expression increase could be found for a cluster of 39 proteins, which displayed strong dose-dependency to iron oxide and can be attributed to neutrophil extracellular trap (NET) formation. In-depth proteome analysis expanded the knowledge of in vivo NET formation. During screening, all BALF samples of the study (n = 166) were measured label-free as single-injections after a short gradient (21 min) LC separation using the Evosep One system, validating the findings from the discovery and defining protein signatures which enable discrimination of lung inflammation. We demonstrate a proteomics-based toxicity screening with high sample throughput easily transferrable to other nanoparticle types. Data are available via ProteomeXchange with identifier PXD016148.","author":[{"dropping-particle":"","family":"Billing","given":"Anja M.","non-dropping-particle":"","parse-names":false,"suffix":""},{"dropping-particle":"","family":"Knudsen","given":"Kristina B.","non-dropping-particle":"","parse-names":false,"suffix":""},{"dropping-particle":"","family":"Chetwynd","given":"Andrew J.","non-dropping-particle":"","parse-names":false,"suffix":""},{"dropping-particle":"","family":"Ellis","given":"Laura Jayne A.","non-dropping-particle":"","parse-names":false,"suffix":""},{"dropping-particle":"","family":"Tang","given":"Selina V.Y.","non-dropping-particle":"","parse-names":false,"suffix":""},{"dropping-particle":"","family":"Berthing","given":"Trine","non-dropping-particle":"","parse-names":false,"suffix":""},{"dropping-particle":"","family":"Wallin","given":"Håkan","non-dropping-particle":"","parse-names":false,"suffix":""},{"dropping-particle":"","family":"Lynch","given":"Iseult","non-dropping-particle":"","parse-names":false,"suffix":""},{"dropping-particle":"","family":"Vogel","given":"Ulla","non-dropping-particle":"","parse-names":false,"suffix":""},{"dropping-particle":"","family":"Kjeldsen","given":"Frank","non-dropping-particle":"","parse-names":false,"suffix":""}],"container-title":"ACS nano","id":"ITEM-1","issue":"4","issued":{"date-parts":[["2020"]]},"page":"4096-4110","title":"Fast and Robust Proteome Screening Platform Identifies Neutrophil Extracellular Trap Formation in the Lung in Response to Cobalt Ferrite Nanoparticles","type":"article-journal","volume":"14"},"uris":["http://www.mendeley.com/documents/?uuid=e6b2da71-d0f0-4adc-9edc-0026105e2cb0"]}],"mendeley":{"formattedCitation":"(Billing et al., 2020)","manualFormatting":"Billing et al. (2020)","plainTextFormattedCitation":"(Billing et al., 2020)","previouslyFormattedCitation":"(Billing et al., 2020)"},"properties":{"noteIndex":0},"schema":"https://github.com/citation-style-language/schema/raw/master/csl-citation.json"}</w:instrText>
            </w:r>
            <w:r>
              <w:rPr>
                <w:rFonts w:ascii="Calibri" w:eastAsia="Times New Roman" w:hAnsi="Calibri" w:cs="Calibri"/>
                <w:color w:val="000000"/>
                <w:lang w:eastAsia="da-DK"/>
              </w:rPr>
              <w:fldChar w:fldCharType="separate"/>
            </w:r>
            <w:r>
              <w:rPr>
                <w:rFonts w:ascii="Calibri" w:eastAsia="Times New Roman" w:hAnsi="Calibri" w:cs="Calibri"/>
                <w:noProof/>
                <w:color w:val="000000"/>
                <w:lang w:eastAsia="da-DK"/>
              </w:rPr>
              <w:t>Billing et al.</w:t>
            </w:r>
            <w:r w:rsidRPr="00411D44">
              <w:rPr>
                <w:rFonts w:ascii="Calibri" w:eastAsia="Times New Roman" w:hAnsi="Calibri" w:cs="Calibri"/>
                <w:noProof/>
                <w:color w:val="000000"/>
                <w:lang w:eastAsia="da-DK"/>
              </w:rPr>
              <w:t xml:space="preserve"> </w:t>
            </w:r>
            <w:r>
              <w:rPr>
                <w:rFonts w:ascii="Calibri" w:eastAsia="Times New Roman" w:hAnsi="Calibri" w:cs="Calibri"/>
                <w:noProof/>
                <w:color w:val="000000"/>
                <w:lang w:eastAsia="da-DK"/>
              </w:rPr>
              <w:t>(</w:t>
            </w:r>
            <w:r w:rsidRPr="00411D44">
              <w:rPr>
                <w:rFonts w:ascii="Calibri" w:eastAsia="Times New Roman" w:hAnsi="Calibri" w:cs="Calibri"/>
                <w:noProof/>
                <w:color w:val="000000"/>
                <w:lang w:eastAsia="da-DK"/>
              </w:rPr>
              <w:t>2020)</w:t>
            </w:r>
            <w:r>
              <w:rPr>
                <w:rFonts w:ascii="Calibri" w:eastAsia="Times New Roman" w:hAnsi="Calibri" w:cs="Calibri"/>
                <w:color w:val="000000"/>
                <w:lang w:eastAsia="da-DK"/>
              </w:rPr>
              <w:fldChar w:fldCharType="end"/>
            </w:r>
          </w:p>
        </w:tc>
        <w:tc>
          <w:tcPr>
            <w:tcW w:w="2173" w:type="pct"/>
            <w:shd w:val="clear" w:color="auto" w:fill="auto"/>
            <w:noWrap/>
            <w:vAlign w:val="center"/>
            <w:hideMark/>
          </w:tcPr>
          <w:p w:rsidR="00664774" w:rsidRPr="00664774" w:rsidRDefault="00664774" w:rsidP="00664774">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Co</w:t>
            </w:r>
            <w:r w:rsidRPr="00537C08">
              <w:rPr>
                <w:rFonts w:ascii="Calibri" w:eastAsia="Times New Roman" w:hAnsi="Calibri" w:cs="Calibri"/>
                <w:color w:val="000000"/>
                <w:vertAlign w:val="subscript"/>
                <w:lang w:eastAsia="da-DK"/>
              </w:rPr>
              <w:t>3</w:t>
            </w:r>
            <w:r w:rsidRPr="00664774">
              <w:rPr>
                <w:rFonts w:ascii="Calibri" w:eastAsia="Times New Roman" w:hAnsi="Calibri" w:cs="Calibri"/>
                <w:color w:val="000000"/>
                <w:lang w:eastAsia="da-DK"/>
              </w:rPr>
              <w:t>O</w:t>
            </w:r>
            <w:r w:rsidRPr="00537C08">
              <w:rPr>
                <w:rFonts w:ascii="Calibri" w:eastAsia="Times New Roman" w:hAnsi="Calibri" w:cs="Calibri"/>
                <w:color w:val="000000"/>
                <w:vertAlign w:val="subscript"/>
                <w:lang w:eastAsia="da-DK"/>
              </w:rPr>
              <w:t>4</w:t>
            </w:r>
          </w:p>
        </w:tc>
      </w:tr>
      <w:tr w:rsidR="00664774" w:rsidRPr="00664774" w:rsidTr="00664774">
        <w:trPr>
          <w:trHeight w:val="290"/>
        </w:trPr>
        <w:tc>
          <w:tcPr>
            <w:tcW w:w="2827" w:type="pct"/>
            <w:vMerge/>
            <w:vAlign w:val="center"/>
            <w:hideMark/>
          </w:tcPr>
          <w:p w:rsidR="00664774" w:rsidRPr="00664774" w:rsidRDefault="00664774" w:rsidP="00664774">
            <w:pPr>
              <w:spacing w:after="0" w:line="240" w:lineRule="auto"/>
              <w:jc w:val="center"/>
              <w:rPr>
                <w:rFonts w:ascii="Calibri" w:eastAsia="Times New Roman" w:hAnsi="Calibri" w:cs="Calibri"/>
                <w:color w:val="000000"/>
                <w:lang w:eastAsia="da-DK"/>
              </w:rPr>
            </w:pPr>
          </w:p>
        </w:tc>
        <w:tc>
          <w:tcPr>
            <w:tcW w:w="2173" w:type="pct"/>
            <w:shd w:val="clear" w:color="auto" w:fill="auto"/>
            <w:noWrap/>
            <w:vAlign w:val="center"/>
            <w:hideMark/>
          </w:tcPr>
          <w:p w:rsidR="00664774" w:rsidRPr="00664774" w:rsidRDefault="00664774" w:rsidP="00664774">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Fe</w:t>
            </w:r>
            <w:r w:rsidRPr="00537C08">
              <w:rPr>
                <w:rFonts w:ascii="Calibri" w:eastAsia="Times New Roman" w:hAnsi="Calibri" w:cs="Calibri"/>
                <w:color w:val="000000"/>
                <w:vertAlign w:val="subscript"/>
                <w:lang w:eastAsia="da-DK"/>
              </w:rPr>
              <w:t>3</w:t>
            </w:r>
            <w:r w:rsidRPr="00664774">
              <w:rPr>
                <w:rFonts w:ascii="Calibri" w:eastAsia="Times New Roman" w:hAnsi="Calibri" w:cs="Calibri"/>
                <w:color w:val="000000"/>
                <w:lang w:eastAsia="da-DK"/>
              </w:rPr>
              <w:t>O</w:t>
            </w:r>
            <w:r w:rsidRPr="00537C08">
              <w:rPr>
                <w:rFonts w:ascii="Calibri" w:eastAsia="Times New Roman" w:hAnsi="Calibri" w:cs="Calibri"/>
                <w:color w:val="000000"/>
                <w:vertAlign w:val="subscript"/>
                <w:lang w:eastAsia="da-DK"/>
              </w:rPr>
              <w:t>4</w:t>
            </w:r>
          </w:p>
        </w:tc>
      </w:tr>
      <w:tr w:rsidR="00664774" w:rsidRPr="00664774" w:rsidTr="00664774">
        <w:trPr>
          <w:trHeight w:val="290"/>
        </w:trPr>
        <w:tc>
          <w:tcPr>
            <w:tcW w:w="2827" w:type="pct"/>
            <w:vMerge/>
            <w:vAlign w:val="center"/>
            <w:hideMark/>
          </w:tcPr>
          <w:p w:rsidR="00664774" w:rsidRPr="00664774" w:rsidRDefault="00664774" w:rsidP="00664774">
            <w:pPr>
              <w:spacing w:after="0" w:line="240" w:lineRule="auto"/>
              <w:jc w:val="center"/>
              <w:rPr>
                <w:rFonts w:ascii="Calibri" w:eastAsia="Times New Roman" w:hAnsi="Calibri" w:cs="Calibri"/>
                <w:color w:val="000000"/>
                <w:lang w:eastAsia="da-DK"/>
              </w:rPr>
            </w:pPr>
          </w:p>
        </w:tc>
        <w:tc>
          <w:tcPr>
            <w:tcW w:w="2173" w:type="pct"/>
            <w:shd w:val="clear" w:color="auto" w:fill="auto"/>
            <w:noWrap/>
            <w:vAlign w:val="center"/>
            <w:hideMark/>
          </w:tcPr>
          <w:p w:rsidR="00664774" w:rsidRPr="00664774" w:rsidRDefault="00ED6DA9" w:rsidP="00ED6DA9">
            <w:pPr>
              <w:spacing w:after="0" w:line="240" w:lineRule="auto"/>
              <w:jc w:val="center"/>
              <w:rPr>
                <w:rFonts w:ascii="Calibri" w:eastAsia="Times New Roman" w:hAnsi="Calibri" w:cs="Calibri"/>
                <w:color w:val="000000"/>
                <w:lang w:eastAsia="da-DK"/>
              </w:rPr>
            </w:pPr>
            <w:proofErr w:type="spellStart"/>
            <w:r>
              <w:rPr>
                <w:rFonts w:ascii="Calibri" w:eastAsia="Times New Roman" w:hAnsi="Calibri" w:cs="Calibri"/>
                <w:color w:val="000000"/>
                <w:lang w:eastAsia="da-DK"/>
              </w:rPr>
              <w:t>Carbon</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black</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P</w:t>
            </w:r>
            <w:r w:rsidR="00664774" w:rsidRPr="00664774">
              <w:rPr>
                <w:rFonts w:ascii="Calibri" w:eastAsia="Times New Roman" w:hAnsi="Calibri" w:cs="Calibri"/>
                <w:color w:val="000000"/>
                <w:lang w:eastAsia="da-DK"/>
              </w:rPr>
              <w:t>rintex</w:t>
            </w:r>
            <w:proofErr w:type="spellEnd"/>
            <w:r w:rsidR="00664774" w:rsidRPr="00664774">
              <w:rPr>
                <w:rFonts w:ascii="Calibri" w:eastAsia="Times New Roman" w:hAnsi="Calibri" w:cs="Calibri"/>
                <w:color w:val="000000"/>
                <w:lang w:eastAsia="da-DK"/>
              </w:rPr>
              <w:t xml:space="preserve"> 90</w:t>
            </w:r>
            <w:r>
              <w:rPr>
                <w:rFonts w:ascii="Calibri" w:eastAsia="Times New Roman" w:hAnsi="Calibri" w:cs="Calibri"/>
                <w:color w:val="000000"/>
                <w:lang w:eastAsia="da-DK"/>
              </w:rPr>
              <w:t>)</w:t>
            </w:r>
          </w:p>
        </w:tc>
      </w:tr>
      <w:tr w:rsidR="00664774" w:rsidRPr="00664774" w:rsidTr="00664774">
        <w:trPr>
          <w:trHeight w:val="290"/>
        </w:trPr>
        <w:tc>
          <w:tcPr>
            <w:tcW w:w="2827" w:type="pct"/>
            <w:vMerge w:val="restart"/>
            <w:shd w:val="clear" w:color="auto" w:fill="auto"/>
            <w:vAlign w:val="center"/>
            <w:hideMark/>
          </w:tcPr>
          <w:p w:rsidR="00664774" w:rsidRPr="00664774" w:rsidRDefault="00411D44" w:rsidP="00664774">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{"citationItems":[{"id":"ITEM-1","itemData":{"DOI":"10.1080/17435390.2020.1842932","ISSN":"17435404","PMID":"33176111","abstract":"Materials can be modified for improved functionality. Our aim was to test whether pulmonary toxicity of silica nanomaterials is increased by the introduction of: a) porosity; and b) surface doping with CuO; and whether c) these modifications act synergistically. Mice were exposed by intratracheal instillation and for some doses also oropharyngeal aspiration to: 1) solid silica 100 nm; 2) porous silica 100 nm; 3) porous silica 100 nm with CuO doping; 4) solid silica 300 nm; 5) porous silica 300 nm; 6) solid silica 300 nm with CuO doping; 7) porous silica 300 nm with CuO doping; 8) CuO nanoparticles 9.8 nm; or 9) carbon black Printex 90 as benchmark. Based on a pilot study, dose levels were between 0.5 and 162 µg/mouse (0.2 and 8.1 mg/kg bw). Endpoints included pulmonary inflammation (neutrophil numbers in bronchoalveolar fluid), acute phase response, histopathology, and genotoxicity assessed by the comet assay, micronucleus test, and the gamma-H2AX assay. The porous silica materials induced greater pulmonary inflammation than their solid counterparts. A similar pattern was seen for acute phase response induction and histologic changes. This could be explained by a higher specific surface area per mass unit for the most toxic particles. CuO doping further increased the acute phase response normalized according to the deposited surface area. We identified no consistent evidence of synergism between surface area and CuO doping. In conclusion, porosity and CuO doping each increased the toxicity of silica nanomaterials and there was no indication of synergy when the modifications co-occurred.","author":[{"dropping-particle":"","family":"Hadrup","given":"Niels","non-dropping-particle":"","parse-names":false,"suffix":""},{"dropping-particle":"","family":"Aimonen","given":"Kukka","non-dropping-particle":"","parse-names":false,"suffix":""},{"dropping-particle":"","family":"Ilves","given":"Marit","non-dropping-particle":"","parse-names":false,"suffix":""},{"dropping-particle":"","family":"Lindberg","given":"Hanna","non-dropping-particle":"","parse-names":false,"suffix":""},{"dropping-particle":"","family":"Atluri","given":"Rambabu","non-dropping-particle":"","parse-names":false,"suffix":""},{"dropping-particle":"","family":"Sahlgren","given":"Nicklas M.","non-dropping-particle":"","parse-names":false,"suffix":""},{"dropping-particle":"","family":"Jacobsen","given":"Nicklas R.","non-dropping-particle":"","parse-names":false,"suffix":""},{"dropping-particle":"","family":"Barfod","given":"Kenneth K.","non-dropping-particle":"","parse-names":false,"suffix":""},{"dropping-particle":"","family":"Berthing","given":"Trine","non-dropping-particle":"","parse-names":false,"suffix":""},{"dropping-particle":"","family":"Lawlor","given":"Alan","non-dropping-particle":"","parse-names":false,"suffix":""},{"dropping-particle":"","family":"Norppa","given":"Hannu","non-dropping-particle":"","parse-names":false,"suffix":""},{"dropping-particle":"","family":"Wolff","given":"Henrik","non-dropping-particle":"","parse-names":false,"suffix":""},{"dropping-particle":"","family":"Jensen","given":"Keld A.","non-dropping-particle":"","parse-names":false,"suffix":""},{"dropping-particle":"","family":"Hougaard","given":"Karin S.","non-dropping-particle":"","parse-names":false,"suffix":""},{"dropping-particle":"","family":"Alenius","given":"Harri","non-dropping-particle":"","parse-names":false,"suffix":""},{"dropping-particle":"","family":"Catalan","given":"Julia","non-dropping-particle":"","parse-names":false,"suffix":""},{"dropping-particle":"","family":"Vogel","given":"Ulla","non-dropping-particle":"","parse-names":false,"suffix":""}],"container-title":"Nanotoxicology","id":"ITEM-1","issue":"1","issued":{"date-parts":[["2021"]]},"page":"96-113","publisher":"Taylor &amp; Francis","title":"Pulmonary toxicity of synthetic amorphous silica–effects of porosity and copper oxide doping","type":"article-journal","volume":"15"},"uris":["http://www.mendeley.com/documents/?uuid=4609cf6c-cc53-4636-8fee-d2e38e174577"]}],"mendeley":{"formattedCitation":"(Hadrup et al., 2021)","manualFormatting":"Hadrup et al. (2021)","plainTextFormattedCitation":"(Hadrup et al., 2021)","previouslyFormattedCitation":"(Hadrup et al., 2021)"},"properties":{"noteIndex":0},"schema":"https://github.com/citation-style-language/schema/raw/master/csl-citation.json"}</w:instrText>
            </w:r>
            <w:r>
              <w:rPr>
                <w:rFonts w:ascii="Calibri" w:eastAsia="Times New Roman" w:hAnsi="Calibri" w:cs="Calibri"/>
                <w:color w:val="000000"/>
                <w:lang w:eastAsia="da-DK"/>
              </w:rPr>
              <w:fldChar w:fldCharType="separate"/>
            </w:r>
            <w:r>
              <w:rPr>
                <w:rFonts w:ascii="Calibri" w:eastAsia="Times New Roman" w:hAnsi="Calibri" w:cs="Calibri"/>
                <w:noProof/>
                <w:color w:val="000000"/>
                <w:lang w:eastAsia="da-DK"/>
              </w:rPr>
              <w:t>Hadrup et al.</w:t>
            </w:r>
            <w:r w:rsidRPr="00411D44">
              <w:rPr>
                <w:rFonts w:ascii="Calibri" w:eastAsia="Times New Roman" w:hAnsi="Calibri" w:cs="Calibri"/>
                <w:noProof/>
                <w:color w:val="000000"/>
                <w:lang w:eastAsia="da-DK"/>
              </w:rPr>
              <w:t xml:space="preserve"> </w:t>
            </w:r>
            <w:r>
              <w:rPr>
                <w:rFonts w:ascii="Calibri" w:eastAsia="Times New Roman" w:hAnsi="Calibri" w:cs="Calibri"/>
                <w:noProof/>
                <w:color w:val="000000"/>
                <w:lang w:eastAsia="da-DK"/>
              </w:rPr>
              <w:t>(</w:t>
            </w:r>
            <w:r w:rsidRPr="00411D44">
              <w:rPr>
                <w:rFonts w:ascii="Calibri" w:eastAsia="Times New Roman" w:hAnsi="Calibri" w:cs="Calibri"/>
                <w:noProof/>
                <w:color w:val="000000"/>
                <w:lang w:eastAsia="da-DK"/>
              </w:rPr>
              <w:t>2021)</w:t>
            </w:r>
            <w:r>
              <w:rPr>
                <w:rFonts w:ascii="Calibri" w:eastAsia="Times New Roman" w:hAnsi="Calibri" w:cs="Calibri"/>
                <w:color w:val="000000"/>
                <w:lang w:eastAsia="da-DK"/>
              </w:rPr>
              <w:fldChar w:fldCharType="end"/>
            </w:r>
          </w:p>
        </w:tc>
        <w:tc>
          <w:tcPr>
            <w:tcW w:w="2173" w:type="pct"/>
            <w:shd w:val="clear" w:color="auto" w:fill="auto"/>
            <w:noWrap/>
            <w:vAlign w:val="center"/>
            <w:hideMark/>
          </w:tcPr>
          <w:p w:rsidR="00664774" w:rsidRPr="00664774" w:rsidRDefault="00664774" w:rsidP="00664774">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CuO</w:t>
            </w:r>
          </w:p>
        </w:tc>
      </w:tr>
      <w:tr w:rsidR="00664774" w:rsidRPr="00664774" w:rsidTr="00664774">
        <w:trPr>
          <w:trHeight w:val="290"/>
        </w:trPr>
        <w:tc>
          <w:tcPr>
            <w:tcW w:w="2827" w:type="pct"/>
            <w:vMerge/>
            <w:vAlign w:val="center"/>
            <w:hideMark/>
          </w:tcPr>
          <w:p w:rsidR="00664774" w:rsidRPr="00664774" w:rsidRDefault="00664774" w:rsidP="00664774">
            <w:pPr>
              <w:spacing w:after="0" w:line="240" w:lineRule="auto"/>
              <w:jc w:val="center"/>
              <w:rPr>
                <w:rFonts w:ascii="Calibri" w:eastAsia="Times New Roman" w:hAnsi="Calibri" w:cs="Calibri"/>
                <w:color w:val="000000"/>
                <w:lang w:eastAsia="da-DK"/>
              </w:rPr>
            </w:pPr>
          </w:p>
        </w:tc>
        <w:tc>
          <w:tcPr>
            <w:tcW w:w="2173" w:type="pct"/>
            <w:shd w:val="clear" w:color="auto" w:fill="auto"/>
            <w:noWrap/>
            <w:vAlign w:val="center"/>
            <w:hideMark/>
          </w:tcPr>
          <w:p w:rsidR="00664774" w:rsidRPr="00664774" w:rsidRDefault="00ED6DA9" w:rsidP="00664774">
            <w:pPr>
              <w:spacing w:after="0" w:line="240" w:lineRule="auto"/>
              <w:jc w:val="center"/>
              <w:rPr>
                <w:rFonts w:ascii="Calibri" w:eastAsia="Times New Roman" w:hAnsi="Calibri" w:cs="Calibri"/>
                <w:color w:val="000000"/>
                <w:lang w:eastAsia="da-DK"/>
              </w:rPr>
            </w:pPr>
            <w:proofErr w:type="spellStart"/>
            <w:r>
              <w:rPr>
                <w:rFonts w:ascii="Calibri" w:eastAsia="Times New Roman" w:hAnsi="Calibri" w:cs="Calibri"/>
                <w:color w:val="000000"/>
                <w:lang w:eastAsia="da-DK"/>
              </w:rPr>
              <w:t>Carbon</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black</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P</w:t>
            </w:r>
            <w:r w:rsidRPr="00664774">
              <w:rPr>
                <w:rFonts w:ascii="Calibri" w:eastAsia="Times New Roman" w:hAnsi="Calibri" w:cs="Calibri"/>
                <w:color w:val="000000"/>
                <w:lang w:eastAsia="da-DK"/>
              </w:rPr>
              <w:t>rintex</w:t>
            </w:r>
            <w:proofErr w:type="spellEnd"/>
            <w:r w:rsidRPr="00664774">
              <w:rPr>
                <w:rFonts w:ascii="Calibri" w:eastAsia="Times New Roman" w:hAnsi="Calibri" w:cs="Calibri"/>
                <w:color w:val="000000"/>
                <w:lang w:eastAsia="da-DK"/>
              </w:rPr>
              <w:t xml:space="preserve"> 90</w:t>
            </w:r>
            <w:r>
              <w:rPr>
                <w:rFonts w:ascii="Calibri" w:eastAsia="Times New Roman" w:hAnsi="Calibri" w:cs="Calibri"/>
                <w:color w:val="000000"/>
                <w:lang w:eastAsia="da-DK"/>
              </w:rPr>
              <w:t>)</w:t>
            </w:r>
          </w:p>
        </w:tc>
      </w:tr>
      <w:tr w:rsidR="00537C08" w:rsidRPr="00664774" w:rsidTr="00664774">
        <w:trPr>
          <w:trHeight w:val="290"/>
        </w:trPr>
        <w:tc>
          <w:tcPr>
            <w:tcW w:w="2827"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{"citationItems":[{"id":"ITEM-1","itemData":{"DOI":"10.1177/0960327118774910","ISBN":"0960327118","ISSN":"0960-3271","abstract":"Little is known on the toxicity of nanomaterials in the user phase. Inclusion of nanomaterials in paints is a common nanotechnology application. This study focuses on the toxicity of dusts from sanding of paints containing nanomaterials. We compared the toxicity of titanium dioxide nanomaterials (TiO 2 NMs) and dusts generated by sanding boards coated with paints with different amounts of two different types of uncoated TiO 2 NMs (diameters:10.5 nm and 38 nm). Mice were intratracheally instilled with a single dose of 18, 54 and 162 µg of TiO 2 NMs or 54, 162 and 486 µg of sanding dusts. At 1, 3 and 28 days post-instillation, we evaluated pulmonary inflammation, liver histology and DNA damage in lung and liver. Pulmonary exposure to both pristine TiO 2 NMs and sanding dusts with different types of TiO 2 NMs resulted in dose-dependently increased influx of neutrophils into the lung lumen. There was no difference between the sanding dusts from the two paints. For all exposures but not in vehicle controls, mild histological lesions were observed in the liver. Pulmonary exposure to pristine TiO 2 NMs and paint dusts with TiO 2 NMs caused similar type of histological lesions in the liver.","author":[{"dropping-particle":"","family":"Saber","given":"Anne T.","non-dropping-particle":"","parse-names":false,"suffix":""},{"dropping-particle":"","family":"Mortensen","given":"A.","non-dropping-particle":"","parse-names":false,"suffix":""},{"dropping-particle":"","family":"Szarek","given":"J.","non-dropping-particle":"","parse-names":false,"suffix":""},{"dropping-particle":"","family":"Jacobsen","given":"NR","non-dropping-particle":"","parse-names":false,"suffix":""},{"dropping-particle":"","family":"Levin","given":"M.","non-dropping-particle":"","parse-names":false,"suffix":""},{"dropping-particle":"","family":"Koponen","given":"IK","non-dropping-particle":"","parse-names":false,"suffix":""},{"dropping-particle":"","family":"Jensen","given":"KA","non-dropping-particle":"","parse-names":false,"suffix":""},{"dropping-particle":"","family":"Vogel","given":"U.","non-dropping-particle":"","parse-names":false,"suffix":""},{"dropping-particle":"","family":"Wallin","given":"H.","non-dropping-particle":"","parse-names":false,"suffix":""}],"container-title":"Human &amp; Experimental Toxicology","id":"ITEM-1","issue":"1","issued":{"date-parts":[["2019","1","16"]]},"page":"11-24","title":"Toxicity of pristine and paint-embedded TiO 2 nanomaterials","type":"article-journal","volume":"38"},"uris":["http://www.mendeley.com/documents/?uuid=99e40b06-75f6-4d01-b3ac-3b0a1aea5083"]}],"mendeley":{"formattedCitation":"(A. T. Saber et al., 2019)","manualFormatting":"Saber et al. (2019)","plainTextFormattedCitation":"(A. T. Saber et al., 2019)","previouslyFormattedCitation":"(A. T. Saber et al., 2019)"},"properties":{"noteIndex":0},"schema":"https://github.com/citation-style-language/schema/raw/master/csl-citation.json"}</w:instrText>
            </w:r>
            <w:r>
              <w:rPr>
                <w:rFonts w:ascii="Calibri" w:eastAsia="Times New Roman" w:hAnsi="Calibri" w:cs="Calibri"/>
                <w:color w:val="000000"/>
                <w:lang w:eastAsia="da-DK"/>
              </w:rPr>
              <w:fldChar w:fldCharType="separate"/>
            </w:r>
            <w:r w:rsidRPr="00411D44">
              <w:rPr>
                <w:rFonts w:ascii="Calibri" w:eastAsia="Times New Roman" w:hAnsi="Calibri" w:cs="Calibri"/>
                <w:noProof/>
                <w:color w:val="000000"/>
                <w:lang w:eastAsia="da-DK"/>
              </w:rPr>
              <w:t xml:space="preserve">Saber et al. </w:t>
            </w:r>
            <w:r>
              <w:rPr>
                <w:rFonts w:ascii="Calibri" w:eastAsia="Times New Roman" w:hAnsi="Calibri" w:cs="Calibri"/>
                <w:noProof/>
                <w:color w:val="000000"/>
                <w:lang w:eastAsia="da-DK"/>
              </w:rPr>
              <w:t>(</w:t>
            </w:r>
            <w:r w:rsidRPr="00411D44">
              <w:rPr>
                <w:rFonts w:ascii="Calibri" w:eastAsia="Times New Roman" w:hAnsi="Calibri" w:cs="Calibri"/>
                <w:noProof/>
                <w:color w:val="000000"/>
                <w:lang w:eastAsia="da-DK"/>
              </w:rPr>
              <w:t>2019)</w:t>
            </w:r>
            <w:r>
              <w:rPr>
                <w:rFonts w:ascii="Calibri" w:eastAsia="Times New Roman" w:hAnsi="Calibri" w:cs="Calibri"/>
                <w:color w:val="000000"/>
                <w:lang w:eastAsia="da-DK"/>
              </w:rPr>
              <w:fldChar w:fldCharType="end"/>
            </w: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TiO</w:t>
            </w:r>
            <w:r w:rsidRPr="00537C08">
              <w:rPr>
                <w:rFonts w:ascii="Calibri" w:eastAsia="Times New Roman" w:hAnsi="Calibri" w:cs="Calibri"/>
                <w:color w:val="000000"/>
                <w:vertAlign w:val="subscript"/>
                <w:lang w:eastAsia="da-DK"/>
              </w:rPr>
              <w:t>2</w:t>
            </w:r>
          </w:p>
        </w:tc>
      </w:tr>
      <w:tr w:rsidR="00537C08" w:rsidRPr="00664774" w:rsidTr="00664774">
        <w:trPr>
          <w:trHeight w:val="290"/>
        </w:trPr>
        <w:tc>
          <w:tcPr>
            <w:tcW w:w="2827" w:type="pct"/>
            <w:vMerge w:val="restar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{"citationItems":[{"id":"ITEM-1","itemData":{"DOI":"10.1016/j.fct.2015.08.008","ISSN":"18736351","PMID":"26260750","abstract":"Inhalation is the main pathway of ZnO exposure in the occupational environment but only few studies have addressed toxic effects after pulmonary exposure to ZnO nanoparticles (NP). Here we present results from three studies of pulmonary exposure and toxicity of ZnO NP in mice. The studies were prematurely terminated because interim results unexpectedly showed severe pulmonary toxicity. High bolus doses of ZnO NP (25 up to 100 μg; ≥1.4 mg/kg) were clearly associated with a dose dependent mortality in the mice. Lower doses (≥6 μg; ≥0.3 mg/kg) elicited acute toxicity in terms of reduced weight gain, desquamation of epithelial cells with concomitantly increased barrier permeability of the alveolar/blood as well as DNA damage. Oxidative stress was shown via a strong increase in lipid peroxidation and reduced glutathione in the pulmonary tissue. Two months post-exposure revealed no obvious toxicity for 12.5 and 25 μg on a range of parameters. However, mice that survived a high dose (50 μg; 2.7 mg/kg) had an increased pulmonary collagen accumulation (fibrosis) at a similar level as a high bolus dose of crystalline silica. The recovery from these toxicological effects appeared dose-dependent. The results indicate that alveolar deposition of ZnO NP may cause significant adverse health effects.","author":[{"dropping-particle":"","family":"Jacobsen","given":"Nicklas Raun","non-dropping-particle":"","parse-names":false,"suffix":""},{"dropping-particle":"","family":"Stoeger","given":"Tobias","non-dropping-particle":"","parse-names":false,"suffix":""},{"dropping-particle":"","family":"Brule","given":"Sybille","non-dropping-particle":"van den","parse-names":false,"suffix":""},{"dropping-particle":"","family":"Saber","given":"Anne Thoustrup","non-dropping-particle":"","parse-names":false,"suffix":""},{"dropping-particle":"","family":"Beyerle","given":"Andrea","non-dropping-particle":"","parse-names":false,"suffix":""},{"dropping-particle":"","family":"Vietti","given":"Giulia","non-dropping-particle":"","parse-names":false,"suffix":""},{"dropping-particle":"","family":"Mortensen","given":"Alicja","non-dropping-particle":"","parse-names":false,"suffix":""},{"dropping-particle":"","family":"Szarek","given":"Józef","non-dropping-particle":"","parse-names":false,"suffix":""},{"dropping-particle":"","family":"Budtz","given":"Hans Christian","non-dropping-particle":"","parse-names":false,"suffix":""},{"dropping-particle":"","family":"Kermanizadeh","given":"Ali","non-dropping-particle":"","parse-names":false,"suffix":""},{"dropping-particle":"","family":"Banerjee","given":"Atrayee","non-dropping-particle":"","parse-names":false,"suffix":""},{"dropping-particle":"","family":"Ercal","given":"Nuran","non-dropping-particle":"","parse-names":false,"suffix":""},{"dropping-particle":"","family":"Vogel","given":"Ulla","non-dropping-particle":"","parse-names":false,"suffix":""},{"dropping-particle":"","family":"Wallin","given":"Håkan","non-dropping-particle":"","parse-names":false,"suffix":""},{"dropping-particle":"","family":"Møller","given":"Peter","non-dropping-particle":"","parse-names":false,"suffix":""}],"container-title":"Food and Chemical Toxicology","id":"ITEM-1","issued":{"date-parts":[["2015"]]},"page":"84-95","title":"Acute and subacute pulmonary toxicity and mortality in mice after intratracheal instillation of ZnO nanoparticles in three laboratories","type":"article-journal","volume":"85"},"uris":["http://www.mendeley.com/documents/?uuid=cd5340dc-e915-42bf-9a4c-bd12ce829053"]}],"mendeley":{"formattedCitation":"(Jacobsen et al., 2015)","manualFormatting":"Jacobsen et al. (2015)","plainTextFormattedCitation":"(Jacobsen et al., 2015)","previouslyFormattedCitation":"(Jacobsen et al., 2015)"},"properties":{"noteIndex":0},"schema":"https://github.com/citation-style-language/schema/raw/master/csl-citation.json"}</w:instrText>
            </w:r>
            <w:r>
              <w:rPr>
                <w:rFonts w:ascii="Calibri" w:eastAsia="Times New Roman" w:hAnsi="Calibri" w:cs="Calibri"/>
                <w:color w:val="000000"/>
                <w:lang w:eastAsia="da-DK"/>
              </w:rPr>
              <w:fldChar w:fldCharType="separate"/>
            </w:r>
            <w:r w:rsidRPr="00411D44">
              <w:rPr>
                <w:rFonts w:ascii="Calibri" w:eastAsia="Times New Roman" w:hAnsi="Calibri" w:cs="Calibri"/>
                <w:noProof/>
                <w:color w:val="000000"/>
                <w:lang w:eastAsia="da-DK"/>
              </w:rPr>
              <w:t>Jacobsen et al.</w:t>
            </w:r>
            <w:r>
              <w:rPr>
                <w:rFonts w:ascii="Calibri" w:eastAsia="Times New Roman" w:hAnsi="Calibri" w:cs="Calibri"/>
                <w:noProof/>
                <w:color w:val="000000"/>
                <w:lang w:eastAsia="da-DK"/>
              </w:rPr>
              <w:t xml:space="preserve"> (</w:t>
            </w:r>
            <w:r w:rsidRPr="00411D44">
              <w:rPr>
                <w:rFonts w:ascii="Calibri" w:eastAsia="Times New Roman" w:hAnsi="Calibri" w:cs="Calibri"/>
                <w:noProof/>
                <w:color w:val="000000"/>
                <w:lang w:eastAsia="da-DK"/>
              </w:rPr>
              <w:t>2015)</w:t>
            </w:r>
            <w:r>
              <w:rPr>
                <w:rFonts w:ascii="Calibri" w:eastAsia="Times New Roman" w:hAnsi="Calibri" w:cs="Calibri"/>
                <w:color w:val="000000"/>
                <w:lang w:eastAsia="da-DK"/>
              </w:rPr>
              <w:fldChar w:fldCharType="end"/>
            </w: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ZnO</w:t>
            </w:r>
          </w:p>
        </w:tc>
      </w:tr>
      <w:tr w:rsidR="00537C08" w:rsidRPr="00664774" w:rsidTr="00664774">
        <w:trPr>
          <w:trHeight w:val="290"/>
        </w:trPr>
        <w:tc>
          <w:tcPr>
            <w:tcW w:w="2827" w:type="pct"/>
            <w:vMerge/>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proofErr w:type="spellStart"/>
            <w:r>
              <w:rPr>
                <w:rFonts w:ascii="Calibri" w:eastAsia="Times New Roman" w:hAnsi="Calibri" w:cs="Calibri"/>
                <w:color w:val="000000"/>
                <w:lang w:eastAsia="da-DK"/>
              </w:rPr>
              <w:t>Carbon</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black</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P</w:t>
            </w:r>
            <w:r w:rsidRPr="00664774">
              <w:rPr>
                <w:rFonts w:ascii="Calibri" w:eastAsia="Times New Roman" w:hAnsi="Calibri" w:cs="Calibri"/>
                <w:color w:val="000000"/>
                <w:lang w:eastAsia="da-DK"/>
              </w:rPr>
              <w:t>rintex</w:t>
            </w:r>
            <w:proofErr w:type="spellEnd"/>
            <w:r w:rsidRPr="00664774">
              <w:rPr>
                <w:rFonts w:ascii="Calibri" w:eastAsia="Times New Roman" w:hAnsi="Calibri" w:cs="Calibri"/>
                <w:color w:val="000000"/>
                <w:lang w:eastAsia="da-DK"/>
              </w:rPr>
              <w:t xml:space="preserve"> 90</w:t>
            </w:r>
            <w:r>
              <w:rPr>
                <w:rFonts w:ascii="Calibri" w:eastAsia="Times New Roman" w:hAnsi="Calibri" w:cs="Calibri"/>
                <w:color w:val="000000"/>
                <w:lang w:eastAsia="da-DK"/>
              </w:rPr>
              <w:t>)</w:t>
            </w:r>
          </w:p>
        </w:tc>
      </w:tr>
      <w:tr w:rsidR="00537C08" w:rsidRPr="00664774" w:rsidTr="00664774">
        <w:trPr>
          <w:trHeight w:val="290"/>
        </w:trPr>
        <w:tc>
          <w:tcPr>
            <w:tcW w:w="2827"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{"citationItems":[{"id":"ITEM-1","itemData":{"DOI":"10.1186/1743-8977-6-2","ISSN":"17438977","abstract":"Background: The toxic and inflammatory potential of 5 different types of nanoparticles were studied in a sensitive model for pulmonary effects in apolipoprotein E knockout mice (ApoE-/-). We studied the effects instillation or inhalation Printex 90 of carbon black (CB) and compared CB instillation in ApoE-/- and C57 mice. Three and 24 h after pulmonary exposure, inflammation was assessed by mRNA levels of cytokines in lung tissue, cell composition, genotoxicity, protein and lactate dehydrogenase activity in broncho-alveolar lavage (BAL) fluid. Results: Firstly, we found that intratracheal instillation of CB caused far more pulmonary toxicity in ApoE-/- mice than in C57 mice. Secondly, we showed that instillation of CB was more toxic than inhalation of a presumed similar dose with respect to inflammation in the lungs of ApoE-/- mice. Thirdly, we compared effects of instillation in ApoE-/- mice of three carbonaceous particles; CB, fullerenes C60 (C60) and single walled carbon nanotubes (SWCNT) as well as gold particles and quantum dots (QDs). Characterization of the instillation media revealed that all particles were delivered as agglomerates and aggregates. Significant increases in Il-6, Mip-2 and Mcp-1 mRNA were detected in lung tissue, 3 h and 24 h following instillation of SWCNT, CB and QDs. DNA damage in BAL cells, the fraction of neutrophils in BAL cells and protein in BAL fluid increased statistically significantly. Gold and C60 particles caused much weaker inflammatory responses. Conclusion: Our data suggestthat ApoE-/- model is sensitive for evaluating particle induced inflammation. Overall QDs had greatest effects followed by CB and SWCNT with C60 and gold being least inflammatory and DNA-damaging. However the gold was used at a much lower mass dose than the other particles. The strong effects of QDs were likely due to Cd release. The surface area of the instilled dose correlated well the inflammatory response for low toxicity particles. © 2009 Jacobsen et al; licensee BioMed Central Ltd.","author":[{"dropping-particle":"","family":"Jacobsen","given":"Nicklas Raun","non-dropping-particle":"","parse-names":false,"suffix":""},{"dropping-particle":"","family":"Møller","given":"Peter","non-dropping-particle":"","parse-names":false,"suffix":""},{"dropping-particle":"","family":"Jensen","given":"Keld Alstrup","non-dropping-particle":"","parse-names":false,"suffix":""},{"dropping-particle":"","family":"Vogel","given":"Ulla","non-dropping-particle":"","parse-names":false,"suffix":""},{"dropping-particle":"","family":"Ladefoged","given":"Ole","non-dropping-particle":"","parse-names":false,"suffix":""},{"dropping-particle":"","family":"Loft","given":"Steffen","non-dropping-particle":"","parse-names":false,"suffix":""},{"dropping-particle":"","family":"Wallin","given":"Hålan","non-dropping-particle":"","parse-names":false,"suffix":""}],"container-title":"Particle and Fibre Toxicology","id":"ITEM-1","issued":{"date-parts":[["2009"]]},"page":"1-17","title":"Lung inflammation and genotoxicity following pulmonary exposure to nanoparticles in ApoE-/-mice","type":"article-journal","volume":"6"},"uris":["http://www.mendeley.com/documents/?uuid=25f7c187-ca9d-43c1-b4b1-3ab7853fbcec"]}],"mendeley":{"formattedCitation":"(Jacobsen et al., 2009)","manualFormatting":"Jacobsen et al. (2009)","plainTextFormattedCitation":"(Jacobsen et al., 2009)","previouslyFormattedCitation":"(Jacobsen et al., 2009)"},"properties":{"noteIndex":0},"schema":"https://github.com/citation-style-language/schema/raw/master/csl-citation.json"}</w:instrText>
            </w:r>
            <w:r>
              <w:rPr>
                <w:rFonts w:ascii="Calibri" w:eastAsia="Times New Roman" w:hAnsi="Calibri" w:cs="Calibri"/>
                <w:color w:val="000000"/>
                <w:lang w:eastAsia="da-DK"/>
              </w:rPr>
              <w:fldChar w:fldCharType="separate"/>
            </w:r>
            <w:r w:rsidRPr="00411D44">
              <w:rPr>
                <w:rFonts w:ascii="Calibri" w:eastAsia="Times New Roman" w:hAnsi="Calibri" w:cs="Calibri"/>
                <w:noProof/>
                <w:color w:val="000000"/>
                <w:lang w:eastAsia="da-DK"/>
              </w:rPr>
              <w:t>Jacobsen et al.</w:t>
            </w:r>
            <w:r>
              <w:rPr>
                <w:rFonts w:ascii="Calibri" w:eastAsia="Times New Roman" w:hAnsi="Calibri" w:cs="Calibri"/>
                <w:noProof/>
                <w:color w:val="000000"/>
                <w:lang w:eastAsia="da-DK"/>
              </w:rPr>
              <w:t xml:space="preserve"> (</w:t>
            </w:r>
            <w:r w:rsidRPr="00411D44">
              <w:rPr>
                <w:rFonts w:ascii="Calibri" w:eastAsia="Times New Roman" w:hAnsi="Calibri" w:cs="Calibri"/>
                <w:noProof/>
                <w:color w:val="000000"/>
                <w:lang w:eastAsia="da-DK"/>
              </w:rPr>
              <w:t>2009)</w:t>
            </w:r>
            <w:r>
              <w:rPr>
                <w:rFonts w:ascii="Calibri" w:eastAsia="Times New Roman" w:hAnsi="Calibri" w:cs="Calibri"/>
                <w:color w:val="000000"/>
                <w:lang w:eastAsia="da-DK"/>
              </w:rPr>
              <w:fldChar w:fldCharType="end"/>
            </w: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proofErr w:type="spellStart"/>
            <w:r>
              <w:rPr>
                <w:rFonts w:ascii="Calibri" w:eastAsia="Times New Roman" w:hAnsi="Calibri" w:cs="Calibri"/>
                <w:color w:val="000000"/>
                <w:lang w:eastAsia="da-DK"/>
              </w:rPr>
              <w:t>Carbon</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black</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P</w:t>
            </w:r>
            <w:r w:rsidRPr="00664774">
              <w:rPr>
                <w:rFonts w:ascii="Calibri" w:eastAsia="Times New Roman" w:hAnsi="Calibri" w:cs="Calibri"/>
                <w:color w:val="000000"/>
                <w:lang w:eastAsia="da-DK"/>
              </w:rPr>
              <w:t>rintex</w:t>
            </w:r>
            <w:proofErr w:type="spellEnd"/>
            <w:r w:rsidRPr="00664774">
              <w:rPr>
                <w:rFonts w:ascii="Calibri" w:eastAsia="Times New Roman" w:hAnsi="Calibri" w:cs="Calibri"/>
                <w:color w:val="000000"/>
                <w:lang w:eastAsia="da-DK"/>
              </w:rPr>
              <w:t xml:space="preserve"> 90</w:t>
            </w:r>
            <w:r>
              <w:rPr>
                <w:rFonts w:ascii="Calibri" w:eastAsia="Times New Roman" w:hAnsi="Calibri" w:cs="Calibri"/>
                <w:color w:val="000000"/>
                <w:lang w:eastAsia="da-DK"/>
              </w:rPr>
              <w:t>)</w:t>
            </w:r>
          </w:p>
        </w:tc>
      </w:tr>
      <w:tr w:rsidR="00537C08" w:rsidRPr="00664774" w:rsidTr="00664774">
        <w:trPr>
          <w:trHeight w:val="290"/>
        </w:trPr>
        <w:tc>
          <w:tcPr>
            <w:tcW w:w="2827" w:type="pct"/>
            <w:vMerge w:val="restar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val="en-US"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val="en-US" w:eastAsia="da-DK"/>
              </w:rPr>
              <w:instrText>ADDIN CSL_CITATION {"citationItems":[{"id":"ITEM-1","itemData":{"DOI":"10.1080/17435390.2019.1654004","ISSN":"17435404","abstract":"Inhalation of nanosized zinc oxide (ZnO) induces metal fume fever and systemic acute phase response in humans. Acute phase response activation is a cardiovascular risk factor; we investigated whether pulmonary exposure of mice can be used to assess ZnO-induced acute phase response as well as inflammation and genotoxicity. Uncoated (NM-110) and triethoxycaprylylsilane-coated (NM-111) ZnO nanoparticles were intratracheally instilled once at 0.2, 0.7 or 2 µg/mouse (11, 33 and 100 µg/kg body weight). Serum amyloid A3 mRNA level in lung tissue, bronchoalveolar lavage (BAL) fluid cellularity, and levels of DNA strand breaks in BAL fluid cells, lung and liver tissue were assessed 1, 3 and 28 days post-exposure. Global transcription patterns were assessed in lung tissue using microarrays. The acute-phase response serum amyloid A3 mRNA levels were increased on day 1; for uncoated ZnO nanoparticles at the highest dose and for coated ZnO nanoparticles at medium and highest dose. Neutrophils were increased in BAL fluid only after exposure to coated ZnO nanoparticles. Genotoxicity was observed only in single dose groups, with no dose-response relationship. Most changes in global transcriptional response were observed after exposure to uncoated ZnO nanoparticles and involved cell cycle G2 to M phase DNA damage checkpoint regulation. Although, uncoated and coated ZnO nanoparticles qualitatively exerted similar effects, observed differences are likely explained by differences in solubility kinetics. The finding of serum amyloid A3 induction at low exposure suggests that mouse models can be used to assess the nanoparticle-mediated induction of acute phase responses in humans.","author":[{"dropping-particle":"","family":"Hadrup","given":"Niels","non-dropping-particle":"","parse-names":false,"suffix":""},{"dropping-particle":"","family":"Rahmani","given":"Feriel","non-dropping-particle":"","parse-names":false,"suffix":""},{"dropping-particle":"","family":"Jacobsen","given":"Nicklas R.","non-dropping-particle":"","parse-names":false,"suffix":""},{"dropping-particle":"","family":"Saber","given":"Anne T.","non-dropping-particle":"","parse-names":false,"suffix":""},{"dropping-particle":"","family":"Jackson","given":"Petra","non-dropping-particle":"","parse-names":false,"suffix":""},{"dropping-particle":"","family":"Bengtson","given":"Stefan","non-dropping-particle":"","parse-names":false,"suffix":""},{"dropping-particle":"","family":"Williams","given":"Andrew","non-dropping-particle":"","parse-names":false,"suffix":""},{"dropping-particle":"","family":"Wallin","given":"Håkan","non-dropping-particle":"","parse-names":false,"suffix":""},{"dropping-particle":"","family":"Halappanavar","given":"Sabina","non-dropping-particle":"","parse-names":false,"suffix":""},{"dropping-particle":"","family":"Vogel","given":"Ulla","non-dropping-particle":"","parse-names":false,"suffix":""}],"container-title":"Nanotoxicology","id":"ITEM-1","issue":"9","issued":{"date-parts":[["2019"]]},"page":"1275-1292","publisher":"Taylor &amp; Francis","title":"Acute phase response and inflammation following pulmonary exposure to low doses of zinc oxide nanoparticles in mice","type":"article-journal","volume":"13"},"uris":["http://www.mendeley.com/documents/?uuid=8c56da2b-152c-48e5-b758-c3aca0b4b105"]}],"mendeley":{"formattedCitation":"(Hadrup et al., 2019)","manualFormatting":"Hadrup et al. (2019","plainTextFormattedCitation":"(Hadrup et al., 2019)","previouslyFormattedCitation":"(Hadrup et al., 2019)"},"properties":{"noteIndex":0},"schema":"https://github.com/citation-style-language/schema/raw/master/csl-citation.json"}</w:instrText>
            </w:r>
            <w:r>
              <w:rPr>
                <w:rFonts w:ascii="Calibri" w:eastAsia="Times New Roman" w:hAnsi="Calibri" w:cs="Calibri"/>
                <w:color w:val="000000"/>
                <w:lang w:eastAsia="da-DK"/>
              </w:rPr>
              <w:fldChar w:fldCharType="separate"/>
            </w:r>
            <w:r>
              <w:rPr>
                <w:rFonts w:ascii="Calibri" w:eastAsia="Times New Roman" w:hAnsi="Calibri" w:cs="Calibri"/>
                <w:noProof/>
                <w:color w:val="000000"/>
                <w:lang w:val="en-US" w:eastAsia="da-DK"/>
              </w:rPr>
              <w:t>Hadrup et al.</w:t>
            </w:r>
            <w:r w:rsidRPr="00411D44">
              <w:rPr>
                <w:rFonts w:ascii="Calibri" w:eastAsia="Times New Roman" w:hAnsi="Calibri" w:cs="Calibri"/>
                <w:noProof/>
                <w:color w:val="000000"/>
                <w:lang w:val="en-US" w:eastAsia="da-DK"/>
              </w:rPr>
              <w:t xml:space="preserve"> </w:t>
            </w:r>
            <w:r>
              <w:rPr>
                <w:rFonts w:ascii="Calibri" w:eastAsia="Times New Roman" w:hAnsi="Calibri" w:cs="Calibri"/>
                <w:noProof/>
                <w:color w:val="000000"/>
                <w:lang w:val="en-US" w:eastAsia="da-DK"/>
              </w:rPr>
              <w:t>(</w:t>
            </w:r>
            <w:r w:rsidRPr="00411D44">
              <w:rPr>
                <w:rFonts w:ascii="Calibri" w:eastAsia="Times New Roman" w:hAnsi="Calibri" w:cs="Calibri"/>
                <w:noProof/>
                <w:color w:val="000000"/>
                <w:lang w:val="en-US" w:eastAsia="da-DK"/>
              </w:rPr>
              <w:t>2019</w:t>
            </w:r>
            <w:r>
              <w:rPr>
                <w:rFonts w:ascii="Calibri" w:eastAsia="Times New Roman" w:hAnsi="Calibri" w:cs="Calibri"/>
                <w:color w:val="000000"/>
                <w:lang w:eastAsia="da-DK"/>
              </w:rPr>
              <w:fldChar w:fldCharType="end"/>
            </w:r>
            <w:r>
              <w:rPr>
                <w:rFonts w:ascii="Calibri" w:eastAsia="Times New Roman" w:hAnsi="Calibri" w:cs="Calibri"/>
                <w:color w:val="000000"/>
                <w:lang w:eastAsia="da-DK"/>
              </w:rPr>
              <w:t>)</w:t>
            </w: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ZnO</w:t>
            </w:r>
          </w:p>
        </w:tc>
      </w:tr>
      <w:tr w:rsidR="00537C08" w:rsidRPr="00664774" w:rsidTr="00664774">
        <w:trPr>
          <w:trHeight w:val="290"/>
        </w:trPr>
        <w:tc>
          <w:tcPr>
            <w:tcW w:w="2827" w:type="pct"/>
            <w:vMerge/>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proofErr w:type="spellStart"/>
            <w:r>
              <w:rPr>
                <w:rFonts w:ascii="Calibri" w:eastAsia="Times New Roman" w:hAnsi="Calibri" w:cs="Calibri"/>
                <w:color w:val="000000"/>
                <w:lang w:eastAsia="da-DK"/>
              </w:rPr>
              <w:t>Carbon</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black</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P</w:t>
            </w:r>
            <w:r w:rsidRPr="00664774">
              <w:rPr>
                <w:rFonts w:ascii="Calibri" w:eastAsia="Times New Roman" w:hAnsi="Calibri" w:cs="Calibri"/>
                <w:color w:val="000000"/>
                <w:lang w:eastAsia="da-DK"/>
              </w:rPr>
              <w:t>rinte</w:t>
            </w:r>
            <w:bookmarkStart w:id="0" w:name="_GoBack"/>
            <w:bookmarkEnd w:id="0"/>
            <w:r w:rsidRPr="00664774">
              <w:rPr>
                <w:rFonts w:ascii="Calibri" w:eastAsia="Times New Roman" w:hAnsi="Calibri" w:cs="Calibri"/>
                <w:color w:val="000000"/>
                <w:lang w:eastAsia="da-DK"/>
              </w:rPr>
              <w:t>x</w:t>
            </w:r>
            <w:proofErr w:type="spellEnd"/>
            <w:r w:rsidRPr="00664774">
              <w:rPr>
                <w:rFonts w:ascii="Calibri" w:eastAsia="Times New Roman" w:hAnsi="Calibri" w:cs="Calibri"/>
                <w:color w:val="000000"/>
                <w:lang w:eastAsia="da-DK"/>
              </w:rPr>
              <w:t xml:space="preserve"> 90</w:t>
            </w:r>
            <w:r>
              <w:rPr>
                <w:rFonts w:ascii="Calibri" w:eastAsia="Times New Roman" w:hAnsi="Calibri" w:cs="Calibri"/>
                <w:color w:val="000000"/>
                <w:lang w:eastAsia="da-DK"/>
              </w:rPr>
              <w:t>)</w:t>
            </w:r>
          </w:p>
        </w:tc>
      </w:tr>
      <w:tr w:rsidR="00537C08" w:rsidRPr="00664774" w:rsidTr="00664774">
        <w:trPr>
          <w:trHeight w:val="290"/>
        </w:trPr>
        <w:tc>
          <w:tcPr>
            <w:tcW w:w="2827"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{"citationItems":[{"id":"ITEM-1","itemData":{"DOI":"10.1002/em.21936","ISBN":"1098-2280","ISSN":"08936692","PMID":"25504612","abstract":"Mitochondria are important integrators of cellular function and therefore affect the homeostatic balance of the cell. Besides their important role in producing adenosine triphosphate through oxidative phosphorylation, mitochondria are involved in the control of cytosolic calcium concentration, metabolism of key cellular intermediates, and Fe/S cluster biogenesis and contributed to programmed cell death. Mitochondria are also one of the major cellular producers of reactive oxygen species (ROS). Several human pathologies, including neurodegenerative diseases and cancer, are associated with mitochondrial dysfunction and increased ROS damage. This article reviews how dysfunctional mitochondria contribute to Alzheimer's disease, Parkinson's disease, Huntington's disease, and several human cancers. Environ. Mol. Mutagen., 2010. © 2010 Wiley-Liss, Inc.","author":[{"dropping-particle":"","family":"Halappanavar","given":"Sabina","non-dropping-particle":"","parse-names":false,"suffix":""},{"dropping-particle":"","family":"Saber","given":"Anne Thoustrup","non-dropping-particle":"","parse-names":false,"suffix":""},{"dropping-particle":"","family":"Decan","given":"Nathalie","non-dropping-particle":"","parse-names":false,"suffix":""},{"dropping-particle":"","family":"Jensen","given":"Keld Alstrup","non-dropping-particle":"","parse-names":false,"suffix":""},{"dropping-particle":"","family":"Wu","given":"Dongmei","non-dropping-particle":"","parse-names":false,"suffix":""},{"dropping-particle":"","family":"Jacobsen","given":"Nicklas Raun","non-dropping-particle":"","parse-names":false,"suffix":""},{"dropping-particle":"","family":"Guo","given":"Charles","non-dropping-particle":"","parse-names":false,"suffix":""},{"dropping-particle":"","family":"Rogowski","given":"Jacob","non-dropping-particle":"","parse-names":false,"suffix":""},{"dropping-particle":"","family":"Koponen","given":"Ismo K.","non-dropping-particle":"","parse-names":false,"suffix":""},{"dropping-particle":"","family":"Levin","given":"Marcus","non-dropping-particle":"","parse-names":false,"suffix":""},{"dropping-particle":"","family":"Madsen","given":"Anne Mette","non-dropping-particle":"","parse-names":false,"suffix":""},{"dropping-particle":"","family":"Atluri","given":"Rambabu","non-dropping-particle":"","parse-names":false,"suffix":""},{"dropping-particle":"","family":"Snitka","given":"Valentinas","non-dropping-particle":"","parse-names":false,"suffix":""},{"dropping-particle":"","family":"Birkedal","given":"Renie K.","non-dropping-particle":"","parse-names":false,"suffix":""},{"dropping-particle":"","family":"Rickerby","given":"David","non-dropping-particle":"","parse-names":false,"suffix":""},{"dropping-particle":"","family":"Williams","given":"Andrew","non-dropping-particle":"","parse-names":false,"suffix":""},{"dropping-particle":"","family":"Wallin","given":"Håkan","non-dropping-particle":"","parse-names":false,"suffix":""},{"dropping-particle":"","family":"Yauk","given":"Carole L.","non-dropping-particle":"","parse-names":false,"suffix":""},{"dropping-particle":"","family":"Vogel","given":"Ulla","non-dropping-particle":"","parse-names":false,"suffix":""}],"container-title":"Environmental and Molecular Mutagenesis","id":"ITEM-1","issue":"2","issued":{"date-parts":[["2015","3"]]},"page":"245-264","title":"Transcriptional profiling identifies physicochemical properties of nanomaterials that are determinants of the in vivo pulmonary response","type":"article-journal","volume":"56"},"uris":["http://www.mendeley.com/documents/?uuid=346ba0fd-fc5b-484b-bfed-a75046f9c254"]}],"mendeley":{"formattedCitation":"(Halappanavar et al., 2015)","manualFormatting":"Halappanavar et al. (2015","plainTextFormattedCitation":"(Halappanavar et al., 2015)","previouslyFormattedCitation":"(Halappanavar et al., 2015)"},"properties":{"noteIndex":0},"schema":"https://github.com/citation-style-language/schema/raw/master/csl-citation.json"}</w:instrText>
            </w:r>
            <w:r>
              <w:rPr>
                <w:rFonts w:ascii="Calibri" w:eastAsia="Times New Roman" w:hAnsi="Calibri" w:cs="Calibri"/>
                <w:color w:val="000000"/>
                <w:lang w:eastAsia="da-DK"/>
              </w:rPr>
              <w:fldChar w:fldCharType="separate"/>
            </w:r>
            <w:r>
              <w:rPr>
                <w:rFonts w:ascii="Calibri" w:eastAsia="Times New Roman" w:hAnsi="Calibri" w:cs="Calibri"/>
                <w:noProof/>
                <w:color w:val="000000"/>
                <w:lang w:eastAsia="da-DK"/>
              </w:rPr>
              <w:t>Halappanavar et al.</w:t>
            </w:r>
            <w:r w:rsidRPr="00411D44">
              <w:rPr>
                <w:rFonts w:ascii="Calibri" w:eastAsia="Times New Roman" w:hAnsi="Calibri" w:cs="Calibri"/>
                <w:noProof/>
                <w:color w:val="000000"/>
                <w:lang w:eastAsia="da-DK"/>
              </w:rPr>
              <w:t xml:space="preserve"> </w:t>
            </w:r>
            <w:r>
              <w:rPr>
                <w:rFonts w:ascii="Calibri" w:eastAsia="Times New Roman" w:hAnsi="Calibri" w:cs="Calibri"/>
                <w:noProof/>
                <w:color w:val="000000"/>
                <w:lang w:eastAsia="da-DK"/>
              </w:rPr>
              <w:t>(</w:t>
            </w:r>
            <w:r w:rsidRPr="00411D44">
              <w:rPr>
                <w:rFonts w:ascii="Calibri" w:eastAsia="Times New Roman" w:hAnsi="Calibri" w:cs="Calibri"/>
                <w:noProof/>
                <w:color w:val="000000"/>
                <w:lang w:eastAsia="da-DK"/>
              </w:rPr>
              <w:t>2015</w:t>
            </w:r>
            <w:r>
              <w:rPr>
                <w:rFonts w:ascii="Calibri" w:eastAsia="Times New Roman" w:hAnsi="Calibri" w:cs="Calibri"/>
                <w:color w:val="000000"/>
                <w:lang w:eastAsia="da-DK"/>
              </w:rPr>
              <w:fldChar w:fldCharType="end"/>
            </w:r>
            <w:r>
              <w:rPr>
                <w:rFonts w:ascii="Calibri" w:eastAsia="Times New Roman" w:hAnsi="Calibri" w:cs="Calibri"/>
                <w:color w:val="000000"/>
                <w:lang w:eastAsia="da-DK"/>
              </w:rPr>
              <w:t>)</w:t>
            </w: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TiO</w:t>
            </w:r>
            <w:r w:rsidRPr="00537C08">
              <w:rPr>
                <w:rFonts w:ascii="Calibri" w:eastAsia="Times New Roman" w:hAnsi="Calibri" w:cs="Calibri"/>
                <w:color w:val="000000"/>
                <w:vertAlign w:val="subscript"/>
                <w:lang w:eastAsia="da-DK"/>
              </w:rPr>
              <w:t>2</w:t>
            </w:r>
          </w:p>
        </w:tc>
      </w:tr>
      <w:tr w:rsidR="00537C08" w:rsidRPr="00664774" w:rsidTr="00664774">
        <w:trPr>
          <w:trHeight w:val="290"/>
        </w:trPr>
        <w:tc>
          <w:tcPr>
            <w:tcW w:w="2827"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{"citationItems":[{"id":"ITEM-1","itemData":{"DOI":"10.1093/mutage/gew046","ISSN":"14643804","abstract":"The influence of surface charge of nanomaterials on toxicological effects is not yet fully understood. We investigated the inflammatory response, the acute phase response and the genotoxic effect of two different titanium dioxide nanoparticles (TiO2 NPs) following a single intratracheal instillation. NRCWE-001 was unmodified rutile TiO2 with endogenous negative surface charge, whereas NRCWE-002 was surface modified to be positively charged. C57BL/6J BomTac mice received 18, 54 and 162 μg/mouse and were humanely killed 1, 3 and 28 days post-exposure. Vehicle controls were tested alongside for comparison. The cellular composition and protein concentration were determined in bronchoalveolar lavage (BAL) fluid as markers for an inflammatory response. Pulmonary and systemic genotoxicity was analysed by the alkaline comet assay as DNA strand breaks in BAL cells, lung and liver tissue. The pulmonary and hepatic acute phase response was analysed by Saa3 mRNA levels in lung tissue or Saa1 mRNA levels in liver tissue by real-time quantitative polymerase chain reaction. Instillation of NRCWE-001 and -002 both induced a dosedependent neutrophil influx into the lung lining fluid and Saa3 mRNA levels in lung tissue at all assessed time points. There was no statistically significant difference between NRCWE-001 and NRCWE-002. Exposure to both TiO2 NPs induced increased levels of DNA strand breaks in lung tissue at all doses 1 and 28 days post-exposure and NRCWE-002 at the low and middle dose 3 days post-exposure. The DNA strand break levels were statistically significantly different for NRCWE-001 and -002 for liver and for BAL cells, but no consistent pattern was observed. In conclusion, functionalisation of reactive negatively charged rutile TiO2 to positively charged did not consistently influence pulmonary toxicity of the studied TiO2 NPs.","author":[{"dropping-particle":"","family":"Wallin","given":"Håkan","non-dropping-particle":"","parse-names":false,"suffix":""},{"dropping-particle":"","family":"Kyjovska","given":"Zdenka O.","non-dropping-particle":"","parse-names":false,"suffix":""},{"dropping-particle":"","family":"Poulsen","given":"Sarah S.","non-dropping-particle":"","parse-names":false,"suffix":""},{"dropping-particle":"","family":"Jacobsen","given":"Nicklas R.","non-dropping-particle":"","parse-names":false,"suffix":""},{"dropping-particle":"","family":"Saber","given":"Anne T.","non-dropping-particle":"","parse-names":false,"suffix":""},{"dropping-particle":"","family":"Bengtson","given":"Stefan","non-dropping-particle":"","parse-names":false,"suffix":""},{"dropping-particle":"","family":"Jackson","given":"Petra","non-dropping-particle":"","parse-names":false,"suffix":""},{"dropping-particle":"","family":"Vogel","given":"Ulla","non-dropping-particle":"","parse-names":false,"suffix":""}],"container-title":"Mutagenesis","id":"ITEM-1","issue":"1","issued":{"date-parts":[["2017"]]},"page":"47-57","title":"Surface modification does not influence the genotoxic and inflammatory effects of TiO2 nanoparticles after pulmonary exposure by instillation in mice","type":"article-journal","volume":"32"},"uris":["http://www.mendeley.com/documents/?uuid=92622270-0821-4afc-9c5e-f670e0c0e099"]}],"mendeley":{"formattedCitation":"(Wallin et al., 2017)","manualFormatting":"Wallin et al. (2017)","plainTextFormattedCitation":"(Wallin et al., 2017)","previouslyFormattedCitation":"(Wallin et al., 2017)"},"properties":{"noteIndex":0},"schema":"https://github.com/citation-style-language/schema/raw/master/csl-citation.json"}</w:instrText>
            </w:r>
            <w:r>
              <w:rPr>
                <w:rFonts w:ascii="Calibri" w:eastAsia="Times New Roman" w:hAnsi="Calibri" w:cs="Calibri"/>
                <w:color w:val="000000"/>
                <w:lang w:eastAsia="da-DK"/>
              </w:rPr>
              <w:fldChar w:fldCharType="separate"/>
            </w:r>
            <w:r w:rsidRPr="00411D44">
              <w:rPr>
                <w:rFonts w:ascii="Calibri" w:eastAsia="Times New Roman" w:hAnsi="Calibri" w:cs="Calibri"/>
                <w:noProof/>
                <w:color w:val="000000"/>
                <w:lang w:eastAsia="da-DK"/>
              </w:rPr>
              <w:t>Wallin et al.</w:t>
            </w:r>
            <w:r>
              <w:rPr>
                <w:rFonts w:ascii="Calibri" w:eastAsia="Times New Roman" w:hAnsi="Calibri" w:cs="Calibri"/>
                <w:noProof/>
                <w:color w:val="000000"/>
                <w:lang w:eastAsia="da-DK"/>
              </w:rPr>
              <w:t xml:space="preserve"> (</w:t>
            </w:r>
            <w:r w:rsidRPr="00411D44">
              <w:rPr>
                <w:rFonts w:ascii="Calibri" w:eastAsia="Times New Roman" w:hAnsi="Calibri" w:cs="Calibri"/>
                <w:noProof/>
                <w:color w:val="000000"/>
                <w:lang w:eastAsia="da-DK"/>
              </w:rPr>
              <w:t>2017)</w:t>
            </w:r>
            <w:r>
              <w:rPr>
                <w:rFonts w:ascii="Calibri" w:eastAsia="Times New Roman" w:hAnsi="Calibri" w:cs="Calibri"/>
                <w:color w:val="000000"/>
                <w:lang w:eastAsia="da-DK"/>
              </w:rPr>
              <w:fldChar w:fldCharType="end"/>
            </w: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TiO</w:t>
            </w:r>
            <w:r w:rsidRPr="00537C08">
              <w:rPr>
                <w:rFonts w:ascii="Calibri" w:eastAsia="Times New Roman" w:hAnsi="Calibri" w:cs="Calibri"/>
                <w:color w:val="000000"/>
                <w:vertAlign w:val="subscript"/>
                <w:lang w:eastAsia="da-DK"/>
              </w:rPr>
              <w:t>2</w:t>
            </w:r>
          </w:p>
        </w:tc>
      </w:tr>
      <w:tr w:rsidR="00537C08" w:rsidRPr="00664774" w:rsidTr="00664774">
        <w:trPr>
          <w:trHeight w:val="290"/>
        </w:trPr>
        <w:tc>
          <w:tcPr>
            <w:tcW w:w="2827" w:type="pct"/>
            <w:vMerge w:val="restar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{"citationItems":[{"id":"ITEM-1","itemData":{"DOI":"10.1016/j.etap.2019.103303","ISSN":"18727077","PMID":"31794919","abstract":"Exposure to metal oxide nanomaterials potentially occurs at the workplace. We investigated the toxicity of two Fe-oxides: Fe2O3 nanoparticles and nanorods; and three MFe2O4 spinels: NiZnFe4O8, ZnFe2O4, and NiFe2O4 nanoparticles. Mice were dosed 14, 43 or 128 μg by intratracheal instillation. Recovery periods were 1, 3, or 28 days. Inflammation – neutrophil influx into bronchoalveolar lavage (BAL) fluid – occurred for Fe2O3 rods (1 day), ZnFe2O4 (1, 3 days), NiFe2O4 (1, 3, 28 days), Fe2O3 (28 days) and NiZnFe4O8 (28 days). Conversion of mass-dose into specific surface-area-dose showed that inflammation correlated with deposited surface area and consequently, all these nanomaterials belong to the so-called low-solubility, low-toxicity class. Increased levels of DNA strand breaks were observed for both Fe2O3 particles and rods, in BAL cells three days post-exposure. To our knowledge, this is, besides magnetite (Fe3O4), the first study of the pulmonary toxicity of MFe2O4 spinel nanomaterials.","author":[{"dropping-particle":"","family":"Hadrup","given":"Niels","non-dropping-particle":"","parse-names":false,"suffix":""},{"dropping-particle":"","family":"Saber","given":"Anne T.","non-dropping-particle":"","parse-names":false,"suffix":""},{"dropping-particle":"","family":"Kyjovska","given":"Zdenka O.","non-dropping-particle":"","parse-names":false,"suffix":""},{"dropping-particle":"","family":"Jacobsen","given":"Nicklas R.","non-dropping-particle":"","parse-names":false,"suffix":""},{"dropping-particle":"","family":"Vippola","given":"Minnamari","non-dropping-particle":"","parse-names":false,"suffix":""},{"dropping-particle":"","family":"Sarlin","given":"Essi","non-dropping-particle":"","parse-names":false,"suffix":""},{"dropping-particle":"","family":"Ding","given":"Yaobo","non-dropping-particle":"","parse-names":false,"suffix":""},{"dropping-particle":"","family":"Schmid","given":"Otmar","non-dropping-particle":"","parse-names":false,"suffix":""},{"dropping-particle":"","family":"Wallin","given":"Håkan","non-dropping-particle":"","parse-names":false,"suffix":""},{"dropping-particle":"","family":"Jensen","given":"Keld A.","non-dropping-particle":"","parse-names":false,"suffix":""},{"dropping-particle":"","family":"Vogel","given":"Ulla","non-dropping-particle":"","parse-names":false,"suffix":""}],"container-title":"Environmental Toxicology and Pharmacology","id":"ITEM-1","issue":"November 2019","issued":{"date-parts":[["2020"]]},"title":"Pulmonary toxicity of Fe2O3, ZnFe2O4, NiFe2O4 and NiZnFe4O8 nanomaterials: Inflammation and DNA strand breaks","type":"article-journal","volume":"74"},"uris":["http://www.mendeley.com/documents/?uuid=31181246-6380-4d1e-83e2-382bd01ae785"]}],"mendeley":{"formattedCitation":"(Hadrup et al., 2020)","manualFormatting":"Hadrup et al. (2020)","plainTextFormattedCitation":"(Hadrup et al., 2020)","previouslyFormattedCitation":"(Hadrup et al., 2020)"},"properties":{"noteIndex":0},"schema":"https://github.com/citation-style-language/schema/raw/master/csl-citation.json"}</w:instrText>
            </w:r>
            <w:r>
              <w:rPr>
                <w:rFonts w:ascii="Calibri" w:eastAsia="Times New Roman" w:hAnsi="Calibri" w:cs="Calibri"/>
                <w:color w:val="000000"/>
                <w:lang w:eastAsia="da-DK"/>
              </w:rPr>
              <w:fldChar w:fldCharType="separate"/>
            </w:r>
            <w:r>
              <w:rPr>
                <w:rFonts w:ascii="Calibri" w:eastAsia="Times New Roman" w:hAnsi="Calibri" w:cs="Calibri"/>
                <w:noProof/>
                <w:color w:val="000000"/>
                <w:lang w:eastAsia="da-DK"/>
              </w:rPr>
              <w:t>Hadrup et al. (</w:t>
            </w:r>
            <w:r w:rsidRPr="00411D44">
              <w:rPr>
                <w:rFonts w:ascii="Calibri" w:eastAsia="Times New Roman" w:hAnsi="Calibri" w:cs="Calibri"/>
                <w:noProof/>
                <w:color w:val="000000"/>
                <w:lang w:eastAsia="da-DK"/>
              </w:rPr>
              <w:t>2020)</w:t>
            </w:r>
            <w:r>
              <w:rPr>
                <w:rFonts w:ascii="Calibri" w:eastAsia="Times New Roman" w:hAnsi="Calibri" w:cs="Calibri"/>
                <w:color w:val="000000"/>
                <w:lang w:eastAsia="da-DK"/>
              </w:rPr>
              <w:fldChar w:fldCharType="end"/>
            </w: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Fe</w:t>
            </w:r>
            <w:r w:rsidRPr="00537C08">
              <w:rPr>
                <w:rFonts w:ascii="Calibri" w:eastAsia="Times New Roman" w:hAnsi="Calibri" w:cs="Calibri"/>
                <w:color w:val="000000"/>
                <w:vertAlign w:val="subscript"/>
                <w:lang w:eastAsia="da-DK"/>
              </w:rPr>
              <w:t>2</w:t>
            </w:r>
            <w:r w:rsidRPr="00664774">
              <w:rPr>
                <w:rFonts w:ascii="Calibri" w:eastAsia="Times New Roman" w:hAnsi="Calibri" w:cs="Calibri"/>
                <w:color w:val="000000"/>
                <w:lang w:eastAsia="da-DK"/>
              </w:rPr>
              <w:t>O</w:t>
            </w:r>
            <w:r w:rsidRPr="00537C08">
              <w:rPr>
                <w:rFonts w:ascii="Calibri" w:eastAsia="Times New Roman" w:hAnsi="Calibri" w:cs="Calibri"/>
                <w:color w:val="000000"/>
                <w:vertAlign w:val="subscript"/>
                <w:lang w:eastAsia="da-DK"/>
              </w:rPr>
              <w:t>3</w:t>
            </w:r>
          </w:p>
        </w:tc>
      </w:tr>
      <w:tr w:rsidR="00537C08" w:rsidRPr="00664774" w:rsidTr="00664774">
        <w:trPr>
          <w:trHeight w:val="290"/>
        </w:trPr>
        <w:tc>
          <w:tcPr>
            <w:tcW w:w="2827" w:type="pct"/>
            <w:vMerge/>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proofErr w:type="spellStart"/>
            <w:r>
              <w:rPr>
                <w:rFonts w:ascii="Calibri" w:eastAsia="Times New Roman" w:hAnsi="Calibri" w:cs="Calibri"/>
                <w:color w:val="000000"/>
                <w:lang w:eastAsia="da-DK"/>
              </w:rPr>
              <w:t>Carbon</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black</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P</w:t>
            </w:r>
            <w:r w:rsidRPr="00664774">
              <w:rPr>
                <w:rFonts w:ascii="Calibri" w:eastAsia="Times New Roman" w:hAnsi="Calibri" w:cs="Calibri"/>
                <w:color w:val="000000"/>
                <w:lang w:eastAsia="da-DK"/>
              </w:rPr>
              <w:t>rintex</w:t>
            </w:r>
            <w:proofErr w:type="spellEnd"/>
            <w:r w:rsidRPr="00664774">
              <w:rPr>
                <w:rFonts w:ascii="Calibri" w:eastAsia="Times New Roman" w:hAnsi="Calibri" w:cs="Calibri"/>
                <w:color w:val="000000"/>
                <w:lang w:eastAsia="da-DK"/>
              </w:rPr>
              <w:t xml:space="preserve"> 90</w:t>
            </w:r>
            <w:r>
              <w:rPr>
                <w:rFonts w:ascii="Calibri" w:eastAsia="Times New Roman" w:hAnsi="Calibri" w:cs="Calibri"/>
                <w:color w:val="000000"/>
                <w:lang w:eastAsia="da-DK"/>
              </w:rPr>
              <w:t>)</w:t>
            </w:r>
          </w:p>
        </w:tc>
      </w:tr>
      <w:tr w:rsidR="00537C08" w:rsidRPr="00664774" w:rsidTr="00664774">
        <w:trPr>
          <w:trHeight w:val="290"/>
        </w:trPr>
        <w:tc>
          <w:tcPr>
            <w:tcW w:w="2827"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{"citationItems":[{"id":"ITEM-1","itemData":{"DOI":"10.1186/1743-8977-9-4","ISSN":"1743-8977","PMID":"7899504","abstract":"Abstract— Alkaline elution has been used to detect ultraviolet radiation (UVR)‐induced DNA damage in the epidermis of C3H/Tif hr/hr mice. This technique detects DNA damage in the form of single‐strand breaks and alkali‐labile sites (SSB) formed directly by UVA (320–400 nm) or indirectly by UVB (280–320 nm). The latter induces DNA damage such as cyclobutane pyrimidine dimers and pyrimidine‐pyrimidone (6–4)‐photoproducts, which are then converted into transient SSB by cellular endonucleases, during nucleotide excision repair (NER). The irradiation system used had a spectral output similar in effect to solar UVR, with the UVB component inducing 94% of the edema response observed in mice. Consequently, the majority of SSB detected were those formed via NER of UVB‐induced photoadducts. The number of SSB detected immediately after 8 kj/m2 (2.7 minimum erythema doses determined at 48 h post‐UVR [MED]) was low, indicating the formation of only small numbers of transient SSB. When DNA repair inhibitors hydroxyurea and 1 ‐β‐D‐arabinofuranosylcytosine were administered (intraperi‐toneally) to mice 30 min before UVR, they prevented sealing of the DNA SSB formed during NER. A four‐fold increase in the number of SSB detected resulted, which was found to be linearly related to the UVR dose. The SSB induced by 2 kj/m2 (less than an MED) were readily detected, with the ear showing lower numbers of SSB than the dorsum. When repair inhibitors were added post‐UVR, the rate of formation of SSB declined rapidly with time of administration, reflecting repair of DNA lesions. After a UVR dose of 6 kj/m2 (2 MED), 50% of the initial repair‐dependent SSB had been removed after approximately 2 h in the ear and 4 h in the dorsum; no more SSB appeared to be incised by 24 h post‐UVR. The technique described is an efficient and highly sensitive one for the quantification of SSB induced in UV‐irradiated skin samples in vivo. Copyright © 1995, Wiley Blackwell. All rights reserved","author":[{"dropping-particle":"","family":"Saber","given":"Anne","non-dropping-particle":"","parse-names":false,"suffix":""},{"dropping-particle":"","family":"Jacobsen","given":"Nicklas","non-dropping-particle":"","parse-names":false,"suffix":""},{"dropping-particle":"","family":"Mortensen","given":"Alicia","non-dropping-particle":"","parse-names":false,"suffix":""},{"dropping-particle":"","family":"Szarek","given":"Józef","non-dropping-particle":"","parse-names":false,"suffix":""},{"dropping-particle":"","family":"Jackson","given":"Petra","non-dropping-particle":"","parse-names":false,"suffix":""},{"dropping-particle":"","family":"Madsen","given":"Anne","non-dropping-particle":"","parse-names":false,"suffix":""},{"dropping-particle":"","family":"Jensen","given":"Keld","non-dropping-particle":"","parse-names":false,"suffix":""},{"dropping-particle":"","family":"Koponen","given":"Ismo K","non-dropping-particle":"","parse-names":false,"suffix":""},{"dropping-particle":"","family":"Brunborg","given":"Gunnar","non-dropping-particle":"","parse-names":false,"suffix":""},{"dropping-particle":"","family":"Gützkow","given":"Kristine","non-dropping-particle":"","parse-names":false,"suffix":""},{"dropping-particle":"","family":"Vogel","given":"Ulla","non-dropping-particle":"","parse-names":false,"suffix":""},{"dropping-particle":"","family":"Wallin","given":"Håkan","non-dropping-particle":"","parse-names":false,"suffix":""}],"container-title":"Particle and Fibre Toxicology","id":"ITEM-1","issue":"1","issued":{"date-parts":[["2012","2"]]},"page":"4","title":"Nanotitanium dioxide toxicity in mouse lung is reduced in sanding dust from paint","type":"article-journal","volume":"9"},"uris":["http://www.mendeley.com/documents/?uuid=5cede204-d140-455c-b98b-57fed4aec0ab"]}],"mendeley":{"formattedCitation":"(A. Saber et al., 2012)","manualFormatting":"Saber et al. (2012)","plainTextFormattedCitation":"(A. Saber et al., 2012)","previouslyFormattedCitation":"(A. Saber et al., 2012)"},"properties":{"noteIndex":0},"schema":"https://github.com/citation-style-language/schema/raw/master/csl-citation.json"}</w:instrText>
            </w:r>
            <w:r>
              <w:rPr>
                <w:rFonts w:ascii="Calibri" w:eastAsia="Times New Roman" w:hAnsi="Calibri" w:cs="Calibri"/>
                <w:color w:val="000000"/>
                <w:lang w:eastAsia="da-DK"/>
              </w:rPr>
              <w:fldChar w:fldCharType="separate"/>
            </w:r>
            <w:r>
              <w:rPr>
                <w:rFonts w:ascii="Calibri" w:eastAsia="Times New Roman" w:hAnsi="Calibri" w:cs="Calibri"/>
                <w:noProof/>
                <w:color w:val="000000"/>
                <w:lang w:eastAsia="da-DK"/>
              </w:rPr>
              <w:t>S</w:t>
            </w:r>
            <w:r w:rsidRPr="00664774">
              <w:rPr>
                <w:rFonts w:ascii="Calibri" w:eastAsia="Times New Roman" w:hAnsi="Calibri" w:cs="Calibri"/>
                <w:noProof/>
                <w:color w:val="000000"/>
                <w:lang w:eastAsia="da-DK"/>
              </w:rPr>
              <w:t>aber et al.</w:t>
            </w:r>
            <w:r>
              <w:rPr>
                <w:rFonts w:ascii="Calibri" w:eastAsia="Times New Roman" w:hAnsi="Calibri" w:cs="Calibri"/>
                <w:noProof/>
                <w:color w:val="000000"/>
                <w:lang w:eastAsia="da-DK"/>
              </w:rPr>
              <w:t xml:space="preserve"> (</w:t>
            </w:r>
            <w:r w:rsidRPr="00664774">
              <w:rPr>
                <w:rFonts w:ascii="Calibri" w:eastAsia="Times New Roman" w:hAnsi="Calibri" w:cs="Calibri"/>
                <w:noProof/>
                <w:color w:val="000000"/>
                <w:lang w:eastAsia="da-DK"/>
              </w:rPr>
              <w:t>2012)</w:t>
            </w:r>
            <w:r>
              <w:rPr>
                <w:rFonts w:ascii="Calibri" w:eastAsia="Times New Roman" w:hAnsi="Calibri" w:cs="Calibri"/>
                <w:color w:val="000000"/>
                <w:lang w:eastAsia="da-DK"/>
              </w:rPr>
              <w:fldChar w:fldCharType="end"/>
            </w: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sidRPr="00664774">
              <w:rPr>
                <w:rFonts w:ascii="Calibri" w:eastAsia="Times New Roman" w:hAnsi="Calibri" w:cs="Calibri"/>
                <w:color w:val="000000"/>
                <w:lang w:eastAsia="da-DK"/>
              </w:rPr>
              <w:t>TiO</w:t>
            </w:r>
            <w:r w:rsidRPr="00537C08">
              <w:rPr>
                <w:rFonts w:ascii="Calibri" w:eastAsia="Times New Roman" w:hAnsi="Calibri" w:cs="Calibri"/>
                <w:color w:val="000000"/>
                <w:vertAlign w:val="subscript"/>
                <w:lang w:eastAsia="da-DK"/>
              </w:rPr>
              <w:t>2</w:t>
            </w:r>
          </w:p>
        </w:tc>
      </w:tr>
      <w:tr w:rsidR="00537C08" w:rsidRPr="00664774" w:rsidTr="00664774">
        <w:trPr>
          <w:trHeight w:val="290"/>
        </w:trPr>
        <w:tc>
          <w:tcPr>
            <w:tcW w:w="2827"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r>
              <w:rPr>
                <w:rFonts w:ascii="Calibri" w:eastAsia="Times New Roman" w:hAnsi="Calibri" w:cs="Calibri"/>
                <w:color w:val="000000"/>
                <w:lang w:eastAsia="da-DK"/>
              </w:rPr>
              <w:fldChar w:fldCharType="begin" w:fldLock="1"/>
            </w:r>
            <w:r>
              <w:rPr>
                <w:rFonts w:ascii="Calibri" w:eastAsia="Times New Roman" w:hAnsi="Calibri" w:cs="Calibri"/>
                <w:color w:val="000000"/>
                <w:lang w:eastAsia="da-DK"/>
              </w:rPr>
              <w:instrText>ADDIN CSL_CITATION {"citationItems":[{"id":"ITEM-1","itemData":{"DOI":"10.1186/1743-8977-9-5","ISSN":"17438977","abstract":"Background: Widespread occupational exposure to carbon black nanoparticles (CBNPs) raises concerns over their safety. CBNPs are genotoxic in vitro but less is known about their genotoxicity in various organs in vivo.Methods: We investigated inflammatory and acute phase responses, DNA strand breaks (SB) and oxidatively damaged DNA in C57BL/6 mice 1, 3 and 28 days after a single instillation of 0.018, 0.054 or 0.162 mg Printex 90 CBNPs, alongside sham controls. Bronchoalveolar lavage (BAL) fluid was analyzed for cellular composition. SB in BAL cells, whole lung and liver were assessed using the alkaline comet assay. Formamidopyrimidine DNA glycosylase (FPG) sensitive sites were assessed as an indicator of oxidatively damaged DNA. Pulmonary and hepatic acute phase response was evaluated by Saa3 mRNA real-time quantitative PCR.Results: Inflammation was strongest 1 and 3 days post-exposure, and remained elevated for the two highest doses (i.e., 0.054 and 0.162 mg) 28 days post-exposure (P &lt; 0.001). SB were detected in lung at all doses on post-exposure day 1 (P &lt; 0.001) and remained elevated at the two highest doses until day 28 (P &lt; 0.05). BAL cell DNA SB were elevated relative to controls at least at the highest dose on all post-exposure days (P &lt; 0.05). The level of FPG sensitive sites in lung was increased throughout with significant increases occurring on post-exposure days 1 and 3, in comparison to controls (P &lt; 0.001-0.05). SB in liver were detected on post-exposure days 1 (P &lt; 0.001) and 28 (P &lt; 0.001). Polymorphonuclear (PMN) cell counts in BAL correlated strongly with FPG sensitive sites in lung (r = 0.88, P &lt; 0.001), whereas no such correlation was observed with SB (r = 0.52, P = 0.08). CBNP increased the expression of Saa3 mRNA in lung tissue on day 1 (all doses), 3 (all doses) and 28 (0.054 and 0.162 mg), but not in liver.Conclusions: Deposition of CBNPs in lung induces inflammatory and genotoxic effects in mouse lung that persist considerably after the initial exposure. Our results demonstrate that CBNPs may cause genotoxicity both in the primary exposed tissue, lung and BAL cells, and in a secondary tissue, the liver. © 2012 Bourdon et al; licensee BioMed Central Ltd.","author":[{"dropping-particle":"","family":"Bourdon","given":"Julie A.","non-dropping-particle":"","parse-names":false,"suffix":""},{"dropping-particle":"","family":"Saber","given":"Anne T.","non-dropping-particle":"","parse-names":false,"suffix":""},{"dropping-particle":"","family":"Jacobsen","given":"Nicklas R.","non-dropping-particle":"","parse-names":false,"suffix":""},{"dropping-particle":"","family":"Jensen","given":"Keld A.","non-dropping-particle":"","parse-names":false,"suffix":""},{"dropping-particle":"","family":"Madsen","given":"Anne M.","non-dropping-particle":"","parse-names":false,"suffix":""},{"dropping-particle":"","family":"Lamson","given":"Jacob S.","non-dropping-particle":"","parse-names":false,"suffix":""},{"dropping-particle":"","family":"Wallin","given":"Håkan","non-dropping-particle":"","parse-names":false,"suffix":""},{"dropping-particle":"","family":"Møller","given":"Peter","non-dropping-particle":"","parse-names":false,"suffix":""},{"dropping-particle":"","family":"Loft","given":"Steffen","non-dropping-particle":"","parse-names":false,"suffix":""},{"dropping-particle":"","family":"Yauk","given":"Carole L.","non-dropping-particle":"","parse-names":false,"suffix":""},{"dropping-particle":"","family":"Vogel","given":"Ulla B.","non-dropping-particle":"","parse-names":false,"suffix":""}],"container-title":"Particle and Fibre Toxicology","id":"ITEM-1","issue":"1","issued":{"date-parts":[["2012"]]},"page":"5","publisher":"BioMed Central Ltd","title":"Carbon black nanoparticle instillation induces sustained inflammation and genotoxicity in mouse lung and liver","type":"article-journal","volume":"9"},"uris":["http://www.mendeley.com/documents/?uuid=98d03d6e-15fa-49f8-9c09-7755af3fad11"]}],"mendeley":{"formattedCitation":"(Bourdon et al., 2012)","manualFormatting":"Bourdon et al. (2012)","plainTextFormattedCitation":"(Bourdon et al., 2012)","previouslyFormattedCitation":"(Bourdon et al., 2012)"},"properties":{"noteIndex":0},"schema":"https://github.com/citation-style-language/schema/raw/master/csl-citation.json"}</w:instrText>
            </w:r>
            <w:r>
              <w:rPr>
                <w:rFonts w:ascii="Calibri" w:eastAsia="Times New Roman" w:hAnsi="Calibri" w:cs="Calibri"/>
                <w:color w:val="000000"/>
                <w:lang w:eastAsia="da-DK"/>
              </w:rPr>
              <w:fldChar w:fldCharType="separate"/>
            </w:r>
            <w:r w:rsidRPr="00664774">
              <w:rPr>
                <w:rFonts w:ascii="Calibri" w:eastAsia="Times New Roman" w:hAnsi="Calibri" w:cs="Calibri"/>
                <w:noProof/>
                <w:color w:val="000000"/>
                <w:lang w:eastAsia="da-DK"/>
              </w:rPr>
              <w:t>Bourdon et al.</w:t>
            </w:r>
            <w:r>
              <w:rPr>
                <w:rFonts w:ascii="Calibri" w:eastAsia="Times New Roman" w:hAnsi="Calibri" w:cs="Calibri"/>
                <w:noProof/>
                <w:color w:val="000000"/>
                <w:lang w:eastAsia="da-DK"/>
              </w:rPr>
              <w:t xml:space="preserve"> (</w:t>
            </w:r>
            <w:r w:rsidRPr="00664774">
              <w:rPr>
                <w:rFonts w:ascii="Calibri" w:eastAsia="Times New Roman" w:hAnsi="Calibri" w:cs="Calibri"/>
                <w:noProof/>
                <w:color w:val="000000"/>
                <w:lang w:eastAsia="da-DK"/>
              </w:rPr>
              <w:t>2012)</w:t>
            </w:r>
            <w:r>
              <w:rPr>
                <w:rFonts w:ascii="Calibri" w:eastAsia="Times New Roman" w:hAnsi="Calibri" w:cs="Calibri"/>
                <w:color w:val="000000"/>
                <w:lang w:eastAsia="da-DK"/>
              </w:rPr>
              <w:fldChar w:fldCharType="end"/>
            </w:r>
          </w:p>
        </w:tc>
        <w:tc>
          <w:tcPr>
            <w:tcW w:w="2173" w:type="pct"/>
            <w:shd w:val="clear" w:color="auto" w:fill="auto"/>
            <w:noWrap/>
            <w:vAlign w:val="center"/>
            <w:hideMark/>
          </w:tcPr>
          <w:p w:rsidR="00537C08" w:rsidRPr="00664774" w:rsidRDefault="00537C08" w:rsidP="00537C08">
            <w:pPr>
              <w:spacing w:after="0" w:line="240" w:lineRule="auto"/>
              <w:jc w:val="center"/>
              <w:rPr>
                <w:rFonts w:ascii="Calibri" w:eastAsia="Times New Roman" w:hAnsi="Calibri" w:cs="Calibri"/>
                <w:color w:val="000000"/>
                <w:lang w:eastAsia="da-DK"/>
              </w:rPr>
            </w:pPr>
            <w:proofErr w:type="spellStart"/>
            <w:r>
              <w:rPr>
                <w:rFonts w:ascii="Calibri" w:eastAsia="Times New Roman" w:hAnsi="Calibri" w:cs="Calibri"/>
                <w:color w:val="000000"/>
                <w:lang w:eastAsia="da-DK"/>
              </w:rPr>
              <w:t>Carbon</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black</w:t>
            </w:r>
            <w:proofErr w:type="spellEnd"/>
            <w:r>
              <w:rPr>
                <w:rFonts w:ascii="Calibri" w:eastAsia="Times New Roman" w:hAnsi="Calibri" w:cs="Calibri"/>
                <w:color w:val="000000"/>
                <w:lang w:eastAsia="da-DK"/>
              </w:rPr>
              <w:t xml:space="preserve"> (</w:t>
            </w:r>
            <w:proofErr w:type="spellStart"/>
            <w:r>
              <w:rPr>
                <w:rFonts w:ascii="Calibri" w:eastAsia="Times New Roman" w:hAnsi="Calibri" w:cs="Calibri"/>
                <w:color w:val="000000"/>
                <w:lang w:eastAsia="da-DK"/>
              </w:rPr>
              <w:t>P</w:t>
            </w:r>
            <w:r w:rsidRPr="00664774">
              <w:rPr>
                <w:rFonts w:ascii="Calibri" w:eastAsia="Times New Roman" w:hAnsi="Calibri" w:cs="Calibri"/>
                <w:color w:val="000000"/>
                <w:lang w:eastAsia="da-DK"/>
              </w:rPr>
              <w:t>rintex</w:t>
            </w:r>
            <w:proofErr w:type="spellEnd"/>
            <w:r w:rsidRPr="00664774">
              <w:rPr>
                <w:rFonts w:ascii="Calibri" w:eastAsia="Times New Roman" w:hAnsi="Calibri" w:cs="Calibri"/>
                <w:color w:val="000000"/>
                <w:lang w:eastAsia="da-DK"/>
              </w:rPr>
              <w:t xml:space="preserve"> 90</w:t>
            </w:r>
            <w:r>
              <w:rPr>
                <w:rFonts w:ascii="Calibri" w:eastAsia="Times New Roman" w:hAnsi="Calibri" w:cs="Calibri"/>
                <w:color w:val="000000"/>
                <w:lang w:eastAsia="da-DK"/>
              </w:rPr>
              <w:t>)</w:t>
            </w:r>
          </w:p>
        </w:tc>
      </w:tr>
    </w:tbl>
    <w:p w:rsidR="00664774" w:rsidRDefault="00664774">
      <w:pPr>
        <w:rPr>
          <w:lang w:val="en-US"/>
        </w:rPr>
      </w:pPr>
    </w:p>
    <w:p w:rsidR="00664774" w:rsidRPr="00664774" w:rsidRDefault="00664774">
      <w:pPr>
        <w:rPr>
          <w:lang w:val="en-US"/>
        </w:rPr>
      </w:pPr>
    </w:p>
    <w:sectPr w:rsidR="00664774" w:rsidRPr="006647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27E337C"/>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en-US" w:vendorID="64" w:dllVersion="131078" w:nlCheck="1" w:checkStyle="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774"/>
    <w:rsid w:val="00171D57"/>
    <w:rsid w:val="00411D44"/>
    <w:rsid w:val="00537C08"/>
    <w:rsid w:val="00664774"/>
    <w:rsid w:val="00B71DBB"/>
    <w:rsid w:val="00ED6DA9"/>
    <w:rsid w:val="00F95B4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CF0295-574A-4B4E-8A64-965CA81EF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411D44"/>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90125">
      <w:bodyDiv w:val="1"/>
      <w:marLeft w:val="0"/>
      <w:marRight w:val="0"/>
      <w:marTop w:val="0"/>
      <w:marBottom w:val="0"/>
      <w:divBdr>
        <w:top w:val="none" w:sz="0" w:space="0" w:color="auto"/>
        <w:left w:val="none" w:sz="0" w:space="0" w:color="auto"/>
        <w:bottom w:val="none" w:sz="0" w:space="0" w:color="auto"/>
        <w:right w:val="none" w:sz="0" w:space="0" w:color="auto"/>
      </w:divBdr>
    </w:div>
    <w:div w:id="376786405">
      <w:bodyDiv w:val="1"/>
      <w:marLeft w:val="0"/>
      <w:marRight w:val="0"/>
      <w:marTop w:val="0"/>
      <w:marBottom w:val="0"/>
      <w:divBdr>
        <w:top w:val="none" w:sz="0" w:space="0" w:color="auto"/>
        <w:left w:val="none" w:sz="0" w:space="0" w:color="auto"/>
        <w:bottom w:val="none" w:sz="0" w:space="0" w:color="auto"/>
        <w:right w:val="none" w:sz="0" w:space="0" w:color="auto"/>
      </w:divBdr>
    </w:div>
    <w:div w:id="125902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77D68-1CB1-488C-80E3-0A27BF5ED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7802</Words>
  <Characters>40105</Characters>
  <Application>Microsoft Office Word</Application>
  <DocSecurity>0</DocSecurity>
  <Lines>3342</Lines>
  <Paragraphs>3193</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44714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Andrea Torero Gutierrez</dc:creator>
  <cp:keywords/>
  <dc:description/>
  <cp:lastModifiedBy>Claudia Andrea Torero Gutierrez</cp:lastModifiedBy>
  <cp:revision>5</cp:revision>
  <dcterms:created xsi:type="dcterms:W3CDTF">2022-07-22T13:44:00Z</dcterms:created>
  <dcterms:modified xsi:type="dcterms:W3CDTF">2022-10-26T12:22:00Z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7ace418c-b4ff-3e61-983b-d9b32eb5e510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Remapped">
    <vt:lpwstr>true</vt:lpwstr>
  </property>
</Properties>
</file>