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RESEARCH </w:t>
      </w:r>
    </w:p>
    <w:p>
      <w:pPr>
        <w:pStyle w:val="Normal"/>
        <w:rPr>
          <w:rFonts w:ascii="Arial" w:hAnsi="Arial" w:cs="Arial"/>
          <w:b/>
          <w:sz w:val="36"/>
        </w:rPr>
      </w:pPr>
      <w:r>
        <w:rPr>
          <w:rFonts w:cs="Arial" w:ascii="Arial" w:hAnsi="Arial"/>
          <w:b/>
          <w:sz w:val="36"/>
        </w:rPr>
        <w:t>A Nano-QSTR model to predict nano-cytotoxicity: an approach using human lung cells data</w:t>
      </w:r>
    </w:p>
    <w:p>
      <w:pPr>
        <w:pStyle w:val="Normal"/>
        <w:spacing w:lineRule="auto" w:line="480" w:before="0" w:after="0"/>
        <w:jc w:val="both"/>
        <w:rPr>
          <w:rFonts w:ascii="Arial" w:hAnsi="Arial" w:cs="Arial"/>
          <w:sz w:val="20"/>
          <w:lang w:val="pt-PT"/>
        </w:rPr>
      </w:pPr>
      <w:r>
        <w:rPr>
          <w:rFonts w:cs="Arial" w:ascii="Arial" w:hAnsi="Arial"/>
          <w:sz w:val="20"/>
          <w:lang w:val="pt-PT"/>
        </w:rPr>
        <w:t>João Meneses</w:t>
      </w:r>
      <w:r>
        <w:rPr>
          <w:rFonts w:cs="Arial" w:ascii="Arial" w:hAnsi="Arial"/>
          <w:sz w:val="20"/>
          <w:vertAlign w:val="superscript"/>
          <w:lang w:val="pt-PT"/>
        </w:rPr>
        <w:t>1</w:t>
      </w:r>
      <w:r>
        <w:rPr>
          <w:rFonts w:cs="Arial" w:ascii="Arial" w:hAnsi="Arial"/>
          <w:sz w:val="20"/>
          <w:lang w:val="pt-PT"/>
        </w:rPr>
        <w:t>, Michael González-Durruthy</w:t>
      </w:r>
      <w:r>
        <w:rPr>
          <w:rFonts w:cs="Arial" w:ascii="Arial" w:hAnsi="Arial"/>
          <w:sz w:val="20"/>
          <w:vertAlign w:val="superscript"/>
          <w:lang w:val="pt-PT"/>
        </w:rPr>
        <w:t>1</w:t>
      </w:r>
      <w:r>
        <w:rPr>
          <w:rFonts w:cs="Arial" w:ascii="Arial" w:hAnsi="Arial"/>
          <w:sz w:val="20"/>
          <w:lang w:val="pt-PT"/>
        </w:rPr>
        <w:t>, Eli Fernandez-de Gortari</w:t>
      </w:r>
      <w:r>
        <w:rPr>
          <w:rFonts w:cs="Arial" w:ascii="Arial" w:hAnsi="Arial"/>
          <w:sz w:val="20"/>
          <w:vertAlign w:val="superscript"/>
          <w:lang w:val="pt-PT"/>
        </w:rPr>
        <w:t>1</w:t>
      </w:r>
      <w:r>
        <w:rPr>
          <w:rFonts w:cs="Arial" w:ascii="Arial" w:hAnsi="Arial"/>
          <w:sz w:val="20"/>
          <w:lang w:val="pt-PT"/>
        </w:rPr>
        <w:t>, Alla P. Toropova</w:t>
      </w:r>
      <w:r>
        <w:rPr>
          <w:rFonts w:cs="Arial" w:ascii="Arial" w:hAnsi="Arial"/>
          <w:sz w:val="20"/>
          <w:vertAlign w:val="superscript"/>
          <w:lang w:val="pt-PT"/>
        </w:rPr>
        <w:t>2</w:t>
      </w:r>
      <w:r>
        <w:rPr>
          <w:rFonts w:cs="Arial" w:ascii="Arial" w:hAnsi="Arial"/>
          <w:sz w:val="20"/>
          <w:lang w:val="pt-PT"/>
        </w:rPr>
        <w:t>, Andrey A. Toropov</w:t>
      </w:r>
      <w:r>
        <w:rPr>
          <w:rFonts w:cs="Arial" w:ascii="Arial" w:hAnsi="Arial"/>
          <w:sz w:val="20"/>
          <w:vertAlign w:val="superscript"/>
          <w:lang w:val="pt-PT"/>
        </w:rPr>
        <w:t>2</w:t>
      </w:r>
      <w:r>
        <w:rPr>
          <w:rFonts w:cs="Arial" w:ascii="Arial" w:hAnsi="Arial"/>
          <w:sz w:val="20"/>
          <w:lang w:val="pt-PT"/>
        </w:rPr>
        <w:t>, Ernesto Alfaro-Moreno</w:t>
      </w:r>
      <w:r>
        <w:rPr>
          <w:rFonts w:cs="Arial" w:ascii="Arial" w:hAnsi="Arial"/>
          <w:sz w:val="20"/>
          <w:vertAlign w:val="superscript"/>
          <w:lang w:val="pt-PT"/>
        </w:rPr>
        <w:t>1</w:t>
      </w:r>
      <w:r>
        <w:rPr>
          <w:rFonts w:cs="Arial" w:ascii="Arial" w:hAnsi="Arial"/>
          <w:sz w:val="20"/>
          <w:lang w:val="pt-PT"/>
        </w:rPr>
        <w:t>(*)</w:t>
      </w:r>
    </w:p>
    <w:p>
      <w:pPr>
        <w:pStyle w:val="Normal"/>
        <w:spacing w:lineRule="auto" w:line="480" w:before="0" w:after="0"/>
        <w:jc w:val="both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  <w:vertAlign w:val="superscript"/>
        </w:rPr>
        <w:t>1</w:t>
      </w:r>
      <w:r>
        <w:rPr>
          <w:rFonts w:cs="Arial" w:ascii="Arial" w:hAnsi="Arial"/>
          <w:sz w:val="16"/>
        </w:rPr>
        <w:t xml:space="preserve"> NanoSafety Group, International Iberian Nanotechnology Laboratory, 4715-330 Braga, Portugal</w:t>
      </w:r>
    </w:p>
    <w:p>
      <w:pPr>
        <w:pStyle w:val="Normal"/>
        <w:spacing w:lineRule="auto" w:line="480" w:before="0" w:after="0"/>
        <w:jc w:val="both"/>
        <w:rPr>
          <w:rFonts w:ascii="Arial" w:hAnsi="Arial" w:cs="Arial"/>
          <w:sz w:val="16"/>
          <w:lang w:val="pt-PT"/>
        </w:rPr>
      </w:pPr>
      <w:r>
        <w:rPr>
          <w:rFonts w:cs="Arial" w:ascii="Arial" w:hAnsi="Arial"/>
          <w:sz w:val="16"/>
          <w:vertAlign w:val="superscript"/>
          <w:lang w:val="pt-PT"/>
        </w:rPr>
        <w:t>2</w:t>
      </w:r>
      <w:r>
        <w:rPr>
          <w:rFonts w:cs="Arial" w:ascii="Arial" w:hAnsi="Arial"/>
          <w:sz w:val="16"/>
          <w:lang w:val="pt-PT"/>
        </w:rPr>
        <w:t xml:space="preserve"> Instituto di Ricerche Farmacologiche Mario Negri IRCCS, Via Mario Negri 2, 20156 Milano, Italy</w:t>
      </w:r>
    </w:p>
    <w:p>
      <w:pPr>
        <w:pStyle w:val="Normal"/>
        <w:spacing w:lineRule="auto" w:line="480" w:before="0" w:after="0"/>
        <w:jc w:val="both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* Correspondence: ernesto.alfaro@inl.int</w:t>
      </w:r>
    </w:p>
    <w:p>
      <w:pPr>
        <w:pStyle w:val="Normal"/>
        <w:spacing w:lineRule="auto" w:line="480" w:before="0" w:after="0"/>
        <w:jc w:val="both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Supplementary Information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Additional File 2</w:t>
      </w:r>
    </w:p>
    <w:p>
      <w:pPr>
        <w:pStyle w:val="Normal"/>
        <w:keepNext w:val="true"/>
        <w:rPr/>
      </w:pPr>
      <w:r>
        <w:rPr/>
        <w:drawing>
          <wp:inline distT="0" distB="0" distL="0" distR="0">
            <wp:extent cx="5563235" cy="202438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3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1"/>
        <w:rPr>
          <w:rFonts w:ascii="Arial" w:hAnsi="Arial" w:cs="Arial"/>
          <w:b/>
          <w:i w:val="false"/>
          <w:i w:val="false"/>
          <w:color w:val="000000" w:themeColor="text1"/>
          <w:sz w:val="16"/>
          <w:szCs w:val="16"/>
        </w:rPr>
      </w:pP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t>Figure S</w:t>
      </w: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fldChar w:fldCharType="begin"/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instrText xml:space="preserve"> SEQ Figure \* ARABIC </w:instrText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fldChar w:fldCharType="separate"/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t>1</w:t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fldChar w:fldCharType="end"/>
      </w: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t xml:space="preserve"> </w:t>
      </w:r>
      <w:r>
        <w:rPr>
          <w:rFonts w:cs="Arial" w:ascii="Arial" w:hAnsi="Arial"/>
          <w:i w:val="false"/>
          <w:color w:val="000000" w:themeColor="text1"/>
          <w:sz w:val="16"/>
          <w:szCs w:val="16"/>
        </w:rPr>
        <w:t>ENMs diameter (nm) frequency distribution (a) before and (b) after the filtering step.</w:t>
      </w:r>
    </w:p>
    <w:p>
      <w:pPr>
        <w:pStyle w:val="Normal"/>
        <w:keepNext w:val="true"/>
        <w:rPr/>
      </w:pPr>
      <w:r>
        <w:rPr/>
        <w:drawing>
          <wp:inline distT="0" distB="0" distL="0" distR="0">
            <wp:extent cx="5561965" cy="2513965"/>
            <wp:effectExtent l="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965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1"/>
        <w:rPr>
          <w:rFonts w:ascii="Arial" w:hAnsi="Arial" w:cs="Arial"/>
          <w:i w:val="false"/>
          <w:i w:val="false"/>
          <w:color w:val="000000" w:themeColor="text1"/>
          <w:sz w:val="16"/>
          <w:szCs w:val="16"/>
        </w:rPr>
      </w:pP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t>Figure S</w:t>
      </w: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fldChar w:fldCharType="begin"/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instrText xml:space="preserve"> SEQ Figure \* ARABIC </w:instrText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fldChar w:fldCharType="separate"/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t>2</w:t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fldChar w:fldCharType="end"/>
      </w: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t xml:space="preserve"> </w:t>
      </w:r>
      <w:r>
        <w:rPr>
          <w:rFonts w:cs="Arial" w:ascii="Arial" w:hAnsi="Arial"/>
          <w:i w:val="false"/>
          <w:color w:val="000000" w:themeColor="text1"/>
          <w:sz w:val="16"/>
          <w:szCs w:val="16"/>
        </w:rPr>
        <w:t>Cell viability (%) frequency distribution (a) before and (b) after the filtering step.</w:t>
      </w:r>
    </w:p>
    <w:p>
      <w:pPr>
        <w:pStyle w:val="Normal"/>
        <w:keepNext w:val="true"/>
        <w:rPr/>
      </w:pPr>
      <w:r>
        <w:rPr/>
        <w:drawing>
          <wp:inline distT="0" distB="0" distL="0" distR="0">
            <wp:extent cx="5211445" cy="3580765"/>
            <wp:effectExtent l="0" t="0" r="0" b="0"/>
            <wp:docPr id="3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44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1"/>
        <w:rPr>
          <w:rFonts w:ascii="Arial" w:hAnsi="Arial" w:cs="Arial"/>
          <w:b/>
          <w:i w:val="false"/>
          <w:i w:val="false"/>
          <w:color w:val="000000" w:themeColor="text1"/>
          <w:sz w:val="16"/>
          <w:szCs w:val="16"/>
        </w:rPr>
      </w:pP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t>Figure S</w:t>
      </w: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fldChar w:fldCharType="begin"/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instrText xml:space="preserve"> SEQ Figure \* ARABIC </w:instrText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fldChar w:fldCharType="separate"/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t>3</w:t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fldChar w:fldCharType="end"/>
      </w: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t xml:space="preserve"> </w:t>
      </w:r>
      <w:r>
        <w:rPr>
          <w:rFonts w:cs="Arial" w:ascii="Arial" w:hAnsi="Arial"/>
          <w:i w:val="false"/>
          <w:color w:val="000000" w:themeColor="text1"/>
          <w:sz w:val="16"/>
          <w:szCs w:val="16"/>
        </w:rPr>
        <w:t>General representation of data normalization and transformation pre-processing steps for ENMs diameter and concentration.</w:t>
      </w:r>
    </w:p>
    <w:p>
      <w:pPr>
        <w:pStyle w:val="Caption1"/>
        <w:keepNext w:val="true"/>
        <w:jc w:val="center"/>
        <w:rPr/>
      </w:pPr>
      <w:r>
        <w:rPr/>
        <w:drawing>
          <wp:inline distT="0" distB="0" distL="0" distR="0">
            <wp:extent cx="5028565" cy="4116705"/>
            <wp:effectExtent l="0" t="0" r="0" b="0"/>
            <wp:docPr id="4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565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1"/>
        <w:rPr>
          <w:rFonts w:ascii="Arial" w:hAnsi="Arial" w:cs="Arial"/>
          <w:i w:val="false"/>
          <w:i w:val="false"/>
          <w:color w:val="000000" w:themeColor="text1"/>
          <w:sz w:val="16"/>
          <w:szCs w:val="16"/>
        </w:rPr>
      </w:pP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t>Figure S</w:t>
      </w: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fldChar w:fldCharType="begin"/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instrText xml:space="preserve"> SEQ Figure \* ARABIC </w:instrText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fldChar w:fldCharType="separate"/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t>4</w:t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fldChar w:fldCharType="end"/>
      </w: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t xml:space="preserve"> </w:t>
      </w:r>
      <w:r>
        <w:rPr>
          <w:rFonts w:cs="Arial" w:ascii="Arial" w:hAnsi="Arial"/>
          <w:i w:val="false"/>
          <w:color w:val="000000" w:themeColor="text1"/>
          <w:sz w:val="16"/>
          <w:szCs w:val="16"/>
        </w:rPr>
        <w:t>Dataset overview. (a), (b), and (c) Diversity of a set of nano-descriptors obtained from the Elemental descriptor calculator; (e), (f), and (g) Cell Viability (%) variation trend with representative examples of each nano-descriptor.</w:t>
      </w:r>
    </w:p>
    <w:p>
      <w:pPr>
        <w:pStyle w:val="Normal"/>
        <w:keepNext w:val="true"/>
        <w:rPr/>
      </w:pPr>
      <w:r>
        <w:rPr/>
        <w:drawing>
          <wp:inline distT="0" distB="0" distL="0" distR="0">
            <wp:extent cx="5165725" cy="2637790"/>
            <wp:effectExtent l="0" t="0" r="0" b="0"/>
            <wp:docPr id="5" name="Pictur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1"/>
        <w:rPr>
          <w:rFonts w:ascii="Arial" w:hAnsi="Arial" w:cs="Arial"/>
          <w:i w:val="false"/>
          <w:i w:val="false"/>
          <w:color w:val="000000" w:themeColor="text1"/>
          <w:sz w:val="16"/>
          <w:szCs w:val="16"/>
        </w:rPr>
      </w:pP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t>Figure S</w:t>
      </w: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fldChar w:fldCharType="begin"/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instrText xml:space="preserve"> SEQ Figure \* ARABIC </w:instrText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fldChar w:fldCharType="separate"/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t>5</w:t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fldChar w:fldCharType="end"/>
      </w: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t xml:space="preserve"> </w:t>
      </w:r>
      <w:r>
        <w:rPr>
          <w:rFonts w:cs="Arial" w:ascii="Arial" w:hAnsi="Arial"/>
          <w:i w:val="false"/>
          <w:color w:val="000000" w:themeColor="text1"/>
          <w:sz w:val="16"/>
          <w:szCs w:val="16"/>
        </w:rPr>
        <w:t xml:space="preserve">Learning curves for ET nano-QSTR model for training and validation sets according to (a) determination coefficient (R2) and (b) root-mean-square error (RMSE).  </w:t>
      </w:r>
    </w:p>
    <w:p>
      <w:pPr>
        <w:pStyle w:val="Caption1"/>
        <w:spacing w:before="0" w:after="120"/>
        <w:jc w:val="both"/>
        <w:rPr>
          <w:rFonts w:ascii="Arial" w:hAnsi="Arial" w:cs="Arial"/>
          <w:b/>
          <w:i w:val="false"/>
          <w:i w:val="false"/>
          <w:color w:val="000000" w:themeColor="text1"/>
          <w:sz w:val="16"/>
          <w:szCs w:val="16"/>
        </w:rPr>
      </w:pP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t>Table S</w:t>
      </w: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fldChar w:fldCharType="begin"/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instrText xml:space="preserve"> SEQ Table \* ARABIC </w:instrText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fldChar w:fldCharType="separate"/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t>1</w:t>
      </w:r>
      <w:r>
        <w:rPr>
          <w:sz w:val="16"/>
          <w:i w:val="false"/>
          <w:b/>
          <w:szCs w:val="16"/>
          <w:rFonts w:cs="Arial" w:ascii="Arial" w:hAnsi="Arial"/>
          <w:color w:val="000000"/>
        </w:rPr>
        <w:fldChar w:fldCharType="end"/>
      </w:r>
      <w:r>
        <w:rPr>
          <w:rFonts w:cs="Arial" w:ascii="Arial" w:hAnsi="Arial"/>
          <w:b/>
          <w:i w:val="false"/>
          <w:color w:val="000000" w:themeColor="text1"/>
          <w:sz w:val="16"/>
          <w:szCs w:val="16"/>
        </w:rPr>
        <w:t xml:space="preserve"> </w:t>
      </w:r>
      <w:r>
        <w:rPr>
          <w:rFonts w:cs="Arial" w:ascii="Arial" w:hAnsi="Arial"/>
          <w:i w:val="false"/>
          <w:color w:val="000000" w:themeColor="text1"/>
          <w:sz w:val="16"/>
          <w:szCs w:val="16"/>
        </w:rPr>
        <w:t>ET nano-QSTR model performance for training, validation, test, and unseen sets assuming data normalization by ENMs surface area.</w:t>
      </w:r>
    </w:p>
    <w:tbl>
      <w:tblPr>
        <w:tblW w:w="9017" w:type="dxa"/>
        <w:jc w:val="center"/>
        <w:tblInd w:w="0" w:type="dxa"/>
        <w:tblLayout w:type="fixed"/>
        <w:tblCellMar>
          <w:top w:w="72" w:type="dxa"/>
          <w:left w:w="144" w:type="dxa"/>
          <w:bottom w:w="72" w:type="dxa"/>
          <w:right w:w="144" w:type="dxa"/>
        </w:tblCellMar>
        <w:tblLook w:firstRow="1" w:noVBand="1" w:lastRow="0" w:firstColumn="0" w:lastColumn="0" w:noHBand="0" w:val="0420"/>
      </w:tblPr>
      <w:tblGrid>
        <w:gridCol w:w="907"/>
        <w:gridCol w:w="1209"/>
        <w:gridCol w:w="817"/>
        <w:gridCol w:w="835"/>
        <w:gridCol w:w="1020"/>
        <w:gridCol w:w="826"/>
        <w:gridCol w:w="827"/>
        <w:gridCol w:w="932"/>
        <w:gridCol w:w="822"/>
        <w:gridCol w:w="821"/>
      </w:tblGrid>
      <w:tr>
        <w:trPr>
          <w:trHeight w:val="168" w:hRule="atLeast"/>
        </w:trPr>
        <w:tc>
          <w:tcPr>
            <w:tcW w:w="907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b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lang w:val="en-US" w:eastAsia="zh-CN"/>
              </w:rPr>
              <w:t>Model</w:t>
            </w:r>
          </w:p>
        </w:tc>
        <w:tc>
          <w:tcPr>
            <w:tcW w:w="1209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b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lang w:val="en-US" w:eastAsia="zh-CN"/>
              </w:rPr>
              <w:t>Subset</w:t>
            </w:r>
          </w:p>
        </w:tc>
        <w:tc>
          <w:tcPr>
            <w:tcW w:w="817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b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lang w:val="en-US" w:eastAsia="zh-CN"/>
              </w:rPr>
              <w:t>R</w:t>
            </w: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vertAlign w:val="superscript"/>
                <w:lang w:val="en-US" w:eastAsia="zh-CN"/>
              </w:rPr>
              <w:t>2</w:t>
            </w:r>
          </w:p>
        </w:tc>
        <w:tc>
          <w:tcPr>
            <w:tcW w:w="835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b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lang w:val="en-US" w:eastAsia="zh-CN"/>
              </w:rPr>
              <w:t>R</w:t>
            </w: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vertAlign w:val="superscript"/>
                <w:lang w:val="en-US" w:eastAsia="zh-CN"/>
              </w:rPr>
              <w:t>2</w:t>
            </w: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vertAlign w:val="subscript"/>
                <w:lang w:val="en-US" w:eastAsia="zh-CN"/>
              </w:rPr>
              <w:t>ext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b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lang w:val="en-US" w:eastAsia="zh-CN"/>
              </w:rPr>
              <w:t>Q</w:t>
            </w: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vertAlign w:val="superscript"/>
                <w:lang w:val="en-US" w:eastAsia="zh-CN"/>
              </w:rPr>
              <w:t>2</w:t>
            </w: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vertAlign w:val="subscript"/>
                <w:lang w:val="en-US" w:eastAsia="zh-CN"/>
              </w:rPr>
              <w:t>LOO</w:t>
            </w:r>
          </w:p>
        </w:tc>
        <w:tc>
          <w:tcPr>
            <w:tcW w:w="826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b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lang w:val="en-US" w:eastAsia="zh-CN"/>
              </w:rPr>
              <w:t>Q</w:t>
            </w: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vertAlign w:val="superscript"/>
                <w:lang w:val="en-US" w:eastAsia="zh-CN"/>
              </w:rPr>
              <w:t>2</w:t>
            </w: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vertAlign w:val="subscript"/>
                <w:lang w:val="en-US" w:eastAsia="zh-CN"/>
              </w:rPr>
              <w:t>F1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b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lang w:val="en-US" w:eastAsia="zh-CN"/>
              </w:rPr>
              <w:t>Q</w:t>
            </w: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vertAlign w:val="superscript"/>
                <w:lang w:val="en-US" w:eastAsia="zh-CN"/>
              </w:rPr>
              <w:t>2</w:t>
            </w: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vertAlign w:val="subscript"/>
                <w:lang w:val="en-US" w:eastAsia="zh-CN"/>
              </w:rPr>
              <w:t>F2</w:t>
            </w:r>
          </w:p>
        </w:tc>
        <w:tc>
          <w:tcPr>
            <w:tcW w:w="932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b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lang w:val="en-US" w:eastAsia="zh-CN"/>
              </w:rPr>
              <w:t>RMSE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b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lang w:val="en-US" w:eastAsia="zh-CN"/>
              </w:rPr>
              <w:t>MAE</w:t>
            </w:r>
          </w:p>
        </w:tc>
        <w:tc>
          <w:tcPr>
            <w:tcW w:w="821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b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b/>
                <w:kern w:val="2"/>
                <w:sz w:val="16"/>
                <w:szCs w:val="16"/>
                <w:lang w:val="en-US" w:eastAsia="zh-CN"/>
              </w:rPr>
              <w:t>CCC</w:t>
            </w:r>
          </w:p>
        </w:tc>
      </w:tr>
      <w:tr>
        <w:trPr>
          <w:trHeight w:val="27" w:hRule="atLeast"/>
        </w:trPr>
        <w:tc>
          <w:tcPr>
            <w:tcW w:w="907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ET</w:t>
            </w:r>
          </w:p>
        </w:tc>
        <w:tc>
          <w:tcPr>
            <w:tcW w:w="1209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Training</w:t>
            </w:r>
          </w:p>
        </w:tc>
        <w:tc>
          <w:tcPr>
            <w:tcW w:w="817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0.957</w:t>
            </w:r>
          </w:p>
        </w:tc>
        <w:tc>
          <w:tcPr>
            <w:tcW w:w="835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826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932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5.869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3.200</w:t>
            </w:r>
          </w:p>
        </w:tc>
        <w:tc>
          <w:tcPr>
            <w:tcW w:w="821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0.977</w:t>
            </w:r>
          </w:p>
        </w:tc>
      </w:tr>
      <w:tr>
        <w:trPr>
          <w:trHeight w:val="29" w:hRule="atLeast"/>
        </w:trPr>
        <w:tc>
          <w:tcPr>
            <w:tcW w:w="907" w:type="dxa"/>
            <w:vMerge w:val="continue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</w:r>
          </w:p>
        </w:tc>
        <w:tc>
          <w:tcPr>
            <w:tcW w:w="1209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Validation</w:t>
            </w:r>
          </w:p>
        </w:tc>
        <w:tc>
          <w:tcPr>
            <w:tcW w:w="817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0.725</w:t>
            </w:r>
          </w:p>
        </w:tc>
        <w:tc>
          <w:tcPr>
            <w:tcW w:w="835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0.726</w:t>
            </w:r>
          </w:p>
        </w:tc>
        <w:tc>
          <w:tcPr>
            <w:tcW w:w="826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932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14.329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8.361</w:t>
            </w:r>
          </w:p>
        </w:tc>
        <w:tc>
          <w:tcPr>
            <w:tcW w:w="821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0.844</w:t>
            </w:r>
          </w:p>
        </w:tc>
      </w:tr>
      <w:tr>
        <w:trPr>
          <w:trHeight w:val="32" w:hRule="atLeast"/>
        </w:trPr>
        <w:tc>
          <w:tcPr>
            <w:tcW w:w="907" w:type="dxa"/>
            <w:vMerge w:val="continue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</w:r>
          </w:p>
        </w:tc>
        <w:tc>
          <w:tcPr>
            <w:tcW w:w="1209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Test</w:t>
            </w:r>
          </w:p>
        </w:tc>
        <w:tc>
          <w:tcPr>
            <w:tcW w:w="817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835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0.761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826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0.760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0.760</w:t>
            </w:r>
          </w:p>
        </w:tc>
        <w:tc>
          <w:tcPr>
            <w:tcW w:w="932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13.391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7.331</w:t>
            </w:r>
          </w:p>
        </w:tc>
        <w:tc>
          <w:tcPr>
            <w:tcW w:w="821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0.869</w:t>
            </w:r>
          </w:p>
        </w:tc>
      </w:tr>
      <w:tr>
        <w:trPr>
          <w:trHeight w:val="32" w:hRule="atLeast"/>
        </w:trPr>
        <w:tc>
          <w:tcPr>
            <w:tcW w:w="907" w:type="dxa"/>
            <w:vMerge w:val="continue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</w:r>
          </w:p>
        </w:tc>
        <w:tc>
          <w:tcPr>
            <w:tcW w:w="1209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Unseen</w:t>
            </w:r>
          </w:p>
        </w:tc>
        <w:tc>
          <w:tcPr>
            <w:tcW w:w="817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835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0.917</w:t>
            </w:r>
          </w:p>
        </w:tc>
        <w:tc>
          <w:tcPr>
            <w:tcW w:w="1020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-</w:t>
            </w:r>
          </w:p>
        </w:tc>
        <w:tc>
          <w:tcPr>
            <w:tcW w:w="826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0.921</w:t>
            </w:r>
          </w:p>
        </w:tc>
        <w:tc>
          <w:tcPr>
            <w:tcW w:w="827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0.918</w:t>
            </w:r>
          </w:p>
        </w:tc>
        <w:tc>
          <w:tcPr>
            <w:tcW w:w="932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4.625</w:t>
            </w:r>
          </w:p>
        </w:tc>
        <w:tc>
          <w:tcPr>
            <w:tcW w:w="822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3.316</w:t>
            </w:r>
          </w:p>
        </w:tc>
        <w:tc>
          <w:tcPr>
            <w:tcW w:w="821" w:type="dxa"/>
            <w:tcBorders>
              <w:top w:val="single" w:sz="8" w:space="0" w:color="000000"/>
              <w:bottom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48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0.957</w:t>
            </w:r>
          </w:p>
        </w:tc>
      </w:tr>
      <w:tr>
        <w:trPr>
          <w:trHeight w:val="814" w:hRule="atLeast"/>
        </w:trPr>
        <w:tc>
          <w:tcPr>
            <w:tcW w:w="9016" w:type="dxa"/>
            <w:gridSpan w:val="10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Arial" w:hAnsi="Arial" w:eastAsia="SimSun" w:cs="Arial"/>
                <w:kern w:val="2"/>
                <w:sz w:val="16"/>
                <w:szCs w:val="16"/>
                <w:lang w:val="en-US" w:eastAsia="zh-CN"/>
              </w:rPr>
            </w:pP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ET: extra-trees regressor; R</w:t>
            </w:r>
            <w:r>
              <w:rPr>
                <w:rFonts w:eastAsia="SimSun" w:cs="Arial" w:ascii="Arial" w:hAnsi="Arial"/>
                <w:kern w:val="2"/>
                <w:sz w:val="16"/>
                <w:szCs w:val="16"/>
                <w:vertAlign w:val="superscript"/>
                <w:lang w:val="en-US" w:eastAsia="zh-CN"/>
              </w:rPr>
              <w:t>2</w:t>
            </w: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: determination coefficient (R</w:t>
            </w:r>
            <w:r>
              <w:rPr>
                <w:rFonts w:eastAsia="SimSun" w:cs="Arial" w:ascii="Arial" w:hAnsi="Arial"/>
                <w:kern w:val="2"/>
                <w:sz w:val="16"/>
                <w:szCs w:val="16"/>
                <w:vertAlign w:val="superscript"/>
                <w:lang w:val="en-US" w:eastAsia="zh-CN"/>
              </w:rPr>
              <w:t>2</w:t>
            </w:r>
            <w:r>
              <w:rPr>
                <w:rFonts w:eastAsia="SimSun" w:cs="Arial" w:ascii="Arial" w:hAnsi="Arial"/>
                <w:kern w:val="2"/>
                <w:sz w:val="16"/>
                <w:szCs w:val="16"/>
                <w:vertAlign w:val="subscript"/>
                <w:lang w:val="en-US" w:eastAsia="zh-CN"/>
              </w:rPr>
              <w:t>ext</w:t>
            </w: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 xml:space="preserve"> for external validation); Q: determination coefficient based-metrics (Q</w:t>
            </w:r>
            <w:r>
              <w:rPr>
                <w:rFonts w:eastAsia="SimSun" w:cs="Arial" w:ascii="Arial" w:hAnsi="Arial"/>
                <w:kern w:val="2"/>
                <w:sz w:val="16"/>
                <w:szCs w:val="16"/>
                <w:vertAlign w:val="superscript"/>
                <w:lang w:val="en-US" w:eastAsia="zh-CN"/>
              </w:rPr>
              <w:t>2</w:t>
            </w:r>
            <w:r>
              <w:rPr>
                <w:rFonts w:eastAsia="SimSun" w:cs="Arial" w:ascii="Arial" w:hAnsi="Arial"/>
                <w:kern w:val="2"/>
                <w:sz w:val="16"/>
                <w:szCs w:val="16"/>
                <w:vertAlign w:val="subscript"/>
                <w:lang w:val="en-US" w:eastAsia="zh-CN"/>
              </w:rPr>
              <w:t>LOO</w:t>
            </w: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 xml:space="preserve"> for internal validation; Q</w:t>
            </w:r>
            <w:r>
              <w:rPr>
                <w:rFonts w:eastAsia="SimSun" w:cs="Arial" w:ascii="Arial" w:hAnsi="Arial"/>
                <w:kern w:val="2"/>
                <w:sz w:val="16"/>
                <w:szCs w:val="16"/>
                <w:vertAlign w:val="superscript"/>
                <w:lang w:val="en-US" w:eastAsia="zh-CN"/>
              </w:rPr>
              <w:t>2</w:t>
            </w:r>
            <w:r>
              <w:rPr>
                <w:rFonts w:eastAsia="SimSun" w:cs="Arial" w:ascii="Arial" w:hAnsi="Arial"/>
                <w:kern w:val="2"/>
                <w:sz w:val="16"/>
                <w:szCs w:val="16"/>
                <w:vertAlign w:val="subscript"/>
                <w:lang w:val="en-US" w:eastAsia="zh-CN"/>
              </w:rPr>
              <w:t>F1</w:t>
            </w: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 xml:space="preserve"> and Q</w:t>
            </w:r>
            <w:r>
              <w:rPr>
                <w:rFonts w:eastAsia="SimSun" w:cs="Arial" w:ascii="Arial" w:hAnsi="Arial"/>
                <w:kern w:val="2"/>
                <w:sz w:val="16"/>
                <w:szCs w:val="16"/>
                <w:vertAlign w:val="superscript"/>
                <w:lang w:val="en-US" w:eastAsia="zh-CN"/>
              </w:rPr>
              <w:t>2</w:t>
            </w:r>
            <w:r>
              <w:rPr>
                <w:rFonts w:eastAsia="SimSun" w:cs="Arial" w:ascii="Arial" w:hAnsi="Arial"/>
                <w:kern w:val="2"/>
                <w:sz w:val="16"/>
                <w:szCs w:val="16"/>
                <w:vertAlign w:val="subscript"/>
                <w:lang w:val="en-US" w:eastAsia="zh-CN"/>
              </w:rPr>
              <w:t>F2</w:t>
            </w:r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eastAsia="SimSun" w:cs="Arial" w:ascii="Arial" w:hAnsi="Arial"/>
                <w:kern w:val="2"/>
                <w:sz w:val="16"/>
                <w:szCs w:val="16"/>
                <w:lang w:val="en-US" w:eastAsia="zh-CN"/>
              </w:rPr>
              <w:t>for external validation); RMSE: root-mean-square error; MAE: mean absolute error; CCC: coefficient of concordance.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7"/>
      <w:type w:val="nextPage"/>
      <w:pgSz w:w="11906" w:h="16838"/>
      <w:pgMar w:left="1701" w:right="1701" w:gutter="0" w:header="708" w:top="1417" w:footer="0" w:bottom="1417"/>
      <w:lnNumType w:countBy="1" w:restart="continuous" w:distance="28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7093025"/>
    </w:sdtPr>
    <w:sdtContent>
      <w:p>
        <w:pPr>
          <w:pStyle w:val="Header"/>
          <w:jc w:val="right"/>
          <w:rPr>
            <w:rFonts w:ascii="Arial" w:hAnsi="Arial" w:cs="Arial"/>
            <w:sz w:val="16"/>
            <w:szCs w:val="16"/>
          </w:rPr>
        </w:pPr>
        <w:r>
          <w:rPr>
            <w:rFonts w:cs="Arial" w:ascii="Arial" w:hAnsi="Arial"/>
            <w:sz w:val="16"/>
            <w:szCs w:val="16"/>
          </w:rPr>
          <w:t xml:space="preserve">Page 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begin"/>
        </w:r>
        <w:r>
          <w:rPr>
            <w:sz w:val="16"/>
            <w:b/>
            <w:szCs w:val="16"/>
            <w:bCs/>
            <w:rFonts w:cs="Arial" w:ascii="Arial" w:hAnsi="Arial"/>
          </w:rPr>
          <w:instrText xml:space="preserve"> PAGE </w:instrText>
        </w:r>
        <w:r>
          <w:rPr>
            <w:sz w:val="16"/>
            <w:b/>
            <w:szCs w:val="16"/>
            <w:bCs/>
            <w:rFonts w:cs="Arial" w:ascii="Arial" w:hAnsi="Arial"/>
          </w:rPr>
          <w:fldChar w:fldCharType="separate"/>
        </w:r>
        <w:r>
          <w:rPr>
            <w:sz w:val="16"/>
            <w:b/>
            <w:szCs w:val="16"/>
            <w:bCs/>
            <w:rFonts w:cs="Arial" w:ascii="Arial" w:hAnsi="Arial"/>
          </w:rPr>
          <w:t>3</w:t>
        </w:r>
        <w:r>
          <w:rPr>
            <w:sz w:val="16"/>
            <w:b/>
            <w:szCs w:val="16"/>
            <w:bCs/>
            <w:rFonts w:cs="Arial" w:ascii="Arial" w:hAnsi="Arial"/>
          </w:rPr>
          <w:fldChar w:fldCharType="end"/>
        </w:r>
        <w:r>
          <w:rPr>
            <w:rFonts w:cs="Arial" w:ascii="Arial" w:hAnsi="Arial"/>
            <w:sz w:val="16"/>
            <w:szCs w:val="16"/>
          </w:rPr>
          <w:t xml:space="preserve"> of 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begin"/>
        </w:r>
        <w:r>
          <w:rPr>
            <w:sz w:val="16"/>
            <w:b/>
            <w:szCs w:val="16"/>
            <w:bCs/>
            <w:rFonts w:cs="Arial" w:ascii="Arial" w:hAnsi="Arial"/>
          </w:rPr>
          <w:instrText xml:space="preserve"> NUMPAGES </w:instrText>
        </w:r>
        <w:r>
          <w:rPr>
            <w:sz w:val="16"/>
            <w:b/>
            <w:szCs w:val="16"/>
            <w:bCs/>
            <w:rFonts w:cs="Arial" w:ascii="Arial" w:hAnsi="Arial"/>
          </w:rPr>
          <w:fldChar w:fldCharType="separate"/>
        </w:r>
        <w:r>
          <w:rPr>
            <w:sz w:val="16"/>
            <w:b/>
            <w:szCs w:val="16"/>
            <w:bCs/>
            <w:rFonts w:cs="Arial" w:ascii="Arial" w:hAnsi="Arial"/>
          </w:rPr>
          <w:t>3</w:t>
        </w:r>
        <w:r>
          <w:rPr>
            <w:sz w:val="16"/>
            <w:b/>
            <w:szCs w:val="16"/>
            <w:bCs/>
            <w:rFonts w:cs="Arial" w:ascii="Arial" w:hAnsi="Arial"/>
          </w:rPr>
          <w:fldChar w:fldCharType="end"/>
        </w:r>
      </w:p>
    </w:sdtContent>
  </w:sdt>
  <w:p>
    <w:pPr>
      <w:pStyle w:val="Header"/>
      <w:rPr/>
    </w:pPr>
    <w:r>
      <w:rPr/>
    </w:r>
  </w:p>
  <w:p>
    <w:pPr>
      <w:pStyle w:val="Normal"/>
      <w:widowControl/>
      <w:bidi w:val="0"/>
      <w:spacing w:lineRule="auto" w:line="259" w:before="0" w:after="16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70e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enumber">
    <w:name w:val="line number"/>
    <w:basedOn w:val="DefaultParagraphFont"/>
    <w:uiPriority w:val="99"/>
    <w:semiHidden/>
    <w:unhideWhenUsed/>
    <w:qFormat/>
    <w:rsid w:val="00c62360"/>
    <w:rPr/>
  </w:style>
  <w:style w:type="character" w:styleId="HeaderChar" w:customStyle="1">
    <w:name w:val="Header Char"/>
    <w:basedOn w:val="DefaultParagraphFont"/>
    <w:link w:val="Header"/>
    <w:uiPriority w:val="99"/>
    <w:qFormat/>
    <w:rsid w:val="00ca70e5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ca70e5"/>
    <w:rPr/>
  </w:style>
  <w:style w:type="character" w:styleId="LineNumbering">
    <w:name w:val="Line Number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ca70e5"/>
    <w:pPr>
      <w:suppressLineNumbers/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ca70e5"/>
    <w:pPr>
      <w:suppressLineNumbers/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aption1">
    <w:name w:val="caption"/>
    <w:basedOn w:val="Normal"/>
    <w:next w:val="Normal"/>
    <w:unhideWhenUsed/>
    <w:qFormat/>
    <w:rsid w:val="00682a7d"/>
    <w:pPr>
      <w:spacing w:lineRule="auto" w:line="240" w:before="0" w:after="200"/>
    </w:pPr>
    <w:rPr>
      <w:i/>
      <w:iCs/>
      <w:color w:val="44546A" w:themeColor="text2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Application>LibreOffice/7.5.0.3$Windows_X86_64 LibreOffice_project/c21113d003cd3efa8c53188764377a8272d9d6de</Application>
  <AppVersion>15.0000</AppVersion>
  <Pages>2</Pages>
  <Words>273</Words>
  <Characters>1653</Characters>
  <CharactersWithSpaces>1866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2023-01-30T08:39:00Z</dcterms:created>
  <dc:creator>João Meneses</dc:creator>
  <dc:description/>
  <dc:language>en-IN</dc:language>
  <cp:lastModifiedBy>João Meneses</cp:lastModifiedBy>
  <dcterms:modified xsi:type="dcterms:W3CDTF">2023-04-13T10:06:00Z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