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64C5C" w:rsidRPr="00C246A1" w:rsidRDefault="00841A68" w:rsidP="00C246A1">
      <w:pPr>
        <w:spacing w:line="360" w:lineRule="auto"/>
        <w:rPr>
          <w:rFonts w:ascii="Calibri" w:hAnsi="Calibri" w:cs="Calibri"/>
          <w:b/>
          <w:szCs w:val="21"/>
        </w:rPr>
      </w:pPr>
      <w:r>
        <w:rPr>
          <w:rFonts w:ascii="Calibri" w:hAnsi="Calibri" w:cs="Calibri" w:hint="eastAsia"/>
          <w:b/>
          <w:szCs w:val="21"/>
        </w:rPr>
        <w:t>Supplemental</w:t>
      </w:r>
      <w:r>
        <w:rPr>
          <w:rFonts w:ascii="Calibri" w:hAnsi="Calibri" w:cs="Calibri"/>
          <w:b/>
          <w:szCs w:val="21"/>
        </w:rPr>
        <w:t xml:space="preserve"> </w:t>
      </w:r>
      <w:r w:rsidR="00B46B5B" w:rsidRPr="00C246A1">
        <w:rPr>
          <w:rFonts w:ascii="Calibri" w:hAnsi="Calibri" w:cs="Calibri" w:hint="eastAsia"/>
          <w:b/>
          <w:szCs w:val="21"/>
        </w:rPr>
        <w:t>F</w:t>
      </w:r>
      <w:r w:rsidR="00B46B5B" w:rsidRPr="00C246A1">
        <w:rPr>
          <w:rFonts w:ascii="Calibri" w:hAnsi="Calibri" w:cs="Calibri"/>
          <w:b/>
          <w:szCs w:val="21"/>
        </w:rPr>
        <w:t>igure Illustrations</w:t>
      </w:r>
    </w:p>
    <w:p w:rsidR="0093767C" w:rsidRPr="00C246A1" w:rsidRDefault="0093767C" w:rsidP="00C246A1">
      <w:pPr>
        <w:spacing w:line="360" w:lineRule="auto"/>
        <w:rPr>
          <w:rFonts w:ascii="Calibri" w:hAnsi="Calibri" w:cs="Calibri"/>
          <w:szCs w:val="21"/>
        </w:rPr>
      </w:pPr>
    </w:p>
    <w:p w:rsidR="00B46B5B" w:rsidRPr="00C246A1" w:rsidRDefault="00B46B5B" w:rsidP="00C246A1">
      <w:pPr>
        <w:spacing w:line="360" w:lineRule="auto"/>
        <w:rPr>
          <w:rFonts w:ascii="Calibri" w:hAnsi="Calibri" w:cs="Calibri"/>
          <w:szCs w:val="21"/>
        </w:rPr>
      </w:pPr>
      <w:r w:rsidRPr="00C246A1">
        <w:rPr>
          <w:rFonts w:ascii="Calibri" w:hAnsi="Calibri" w:cs="Calibri"/>
          <w:szCs w:val="21"/>
        </w:rPr>
        <w:t>Fig</w:t>
      </w:r>
      <w:r w:rsidRPr="00C246A1">
        <w:rPr>
          <w:rFonts w:ascii="Calibri" w:hAnsi="Calibri" w:cs="Calibri" w:hint="eastAsia"/>
          <w:szCs w:val="21"/>
        </w:rPr>
        <w:t>.S</w:t>
      </w:r>
      <w:r w:rsidRPr="00C246A1">
        <w:rPr>
          <w:rFonts w:ascii="Calibri" w:hAnsi="Calibri" w:cs="Calibri"/>
          <w:szCs w:val="21"/>
        </w:rPr>
        <w:t>1. The effects of PS-NPs on water intake, food intake, body weight, and testicular coefficient of rat. (A) Water consumption was monitored weekly. (B) Food intake was measured once a week. (C) Rats were weighed once a week during the exposure period. (D) After euthanasia, the rat testes were weighed and normalized to body weight. Error bars represent mean±</w:t>
      </w:r>
      <w:r w:rsidR="00534065" w:rsidRPr="00C246A1">
        <w:rPr>
          <w:rFonts w:ascii="Calibri" w:hAnsi="Calibri" w:cs="Calibri"/>
          <w:szCs w:val="21"/>
        </w:rPr>
        <w:t>SD</w:t>
      </w:r>
      <w:r w:rsidRPr="00C246A1">
        <w:rPr>
          <w:rFonts w:ascii="Calibri" w:hAnsi="Calibri" w:cs="Calibri"/>
          <w:szCs w:val="21"/>
        </w:rPr>
        <w:t>, n=6, *</w:t>
      </w:r>
      <w:r w:rsidRPr="00C246A1">
        <w:rPr>
          <w:rFonts w:ascii="Calibri" w:hAnsi="Calibri" w:cs="Calibri"/>
          <w:i/>
          <w:szCs w:val="21"/>
        </w:rPr>
        <w:t>P</w:t>
      </w:r>
      <w:r w:rsidRPr="00C246A1">
        <w:rPr>
          <w:rFonts w:ascii="Calibri" w:hAnsi="Calibri" w:cs="Calibri"/>
          <w:szCs w:val="21"/>
        </w:rPr>
        <w:t xml:space="preserve"> &lt;0.05, **</w:t>
      </w:r>
      <w:r w:rsidRPr="00C246A1">
        <w:rPr>
          <w:rFonts w:ascii="Calibri" w:hAnsi="Calibri" w:cs="Calibri"/>
          <w:i/>
          <w:szCs w:val="21"/>
        </w:rPr>
        <w:t>P</w:t>
      </w:r>
      <w:r w:rsidRPr="00C246A1">
        <w:rPr>
          <w:rFonts w:ascii="Calibri" w:hAnsi="Calibri" w:cs="Calibri"/>
          <w:szCs w:val="21"/>
        </w:rPr>
        <w:t xml:space="preserve"> &lt;0.01, compared with the control group.</w:t>
      </w:r>
    </w:p>
    <w:p w:rsidR="00B46B5B" w:rsidRPr="00C246A1" w:rsidRDefault="00B46B5B" w:rsidP="00C246A1">
      <w:pPr>
        <w:spacing w:line="360" w:lineRule="auto"/>
        <w:rPr>
          <w:szCs w:val="21"/>
        </w:rPr>
      </w:pPr>
    </w:p>
    <w:p w:rsidR="00B46B5B" w:rsidRPr="00C246A1" w:rsidRDefault="00B46B5B" w:rsidP="00C246A1">
      <w:pPr>
        <w:spacing w:line="360" w:lineRule="auto"/>
        <w:rPr>
          <w:rFonts w:ascii="Calibri" w:eastAsia="宋体" w:hAnsi="Calibri" w:cs="Calibri"/>
          <w:szCs w:val="21"/>
        </w:rPr>
      </w:pPr>
      <w:r w:rsidRPr="00C246A1">
        <w:rPr>
          <w:rFonts w:ascii="Calibri" w:eastAsia="宋体" w:hAnsi="Calibri" w:cs="Calibri"/>
          <w:szCs w:val="21"/>
        </w:rPr>
        <w:t xml:space="preserve">Fig.S2. </w:t>
      </w:r>
      <w:r w:rsidR="00AF3376" w:rsidRPr="00A546B6">
        <w:rPr>
          <w:rFonts w:ascii="Calibri" w:eastAsia="宋体" w:hAnsi="Calibri" w:cs="Calibri"/>
          <w:szCs w:val="21"/>
          <w:highlight w:val="green"/>
        </w:rPr>
        <w:t>D</w:t>
      </w:r>
      <w:r w:rsidRPr="00A546B6">
        <w:rPr>
          <w:rFonts w:ascii="Calibri" w:eastAsia="宋体" w:hAnsi="Calibri" w:cs="Calibri"/>
          <w:szCs w:val="21"/>
          <w:highlight w:val="green"/>
        </w:rPr>
        <w:t>etection of</w:t>
      </w:r>
      <w:r w:rsidR="00AF3376" w:rsidRPr="00A546B6">
        <w:rPr>
          <w:rFonts w:ascii="Calibri" w:eastAsia="宋体" w:hAnsi="Calibri" w:cs="Calibri"/>
          <w:szCs w:val="21"/>
          <w:highlight w:val="green"/>
        </w:rPr>
        <w:t xml:space="preserve"> damaged seminiferous tubules and</w:t>
      </w:r>
      <w:r w:rsidRPr="00C246A1">
        <w:rPr>
          <w:rFonts w:ascii="Calibri" w:eastAsia="宋体" w:hAnsi="Calibri" w:cs="Calibri"/>
          <w:szCs w:val="21"/>
        </w:rPr>
        <w:t xml:space="preserve"> serum reproductive hormones after continuous PS-NPs gavage in rats from pre-puberty.</w:t>
      </w:r>
      <w:r w:rsidR="00AF3376" w:rsidRPr="00097AA8">
        <w:rPr>
          <w:rFonts w:ascii="Calibri" w:eastAsia="宋体" w:hAnsi="Calibri" w:cs="Calibri"/>
          <w:szCs w:val="21"/>
        </w:rPr>
        <w:t xml:space="preserve"> </w:t>
      </w:r>
      <w:r w:rsidR="00AF3376" w:rsidRPr="00A546B6">
        <w:rPr>
          <w:rFonts w:ascii="Calibri" w:eastAsia="宋体" w:hAnsi="Calibri" w:cs="Calibri"/>
          <w:szCs w:val="21"/>
          <w:highlight w:val="green"/>
        </w:rPr>
        <w:t>(A) The statistical analysis of the ratio of damaged tubules on PND95. 100 seminiferous tubules were randomly selected from sections of each animal. A tubule with one of the following characteristics</w:t>
      </w:r>
      <w:r w:rsidR="00097AA8" w:rsidRPr="00A546B6">
        <w:rPr>
          <w:rFonts w:ascii="Calibri" w:eastAsia="宋体" w:hAnsi="Calibri" w:cs="Calibri"/>
          <w:szCs w:val="21"/>
          <w:highlight w:val="green"/>
        </w:rPr>
        <w:t xml:space="preserve">: </w:t>
      </w:r>
      <w:r w:rsidR="00AF3376" w:rsidRPr="00A546B6">
        <w:rPr>
          <w:rFonts w:ascii="Calibri" w:eastAsia="宋体" w:hAnsi="Calibri" w:cs="Calibri"/>
          <w:szCs w:val="21"/>
          <w:highlight w:val="green"/>
        </w:rPr>
        <w:t xml:space="preserve">contraction, </w:t>
      </w:r>
      <w:r w:rsidR="00AF3376" w:rsidRPr="00A546B6">
        <w:rPr>
          <w:rFonts w:ascii="Calibri" w:eastAsia="宋体" w:hAnsi="Calibri" w:cs="Calibri"/>
          <w:szCs w:val="21"/>
          <w:highlight w:val="green"/>
        </w:rPr>
        <w:t>irregular basement membrane</w:t>
      </w:r>
      <w:r w:rsidR="00AF3376" w:rsidRPr="00A546B6">
        <w:rPr>
          <w:rFonts w:ascii="Calibri" w:eastAsia="宋体" w:hAnsi="Calibri" w:cs="Calibri"/>
          <w:szCs w:val="21"/>
          <w:highlight w:val="green"/>
        </w:rPr>
        <w:t xml:space="preserve">, peeling of spermatogenic cells, or </w:t>
      </w:r>
      <w:r w:rsidR="00AF3376" w:rsidRPr="00A546B6">
        <w:rPr>
          <w:rFonts w:ascii="Calibri" w:eastAsia="宋体" w:hAnsi="Calibri" w:cs="Calibri"/>
          <w:szCs w:val="21"/>
          <w:highlight w:val="green"/>
        </w:rPr>
        <w:t>inflammatory cell infiltration</w:t>
      </w:r>
      <w:r w:rsidR="00097AA8" w:rsidRPr="00A546B6">
        <w:rPr>
          <w:rFonts w:ascii="Calibri" w:eastAsia="宋体" w:hAnsi="Calibri" w:cs="Calibri"/>
          <w:szCs w:val="21"/>
          <w:highlight w:val="green"/>
        </w:rPr>
        <w:t>,</w:t>
      </w:r>
      <w:r w:rsidR="00AF3376" w:rsidRPr="00A546B6">
        <w:rPr>
          <w:rFonts w:ascii="Calibri" w:eastAsia="宋体" w:hAnsi="Calibri" w:cs="Calibri"/>
          <w:szCs w:val="21"/>
          <w:highlight w:val="green"/>
        </w:rPr>
        <w:t xml:space="preserve"> is considered as a damaged tubule.</w:t>
      </w:r>
      <w:r w:rsidR="00AF3376">
        <w:rPr>
          <w:rFonts w:ascii="Calibri" w:eastAsia="宋体" w:hAnsi="Calibri" w:cs="Calibri"/>
          <w:szCs w:val="21"/>
        </w:rPr>
        <w:t xml:space="preserve"> </w:t>
      </w:r>
      <w:r w:rsidRPr="00A546B6">
        <w:rPr>
          <w:rFonts w:ascii="Calibri" w:eastAsia="宋体" w:hAnsi="Calibri" w:cs="Calibri"/>
          <w:szCs w:val="21"/>
          <w:highlight w:val="green"/>
        </w:rPr>
        <w:t>(</w:t>
      </w:r>
      <w:r w:rsidR="00AF3376" w:rsidRPr="00A546B6">
        <w:rPr>
          <w:rFonts w:ascii="Calibri" w:eastAsia="宋体" w:hAnsi="Calibri" w:cs="Calibri"/>
          <w:szCs w:val="21"/>
          <w:highlight w:val="green"/>
        </w:rPr>
        <w:t>B-D</w:t>
      </w:r>
      <w:r w:rsidRPr="00A546B6">
        <w:rPr>
          <w:rFonts w:ascii="Calibri" w:eastAsia="宋体" w:hAnsi="Calibri" w:cs="Calibri"/>
          <w:szCs w:val="21"/>
          <w:highlight w:val="green"/>
        </w:rPr>
        <w:t>)</w:t>
      </w:r>
      <w:r w:rsidRPr="00C246A1">
        <w:rPr>
          <w:rFonts w:ascii="Calibri" w:eastAsia="宋体" w:hAnsi="Calibri" w:cs="Calibri"/>
          <w:szCs w:val="21"/>
        </w:rPr>
        <w:t xml:space="preserve"> Serum concentration of FSH </w:t>
      </w:r>
      <w:r w:rsidRPr="00A546B6">
        <w:rPr>
          <w:rFonts w:ascii="Calibri" w:eastAsia="宋体" w:hAnsi="Calibri" w:cs="Calibri"/>
          <w:szCs w:val="21"/>
          <w:highlight w:val="green"/>
        </w:rPr>
        <w:t>(</w:t>
      </w:r>
      <w:r w:rsidR="00AF3376" w:rsidRPr="00A546B6">
        <w:rPr>
          <w:rFonts w:ascii="Calibri" w:eastAsia="宋体" w:hAnsi="Calibri" w:cs="Calibri"/>
          <w:szCs w:val="21"/>
          <w:highlight w:val="green"/>
        </w:rPr>
        <w:t>B</w:t>
      </w:r>
      <w:r w:rsidRPr="00A546B6">
        <w:rPr>
          <w:rFonts w:ascii="Calibri" w:eastAsia="宋体" w:hAnsi="Calibri" w:cs="Calibri"/>
          <w:szCs w:val="21"/>
          <w:highlight w:val="green"/>
        </w:rPr>
        <w:t>)</w:t>
      </w:r>
      <w:r w:rsidRPr="00C246A1">
        <w:rPr>
          <w:rFonts w:ascii="Calibri" w:eastAsia="宋体" w:hAnsi="Calibri" w:cs="Calibri"/>
          <w:szCs w:val="21"/>
        </w:rPr>
        <w:t xml:space="preserve">, LH </w:t>
      </w:r>
      <w:r w:rsidRPr="00A546B6">
        <w:rPr>
          <w:rFonts w:ascii="Calibri" w:eastAsia="宋体" w:hAnsi="Calibri" w:cs="Calibri"/>
          <w:szCs w:val="21"/>
          <w:highlight w:val="green"/>
        </w:rPr>
        <w:t>(</w:t>
      </w:r>
      <w:r w:rsidR="00AF3376" w:rsidRPr="00A546B6">
        <w:rPr>
          <w:rFonts w:ascii="Calibri" w:eastAsia="宋体" w:hAnsi="Calibri" w:cs="Calibri"/>
          <w:szCs w:val="21"/>
          <w:highlight w:val="green"/>
        </w:rPr>
        <w:t>C</w:t>
      </w:r>
      <w:r w:rsidRPr="00A546B6">
        <w:rPr>
          <w:rFonts w:ascii="Calibri" w:eastAsia="宋体" w:hAnsi="Calibri" w:cs="Calibri"/>
          <w:szCs w:val="21"/>
          <w:highlight w:val="green"/>
        </w:rPr>
        <w:t>)</w:t>
      </w:r>
      <w:r w:rsidRPr="00C246A1">
        <w:rPr>
          <w:rFonts w:ascii="Calibri" w:eastAsia="宋体" w:hAnsi="Calibri" w:cs="Calibri"/>
          <w:szCs w:val="21"/>
        </w:rPr>
        <w:t xml:space="preserve">, and testosterone </w:t>
      </w:r>
      <w:r w:rsidRPr="00A546B6">
        <w:rPr>
          <w:rFonts w:ascii="Calibri" w:eastAsia="宋体" w:hAnsi="Calibri" w:cs="Calibri"/>
          <w:szCs w:val="21"/>
          <w:highlight w:val="green"/>
        </w:rPr>
        <w:t>(</w:t>
      </w:r>
      <w:r w:rsidR="00AF3376" w:rsidRPr="00A546B6">
        <w:rPr>
          <w:rFonts w:ascii="Calibri" w:eastAsia="宋体" w:hAnsi="Calibri" w:cs="Calibri"/>
          <w:szCs w:val="21"/>
          <w:highlight w:val="green"/>
        </w:rPr>
        <w:t>D</w:t>
      </w:r>
      <w:r w:rsidRPr="00A546B6">
        <w:rPr>
          <w:rFonts w:ascii="Calibri" w:eastAsia="宋体" w:hAnsi="Calibri" w:cs="Calibri"/>
          <w:szCs w:val="21"/>
          <w:highlight w:val="green"/>
        </w:rPr>
        <w:t>)</w:t>
      </w:r>
      <w:r w:rsidR="00AF3376">
        <w:rPr>
          <w:rFonts w:ascii="Calibri" w:eastAsia="宋体" w:hAnsi="Calibri" w:cs="Calibri"/>
          <w:szCs w:val="21"/>
        </w:rPr>
        <w:t xml:space="preserve"> detected by ELISA on PND55 and PND95</w:t>
      </w:r>
      <w:r w:rsidRPr="00C246A1">
        <w:rPr>
          <w:rFonts w:ascii="Calibri" w:eastAsia="宋体" w:hAnsi="Calibri" w:cs="Calibri"/>
          <w:szCs w:val="21"/>
        </w:rPr>
        <w:t xml:space="preserve">. Error bars represent mean ± </w:t>
      </w:r>
      <w:r w:rsidR="00534065" w:rsidRPr="00C246A1">
        <w:rPr>
          <w:rFonts w:ascii="Calibri" w:eastAsia="宋体" w:hAnsi="Calibri" w:cs="Calibri"/>
          <w:szCs w:val="21"/>
        </w:rPr>
        <w:t>SD</w:t>
      </w:r>
      <w:r w:rsidR="00AF3376">
        <w:rPr>
          <w:rFonts w:ascii="Calibri" w:eastAsia="宋体" w:hAnsi="Calibri" w:cs="Calibri"/>
          <w:szCs w:val="21"/>
        </w:rPr>
        <w:t xml:space="preserve">, </w:t>
      </w:r>
      <w:r w:rsidRPr="00C246A1">
        <w:rPr>
          <w:rFonts w:ascii="Calibri" w:eastAsia="宋体" w:hAnsi="Calibri" w:cs="Calibri"/>
          <w:szCs w:val="21"/>
        </w:rPr>
        <w:t>n= 6, *</w:t>
      </w:r>
      <w:r w:rsidRPr="00C246A1">
        <w:rPr>
          <w:rFonts w:ascii="Calibri" w:eastAsia="宋体" w:hAnsi="Calibri" w:cs="Calibri"/>
          <w:i/>
          <w:szCs w:val="21"/>
        </w:rPr>
        <w:t>P</w:t>
      </w:r>
      <w:r w:rsidRPr="00C246A1">
        <w:rPr>
          <w:rFonts w:ascii="Calibri" w:eastAsia="宋体" w:hAnsi="Calibri" w:cs="Calibri"/>
          <w:szCs w:val="21"/>
        </w:rPr>
        <w:t xml:space="preserve"> &lt;0.05, **</w:t>
      </w:r>
      <w:r w:rsidRPr="00C246A1">
        <w:rPr>
          <w:rFonts w:ascii="Calibri" w:eastAsia="宋体" w:hAnsi="Calibri" w:cs="Calibri"/>
          <w:i/>
          <w:szCs w:val="21"/>
        </w:rPr>
        <w:t>P</w:t>
      </w:r>
      <w:r w:rsidRPr="00C246A1">
        <w:rPr>
          <w:rFonts w:ascii="Calibri" w:eastAsia="宋体" w:hAnsi="Calibri" w:cs="Calibri"/>
          <w:szCs w:val="21"/>
        </w:rPr>
        <w:t xml:space="preserve"> &lt;0.01, compared with the control group.</w:t>
      </w:r>
      <w:bookmarkStart w:id="0" w:name="_GoBack"/>
      <w:bookmarkEnd w:id="0"/>
    </w:p>
    <w:p w:rsidR="00CE53EE" w:rsidRPr="00AF3376" w:rsidRDefault="00CE53EE" w:rsidP="00C246A1">
      <w:pPr>
        <w:spacing w:line="360" w:lineRule="auto"/>
        <w:rPr>
          <w:rFonts w:ascii="Calibri" w:eastAsia="宋体" w:hAnsi="Calibri" w:cs="Calibri"/>
          <w:szCs w:val="21"/>
        </w:rPr>
      </w:pPr>
    </w:p>
    <w:p w:rsidR="00CE53EE" w:rsidRPr="00C246A1" w:rsidRDefault="00CE53EE" w:rsidP="00C246A1">
      <w:pPr>
        <w:spacing w:line="360" w:lineRule="auto"/>
        <w:rPr>
          <w:szCs w:val="21"/>
        </w:rPr>
      </w:pPr>
      <w:r w:rsidRPr="00C246A1">
        <w:rPr>
          <w:rFonts w:ascii="Calibri" w:eastAsia="宋体" w:hAnsi="Calibri" w:cs="Calibri"/>
          <w:szCs w:val="21"/>
        </w:rPr>
        <w:t>Fig.S3. TLR4 as the potential core target protein of PS-NPs during damage on rat testes. (A) Volcano plot of DEGs between control and PS-NPs (12 mg/kg/day) groups on PND95. The X-axis represents differential gene expression (log2). The Y-axis represents p-value (-log10). Red dots</w:t>
      </w:r>
      <w:r w:rsidR="00BA1E72" w:rsidRPr="00C246A1">
        <w:rPr>
          <w:rFonts w:ascii="Calibri" w:eastAsia="宋体" w:hAnsi="Calibri" w:cs="Calibri"/>
          <w:szCs w:val="21"/>
        </w:rPr>
        <w:t>,</w:t>
      </w:r>
      <w:r w:rsidRPr="00C246A1">
        <w:rPr>
          <w:rFonts w:ascii="Calibri" w:eastAsia="宋体" w:hAnsi="Calibri" w:cs="Calibri"/>
          <w:szCs w:val="21"/>
        </w:rPr>
        <w:t xml:space="preserve"> significantly upregulated DEGs. Green dots</w:t>
      </w:r>
      <w:r w:rsidR="00BA1E72" w:rsidRPr="00C246A1">
        <w:rPr>
          <w:rFonts w:ascii="Calibri" w:eastAsia="宋体" w:hAnsi="Calibri" w:cs="Calibri"/>
          <w:szCs w:val="21"/>
        </w:rPr>
        <w:t xml:space="preserve">, </w:t>
      </w:r>
      <w:r w:rsidRPr="00C246A1">
        <w:rPr>
          <w:rFonts w:ascii="Calibri" w:eastAsia="宋体" w:hAnsi="Calibri" w:cs="Calibri"/>
          <w:szCs w:val="21"/>
        </w:rPr>
        <w:t>significantly downregulated DEGs. Gray dots</w:t>
      </w:r>
      <w:r w:rsidR="00BA1E72" w:rsidRPr="00C246A1">
        <w:rPr>
          <w:rFonts w:ascii="Calibri" w:eastAsia="宋体" w:hAnsi="Calibri" w:cs="Calibri"/>
          <w:szCs w:val="21"/>
        </w:rPr>
        <w:t xml:space="preserve">, </w:t>
      </w:r>
      <w:r w:rsidRPr="00C246A1">
        <w:rPr>
          <w:rFonts w:ascii="Calibri" w:eastAsia="宋体" w:hAnsi="Calibri" w:cs="Calibri"/>
          <w:szCs w:val="21"/>
        </w:rPr>
        <w:t>non-DEGs. (B) GO enrichment analysis between control and PS-NPs groups. The Y-axis represents cellular biological functions. (C) KEGG enrichment analysis between control and PS-NPs groups. The Y-axis represents KEGG functional pathways. (D) PPI network interaction between styrene-interacting proteins and the screened DEGs after PS-NPs action on rat testes. The points in the network graph represent mRNA</w:t>
      </w:r>
      <w:r w:rsidR="009C15E6" w:rsidRPr="00C246A1">
        <w:rPr>
          <w:rFonts w:ascii="Calibri" w:eastAsia="宋体" w:hAnsi="Calibri" w:cs="Calibri"/>
          <w:szCs w:val="21"/>
        </w:rPr>
        <w:t>s. L</w:t>
      </w:r>
      <w:r w:rsidRPr="00C246A1">
        <w:rPr>
          <w:rFonts w:ascii="Calibri" w:eastAsia="宋体" w:hAnsi="Calibri" w:cs="Calibri"/>
          <w:szCs w:val="21"/>
        </w:rPr>
        <w:t>ines indicate protein-protein interaction (PPI) relationships. Different colors represent different connection numbers, the more relationships, the redder the color. The size of the point reflects the existing situation of relationships. The larger the point, the more extensive interactions with surrounding molecules and the more connections. The dashed box shows the core part of the PPI network and is amplified on the right.</w:t>
      </w:r>
    </w:p>
    <w:sectPr w:rsidR="00CE53EE" w:rsidRPr="00C246A1" w:rsidSect="00C246A1">
      <w:pgSz w:w="11906" w:h="16838"/>
      <w:pgMar w:top="1440" w:right="1800" w:bottom="1440" w:left="1800" w:header="851" w:footer="992" w:gutter="0"/>
      <w:lnNumType w:countBy="1" w:restart="continuous"/>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158AB" w:rsidRDefault="000158AB" w:rsidP="00B64C5C">
      <w:r>
        <w:separator/>
      </w:r>
    </w:p>
  </w:endnote>
  <w:endnote w:type="continuationSeparator" w:id="0">
    <w:p w:rsidR="000158AB" w:rsidRDefault="000158AB" w:rsidP="00B64C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58AB" w:rsidRDefault="000158AB" w:rsidP="00B64C5C">
      <w:r>
        <w:separator/>
      </w:r>
    </w:p>
  </w:footnote>
  <w:footnote w:type="continuationSeparator" w:id="0">
    <w:p w:rsidR="000158AB" w:rsidRDefault="000158AB" w:rsidP="00B64C5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1CA4"/>
    <w:rsid w:val="000158AB"/>
    <w:rsid w:val="00030182"/>
    <w:rsid w:val="000561F3"/>
    <w:rsid w:val="00097AA8"/>
    <w:rsid w:val="000D6C16"/>
    <w:rsid w:val="000E648C"/>
    <w:rsid w:val="0012634A"/>
    <w:rsid w:val="00131E10"/>
    <w:rsid w:val="00171364"/>
    <w:rsid w:val="00297322"/>
    <w:rsid w:val="00384F8E"/>
    <w:rsid w:val="003D0A19"/>
    <w:rsid w:val="004F7523"/>
    <w:rsid w:val="00534065"/>
    <w:rsid w:val="005E3D66"/>
    <w:rsid w:val="006B09DC"/>
    <w:rsid w:val="00841A68"/>
    <w:rsid w:val="008E591E"/>
    <w:rsid w:val="008F1811"/>
    <w:rsid w:val="008F4792"/>
    <w:rsid w:val="0093767C"/>
    <w:rsid w:val="009C15E6"/>
    <w:rsid w:val="009E6D3E"/>
    <w:rsid w:val="00A546B6"/>
    <w:rsid w:val="00AF3376"/>
    <w:rsid w:val="00B46B5B"/>
    <w:rsid w:val="00B64C5C"/>
    <w:rsid w:val="00B670F8"/>
    <w:rsid w:val="00BA1E72"/>
    <w:rsid w:val="00BB2BBF"/>
    <w:rsid w:val="00C246A1"/>
    <w:rsid w:val="00CE53EE"/>
    <w:rsid w:val="00CF6EAC"/>
    <w:rsid w:val="00D11CA4"/>
    <w:rsid w:val="00E02739"/>
    <w:rsid w:val="00E14091"/>
    <w:rsid w:val="00E40186"/>
    <w:rsid w:val="00F54640"/>
    <w:rsid w:val="00FB0D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CA27FD"/>
  <w15:chartTrackingRefBased/>
  <w15:docId w15:val="{F0171E2D-F3E7-4003-B0CD-7B68350060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64C5C"/>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B64C5C"/>
    <w:rPr>
      <w:sz w:val="18"/>
      <w:szCs w:val="18"/>
    </w:rPr>
  </w:style>
  <w:style w:type="paragraph" w:styleId="a5">
    <w:name w:val="footer"/>
    <w:basedOn w:val="a"/>
    <w:link w:val="a6"/>
    <w:uiPriority w:val="99"/>
    <w:unhideWhenUsed/>
    <w:rsid w:val="00B64C5C"/>
    <w:pPr>
      <w:tabs>
        <w:tab w:val="center" w:pos="4153"/>
        <w:tab w:val="right" w:pos="8306"/>
      </w:tabs>
      <w:snapToGrid w:val="0"/>
      <w:jc w:val="left"/>
    </w:pPr>
    <w:rPr>
      <w:sz w:val="18"/>
      <w:szCs w:val="18"/>
    </w:rPr>
  </w:style>
  <w:style w:type="character" w:customStyle="1" w:styleId="a6">
    <w:name w:val="页脚 字符"/>
    <w:basedOn w:val="a0"/>
    <w:link w:val="a5"/>
    <w:uiPriority w:val="99"/>
    <w:rsid w:val="00B64C5C"/>
    <w:rPr>
      <w:sz w:val="18"/>
      <w:szCs w:val="18"/>
    </w:rPr>
  </w:style>
  <w:style w:type="paragraph" w:styleId="a7">
    <w:name w:val="Normal (Web)"/>
    <w:basedOn w:val="a"/>
    <w:link w:val="a8"/>
    <w:uiPriority w:val="99"/>
    <w:unhideWhenUsed/>
    <w:rsid w:val="00B46B5B"/>
    <w:pPr>
      <w:widowControl/>
      <w:spacing w:before="100" w:beforeAutospacing="1" w:after="100" w:afterAutospacing="1"/>
      <w:jc w:val="left"/>
    </w:pPr>
    <w:rPr>
      <w:rFonts w:ascii="宋体" w:eastAsia="宋体" w:hAnsi="宋体" w:cs="宋体"/>
      <w:kern w:val="0"/>
      <w:sz w:val="24"/>
      <w:szCs w:val="24"/>
    </w:rPr>
  </w:style>
  <w:style w:type="character" w:customStyle="1" w:styleId="a8">
    <w:name w:val="普通(网站) 字符"/>
    <w:basedOn w:val="a0"/>
    <w:link w:val="a7"/>
    <w:uiPriority w:val="99"/>
    <w:rsid w:val="00B46B5B"/>
    <w:rPr>
      <w:rFonts w:ascii="宋体" w:eastAsia="宋体" w:hAnsi="宋体" w:cs="宋体"/>
      <w:kern w:val="0"/>
      <w:sz w:val="24"/>
      <w:szCs w:val="24"/>
    </w:rPr>
  </w:style>
  <w:style w:type="character" w:styleId="a9">
    <w:name w:val="line number"/>
    <w:basedOn w:val="a0"/>
    <w:uiPriority w:val="99"/>
    <w:semiHidden/>
    <w:unhideWhenUsed/>
    <w:rsid w:val="00C246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351</Words>
  <Characters>2003</Characters>
  <Application>Microsoft Office Word</Application>
  <DocSecurity>0</DocSecurity>
  <Lines>16</Lines>
  <Paragraphs>4</Paragraphs>
  <ScaleCrop>false</ScaleCrop>
  <Company/>
  <LinksUpToDate>false</LinksUpToDate>
  <CharactersWithSpaces>2350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whsu</dc:creator>
  <cp:keywords/>
  <dc:description/>
  <cp:lastModifiedBy>whsu</cp:lastModifiedBy>
  <cp:revision>8</cp:revision>
  <dcterms:created xsi:type="dcterms:W3CDTF">2024-02-17T02:20:00Z</dcterms:created>
  <dcterms:modified xsi:type="dcterms:W3CDTF">2024-07-24T13:04:00Z</dcterms:modified>
</cp:coreProperties>
</file>