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A77E" w14:textId="77777777" w:rsidR="00A67BDC" w:rsidRDefault="00A67BDC" w:rsidP="00A67BDC">
      <w:pPr>
        <w:pStyle w:val="Heading2"/>
      </w:pPr>
      <w:r w:rsidRPr="00A67BDC">
        <w:rPr>
          <w:noProof/>
        </w:rPr>
        <w:drawing>
          <wp:inline distT="0" distB="0" distL="0" distR="0" wp14:anchorId="031A4074" wp14:editId="77A247EB">
            <wp:extent cx="5610225" cy="2552700"/>
            <wp:effectExtent l="0" t="0" r="0" b="0"/>
            <wp:docPr id="866440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44A37" w14:textId="00BE1E7B" w:rsidR="00A67BDC" w:rsidRPr="00C23425" w:rsidRDefault="00802E46" w:rsidP="00C23425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Table </w:t>
      </w:r>
      <w:r w:rsidR="00B941D6">
        <w:rPr>
          <w:sz w:val="22"/>
          <w:szCs w:val="22"/>
        </w:rPr>
        <w:t>S1.</w:t>
      </w:r>
      <w:r w:rsidR="00A67BDC" w:rsidRPr="00C23425">
        <w:rPr>
          <w:sz w:val="22"/>
          <w:szCs w:val="22"/>
        </w:rPr>
        <w:t xml:space="preserve"> Primer sequences for </w:t>
      </w:r>
      <w:r w:rsidR="00A67BDC" w:rsidRPr="00181B05">
        <w:rPr>
          <w:i/>
          <w:iCs/>
          <w:sz w:val="22"/>
          <w:szCs w:val="22"/>
        </w:rPr>
        <w:t>in vitro</w:t>
      </w:r>
      <w:r w:rsidR="00A67BDC" w:rsidRPr="00C23425">
        <w:rPr>
          <w:sz w:val="22"/>
          <w:szCs w:val="22"/>
        </w:rPr>
        <w:t xml:space="preserve"> </w:t>
      </w:r>
      <w:proofErr w:type="spellStart"/>
      <w:r w:rsidR="00A67BDC" w:rsidRPr="00C23425">
        <w:rPr>
          <w:sz w:val="22"/>
          <w:szCs w:val="22"/>
        </w:rPr>
        <w:t>qRT</w:t>
      </w:r>
      <w:proofErr w:type="spellEnd"/>
      <w:r w:rsidR="00A67BDC" w:rsidRPr="00C23425">
        <w:rPr>
          <w:sz w:val="22"/>
          <w:szCs w:val="22"/>
        </w:rPr>
        <w:t>-PCR</w:t>
      </w:r>
    </w:p>
    <w:p w14:paraId="5AFBECE1" w14:textId="77777777" w:rsidR="00B11105" w:rsidRDefault="00B11105" w:rsidP="00B11105">
      <w:pPr>
        <w:keepNext/>
      </w:pPr>
      <w:r>
        <w:rPr>
          <w:noProof/>
        </w:rPr>
        <w:drawing>
          <wp:inline distT="0" distB="0" distL="0" distR="0" wp14:anchorId="094A6D21" wp14:editId="2EBAF3C1">
            <wp:extent cx="3924300" cy="4707831"/>
            <wp:effectExtent l="0" t="0" r="0" b="0"/>
            <wp:docPr id="1122024485" name="Picture 2" descr="A collage of images of different sizes and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24485" name="Picture 2" descr="A collage of images of different sizes and colo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6600" cy="473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3075" w14:textId="71E67AC1" w:rsidR="00B11105" w:rsidRDefault="00B11105" w:rsidP="00C23425">
      <w:pPr>
        <w:pStyle w:val="NormalWeb"/>
        <w:rPr>
          <w:sz w:val="22"/>
          <w:szCs w:val="22"/>
        </w:rPr>
      </w:pPr>
      <w:r w:rsidRPr="00C23425">
        <w:rPr>
          <w:sz w:val="22"/>
          <w:szCs w:val="22"/>
        </w:rPr>
        <w:t>Figure S</w:t>
      </w:r>
      <w:r w:rsidR="00802E46">
        <w:rPr>
          <w:sz w:val="22"/>
          <w:szCs w:val="22"/>
        </w:rPr>
        <w:t>1</w:t>
      </w:r>
      <w:r w:rsidRPr="00C23425">
        <w:rPr>
          <w:sz w:val="22"/>
          <w:szCs w:val="22"/>
        </w:rPr>
        <w:t>. MDMs count and image processing operations</w:t>
      </w:r>
    </w:p>
    <w:p w14:paraId="514F1242" w14:textId="77777777" w:rsidR="00311060" w:rsidRDefault="00311060" w:rsidP="00311060">
      <w:pPr>
        <w:pStyle w:val="NormalWeb"/>
      </w:pPr>
      <w:r w:rsidRPr="00BB0AD7">
        <w:rPr>
          <w:noProof/>
        </w:rPr>
        <w:lastRenderedPageBreak/>
        <w:drawing>
          <wp:inline distT="0" distB="0" distL="0" distR="0" wp14:anchorId="7AF54AE7" wp14:editId="2F4766CC">
            <wp:extent cx="5191125" cy="1552575"/>
            <wp:effectExtent l="0" t="0" r="0" b="0"/>
            <wp:docPr id="10237608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ED2EF" w14:textId="3FBC7990" w:rsidR="00311060" w:rsidRDefault="00311060" w:rsidP="00C23425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Table S</w:t>
      </w:r>
      <w:r>
        <w:rPr>
          <w:sz w:val="22"/>
          <w:szCs w:val="22"/>
        </w:rPr>
        <w:t>2</w:t>
      </w:r>
      <w:r w:rsidRPr="00C23425">
        <w:rPr>
          <w:sz w:val="22"/>
          <w:szCs w:val="22"/>
        </w:rPr>
        <w:t xml:space="preserve">. Primer sequences for </w:t>
      </w:r>
      <w:r w:rsidRPr="00181B05">
        <w:rPr>
          <w:i/>
          <w:iCs/>
          <w:sz w:val="22"/>
          <w:szCs w:val="22"/>
        </w:rPr>
        <w:t>in vivo</w:t>
      </w:r>
      <w:r w:rsidRPr="00C23425">
        <w:rPr>
          <w:sz w:val="22"/>
          <w:szCs w:val="22"/>
        </w:rPr>
        <w:t xml:space="preserve"> </w:t>
      </w:r>
      <w:proofErr w:type="spellStart"/>
      <w:r w:rsidRPr="00C23425">
        <w:rPr>
          <w:sz w:val="22"/>
          <w:szCs w:val="22"/>
        </w:rPr>
        <w:t>qRT</w:t>
      </w:r>
      <w:proofErr w:type="spellEnd"/>
      <w:r w:rsidRPr="00C23425">
        <w:rPr>
          <w:sz w:val="22"/>
          <w:szCs w:val="22"/>
        </w:rPr>
        <w:t>-PCR</w:t>
      </w:r>
    </w:p>
    <w:tbl>
      <w:tblPr>
        <w:tblW w:w="5240" w:type="dxa"/>
        <w:tblLook w:val="04A0" w:firstRow="1" w:lastRow="0" w:firstColumn="1" w:lastColumn="0" w:noHBand="0" w:noVBand="1"/>
      </w:tblPr>
      <w:tblGrid>
        <w:gridCol w:w="1240"/>
        <w:gridCol w:w="1920"/>
        <w:gridCol w:w="2080"/>
      </w:tblGrid>
      <w:tr w:rsidR="00680137" w:rsidRPr="00680137" w14:paraId="6CD6D947" w14:textId="77777777" w:rsidTr="00680137">
        <w:trPr>
          <w:trHeight w:val="315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EDDC098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IL-8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C3268D9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in vivo-in vitro</w:t>
            </w: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low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14:paraId="14ED40AD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in vivo-in vitro</w:t>
            </w: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high</w:t>
            </w:r>
          </w:p>
        </w:tc>
      </w:tr>
      <w:tr w:rsidR="00680137" w:rsidRPr="00680137" w14:paraId="7CD3C2EC" w14:textId="77777777" w:rsidTr="00680137">
        <w:trPr>
          <w:trHeight w:val="315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A6DFC" w14:textId="77777777" w:rsidR="00680137" w:rsidRPr="00680137" w:rsidRDefault="00680137" w:rsidP="0068013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D3A1351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8040229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</w:tr>
      <w:tr w:rsidR="00680137" w:rsidRPr="00680137" w14:paraId="30010226" w14:textId="77777777" w:rsidTr="00680137">
        <w:trPr>
          <w:trHeight w:val="330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9C461" w14:textId="77777777" w:rsidR="00680137" w:rsidRPr="00680137" w:rsidRDefault="00680137" w:rsidP="0068013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D1FA5C4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0.499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2271298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0.260</w:t>
            </w:r>
          </w:p>
        </w:tc>
      </w:tr>
      <w:tr w:rsidR="00680137" w:rsidRPr="00680137" w14:paraId="366123E8" w14:textId="77777777" w:rsidTr="00680137">
        <w:trPr>
          <w:trHeight w:val="315"/>
        </w:trPr>
        <w:tc>
          <w:tcPr>
            <w:tcW w:w="1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1BC36BD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IL-1β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C8CAD5B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in vivo-in vitro</w:t>
            </w: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low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14:paraId="5BE3347A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in vivo-in vitro</w:t>
            </w: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high</w:t>
            </w:r>
          </w:p>
        </w:tc>
      </w:tr>
      <w:tr w:rsidR="00680137" w:rsidRPr="00680137" w14:paraId="0812D2AA" w14:textId="77777777" w:rsidTr="00680137">
        <w:trPr>
          <w:trHeight w:val="315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B5139" w14:textId="77777777" w:rsidR="00680137" w:rsidRPr="00680137" w:rsidRDefault="00680137" w:rsidP="0068013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257DEA9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005C2E6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</w:tr>
      <w:tr w:rsidR="00680137" w:rsidRPr="00680137" w14:paraId="619399F2" w14:textId="77777777" w:rsidTr="00680137">
        <w:trPr>
          <w:trHeight w:val="330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886D1" w14:textId="77777777" w:rsidR="00680137" w:rsidRPr="00680137" w:rsidRDefault="00680137" w:rsidP="0068013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EC8EF92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0.495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D9B803E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0.121</w:t>
            </w:r>
          </w:p>
        </w:tc>
      </w:tr>
      <w:tr w:rsidR="00680137" w:rsidRPr="00680137" w14:paraId="09CFB914" w14:textId="77777777" w:rsidTr="00680137">
        <w:trPr>
          <w:trHeight w:val="315"/>
        </w:trPr>
        <w:tc>
          <w:tcPr>
            <w:tcW w:w="1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85C76E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IL-6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540C418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in vivo-in vitro</w:t>
            </w: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low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14:paraId="20AF8D62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in vivo-in vitro</w:t>
            </w: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high</w:t>
            </w:r>
          </w:p>
        </w:tc>
      </w:tr>
      <w:tr w:rsidR="00680137" w:rsidRPr="00680137" w14:paraId="1C44664B" w14:textId="77777777" w:rsidTr="00680137">
        <w:trPr>
          <w:trHeight w:val="315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BEAE4" w14:textId="77777777" w:rsidR="00680137" w:rsidRPr="00680137" w:rsidRDefault="00680137" w:rsidP="0068013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B6EF043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A042676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Mean</w:t>
            </w:r>
          </w:p>
        </w:tc>
      </w:tr>
      <w:tr w:rsidR="00680137" w:rsidRPr="00680137" w14:paraId="3ED0E838" w14:textId="77777777" w:rsidTr="00680137">
        <w:trPr>
          <w:trHeight w:val="330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51488" w14:textId="77777777" w:rsidR="00680137" w:rsidRPr="00680137" w:rsidRDefault="00680137" w:rsidP="0068013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EC14B3F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0.037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8707F4F" w14:textId="77777777" w:rsidR="00680137" w:rsidRPr="00680137" w:rsidRDefault="00680137" w:rsidP="00680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6801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0.109</w:t>
            </w:r>
          </w:p>
        </w:tc>
      </w:tr>
    </w:tbl>
    <w:p w14:paraId="47F3D0F3" w14:textId="0852D6B3" w:rsidR="008E10BE" w:rsidRDefault="00802E46" w:rsidP="008E0524">
      <w:pPr>
        <w:pStyle w:val="NormalWeb"/>
      </w:pPr>
      <w:r>
        <w:rPr>
          <w:sz w:val="22"/>
          <w:szCs w:val="22"/>
        </w:rPr>
        <w:t>Table S</w:t>
      </w:r>
      <w:r w:rsidR="00311060">
        <w:rPr>
          <w:sz w:val="22"/>
          <w:szCs w:val="22"/>
        </w:rPr>
        <w:t>3</w:t>
      </w:r>
      <w:r w:rsidRPr="00C23425">
        <w:rPr>
          <w:sz w:val="22"/>
          <w:szCs w:val="22"/>
        </w:rPr>
        <w:t xml:space="preserve">. </w:t>
      </w:r>
      <w:r w:rsidR="00A70400">
        <w:t>The S</w:t>
      </w:r>
      <w:r w:rsidR="008E0524">
        <w:t>pearman</w:t>
      </w:r>
      <w:r w:rsidR="00A70400">
        <w:t xml:space="preserve"> correlation coefficient between all data points for </w:t>
      </w:r>
      <w:r w:rsidR="00A70400" w:rsidRPr="00A70400">
        <w:rPr>
          <w:i/>
          <w:iCs/>
        </w:rPr>
        <w:t xml:space="preserve">in vivo </w:t>
      </w:r>
      <w:r w:rsidR="00A70400" w:rsidRPr="00A70400">
        <w:t>and</w:t>
      </w:r>
      <w:r w:rsidR="00A70400" w:rsidRPr="00A70400">
        <w:rPr>
          <w:i/>
          <w:iCs/>
        </w:rPr>
        <w:t xml:space="preserve"> in vitro</w:t>
      </w:r>
      <w:r w:rsidR="00A70400">
        <w:rPr>
          <w:i/>
          <w:iCs/>
        </w:rPr>
        <w:t xml:space="preserve"> </w:t>
      </w:r>
      <w:r w:rsidR="00A70400">
        <w:t xml:space="preserve">low or </w:t>
      </w:r>
      <w:r w:rsidR="00A70400" w:rsidRPr="00A70400">
        <w:rPr>
          <w:i/>
          <w:iCs/>
        </w:rPr>
        <w:t>in vitro</w:t>
      </w:r>
      <w:r w:rsidR="00A70400">
        <w:t xml:space="preserve"> high dose</w:t>
      </w:r>
      <w:r w:rsidR="008E10BE" w:rsidRPr="00057253">
        <w:t xml:space="preserve">. </w:t>
      </w:r>
      <w:r w:rsidR="00A70400">
        <w:t>Data are represented as mean values.</w:t>
      </w:r>
    </w:p>
    <w:p w14:paraId="62FD8E8A" w14:textId="77777777" w:rsidR="00C23425" w:rsidRDefault="00C23425" w:rsidP="00C23425">
      <w:pPr>
        <w:keepNext/>
      </w:pPr>
      <w:r>
        <w:rPr>
          <w:rFonts w:cs="Calibri"/>
          <w:noProof/>
          <w:color w:val="000000"/>
        </w:rPr>
        <w:lastRenderedPageBreak/>
        <w:drawing>
          <wp:inline distT="0" distB="0" distL="0" distR="0" wp14:anchorId="4DEFE425" wp14:editId="0710407A">
            <wp:extent cx="5124450" cy="4991100"/>
            <wp:effectExtent l="0" t="0" r="0" b="0"/>
            <wp:docPr id="1752490265" name="Picture 1" descr="A group of graphs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490265" name="Picture 1" descr="A group of graphs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9967" w14:textId="412B6A45" w:rsidR="008A3506" w:rsidRDefault="00C23425" w:rsidP="008A3506">
      <w:pPr>
        <w:pStyle w:val="NormalWeb"/>
        <w:rPr>
          <w:rFonts w:cs="Calibri"/>
          <w:color w:val="000000"/>
          <w:sz w:val="22"/>
          <w:szCs w:val="22"/>
        </w:rPr>
      </w:pPr>
      <w:r w:rsidRPr="00C23425">
        <w:rPr>
          <w:sz w:val="22"/>
          <w:szCs w:val="22"/>
        </w:rPr>
        <w:t>Figure S</w:t>
      </w:r>
      <w:r w:rsidR="00802E46">
        <w:rPr>
          <w:sz w:val="22"/>
          <w:szCs w:val="22"/>
        </w:rPr>
        <w:t>2</w:t>
      </w:r>
      <w:r w:rsidR="008A3506">
        <w:rPr>
          <w:sz w:val="22"/>
          <w:szCs w:val="22"/>
        </w:rPr>
        <w:t>.</w:t>
      </w:r>
      <w:r w:rsidRPr="00C23425">
        <w:rPr>
          <w:sz w:val="22"/>
          <w:szCs w:val="22"/>
        </w:rPr>
        <w:t xml:space="preserve"> DLS measurements of DQ12 size – Measurements are performed in MiliQ water (blue) and complete cell culture media (purple). Results for just cell culture media without particles are presented in red. </w:t>
      </w:r>
      <w:r w:rsidRPr="00C23425">
        <w:rPr>
          <w:rFonts w:cs="Calibri"/>
          <w:color w:val="000000"/>
          <w:sz w:val="22"/>
          <w:szCs w:val="22"/>
        </w:rPr>
        <w:t xml:space="preserve">No apparent aggregation </w:t>
      </w:r>
      <w:r w:rsidR="007E25B2">
        <w:rPr>
          <w:rFonts w:cs="Calibri"/>
          <w:color w:val="000000"/>
          <w:sz w:val="22"/>
          <w:szCs w:val="22"/>
        </w:rPr>
        <w:t>was</w:t>
      </w:r>
      <w:r w:rsidRPr="00C23425">
        <w:rPr>
          <w:rFonts w:cs="Calibri"/>
          <w:color w:val="000000"/>
          <w:sz w:val="22"/>
          <w:szCs w:val="22"/>
        </w:rPr>
        <w:t xml:space="preserve"> present.</w:t>
      </w:r>
    </w:p>
    <w:p w14:paraId="7CD378AF" w14:textId="77777777" w:rsidR="00FE1F54" w:rsidRDefault="00FE1F54" w:rsidP="00FE1F54">
      <w:pPr>
        <w:pStyle w:val="NormalWeb"/>
        <w:keepNext/>
      </w:pPr>
      <w:r>
        <w:rPr>
          <w:rFonts w:cs="Calibri"/>
          <w:noProof/>
          <w:color w:val="000000"/>
          <w:sz w:val="22"/>
          <w:szCs w:val="22"/>
        </w:rPr>
        <w:lastRenderedPageBreak/>
        <w:drawing>
          <wp:inline distT="0" distB="0" distL="0" distR="0" wp14:anchorId="4440124E" wp14:editId="3BE451CD">
            <wp:extent cx="5940564" cy="3852680"/>
            <wp:effectExtent l="0" t="0" r="0" b="0"/>
            <wp:docPr id="869668580" name="Picture 1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68580" name="Picture 1" descr="A collage of images of cell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564" cy="385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8D631" w14:textId="00B000A0" w:rsidR="008A3506" w:rsidRDefault="00FE1F54" w:rsidP="008A3506">
      <w:pPr>
        <w:pStyle w:val="NormalWeb"/>
        <w:keepNext/>
      </w:pPr>
      <w:r w:rsidRPr="00C23425">
        <w:rPr>
          <w:sz w:val="22"/>
          <w:szCs w:val="22"/>
        </w:rPr>
        <w:t>Figure S</w:t>
      </w:r>
      <w:r w:rsidR="00802E46">
        <w:rPr>
          <w:sz w:val="22"/>
          <w:szCs w:val="22"/>
        </w:rPr>
        <w:t>3</w:t>
      </w:r>
      <w:r>
        <w:rPr>
          <w:sz w:val="22"/>
          <w:szCs w:val="22"/>
        </w:rPr>
        <w:t>.</w:t>
      </w:r>
      <w:r w:rsidRPr="00C23425">
        <w:rPr>
          <w:sz w:val="22"/>
          <w:szCs w:val="22"/>
        </w:rPr>
        <w:t xml:space="preserve"> </w:t>
      </w:r>
      <w:r>
        <w:rPr>
          <w:sz w:val="22"/>
          <w:szCs w:val="22"/>
        </w:rPr>
        <w:t>Presence of tight junctions</w:t>
      </w:r>
      <w:r w:rsidRPr="00C23425">
        <w:rPr>
          <w:sz w:val="22"/>
          <w:szCs w:val="22"/>
        </w:rPr>
        <w:t xml:space="preserve"> – </w:t>
      </w:r>
      <w:r w:rsidRPr="00D7080B">
        <w:t>ZO-1 staining</w:t>
      </w:r>
      <w:r>
        <w:t xml:space="preserve"> (yellow), cell nuclei (cyan). Image </w:t>
      </w:r>
      <w:r w:rsidR="003A7F5F">
        <w:t>processing</w:t>
      </w:r>
      <w:r w:rsidR="003A7F5F" w:rsidRPr="003A7F5F">
        <w:rPr>
          <w:color w:val="222222"/>
          <w:shd w:val="clear" w:color="auto" w:fill="FFFFFF"/>
        </w:rPr>
        <w:t xml:space="preserve"> </w:t>
      </w:r>
      <w:r w:rsidR="003A7F5F">
        <w:rPr>
          <w:color w:val="222222"/>
          <w:shd w:val="clear" w:color="auto" w:fill="FFFFFF"/>
        </w:rPr>
        <w:t xml:space="preserve">was done with the </w:t>
      </w:r>
      <w:r w:rsidR="003A7F5F" w:rsidRPr="00D85F31">
        <w:rPr>
          <w:color w:val="222222"/>
          <w:shd w:val="clear" w:color="auto" w:fill="FFFFFF"/>
        </w:rPr>
        <w:t xml:space="preserve">ImageJ </w:t>
      </w:r>
      <w:r w:rsidR="003A7F5F">
        <w:rPr>
          <w:color w:val="222222"/>
          <w:shd w:val="clear" w:color="auto" w:fill="FFFFFF"/>
        </w:rPr>
        <w:t>software (</w:t>
      </w:r>
      <w:r w:rsidR="003A7F5F" w:rsidRPr="00D85F31">
        <w:t>version 1.5</w:t>
      </w:r>
      <w:r w:rsidR="003A7F5F">
        <w:t>4)</w:t>
      </w:r>
      <w:r w:rsidR="003A7F5F">
        <w:rPr>
          <w:color w:val="222222"/>
          <w:shd w:val="clear" w:color="auto" w:fill="FFFFFF"/>
        </w:rPr>
        <w:t xml:space="preserve">. Channels for ZO-1 and DAPI were merged. Z-projection of 5 to 15 upper images in the stacks (ZO-1 only visible at the surface) with standard deviation projection type was performed. Afterward, noise reduction with a </w:t>
      </w:r>
      <w:proofErr w:type="spellStart"/>
      <w:r w:rsidR="003A7F5F">
        <w:rPr>
          <w:color w:val="222222"/>
          <w:shd w:val="clear" w:color="auto" w:fill="FFFFFF"/>
        </w:rPr>
        <w:t>despeckle</w:t>
      </w:r>
      <w:proofErr w:type="spellEnd"/>
      <w:r w:rsidR="003A7F5F">
        <w:rPr>
          <w:color w:val="222222"/>
          <w:shd w:val="clear" w:color="auto" w:fill="FFFFFF"/>
        </w:rPr>
        <w:t xml:space="preserve"> option and the addition of the scale bar</w:t>
      </w:r>
      <w:r w:rsidR="003C40DF">
        <w:rPr>
          <w:color w:val="222222"/>
          <w:shd w:val="clear" w:color="auto" w:fill="FFFFFF"/>
        </w:rPr>
        <w:t xml:space="preserve"> were performed</w:t>
      </w:r>
      <w:r w:rsidR="003A7F5F">
        <w:rPr>
          <w:color w:val="222222"/>
          <w:shd w:val="clear" w:color="auto" w:fill="FFFFFF"/>
        </w:rPr>
        <w:t>.</w:t>
      </w:r>
      <w:r w:rsidR="008A3506" w:rsidRPr="008A3506">
        <w:rPr>
          <w:rFonts w:cs="Calibri"/>
          <w:noProof/>
          <w:color w:val="000000"/>
          <w:sz w:val="22"/>
          <w:szCs w:val="22"/>
        </w:rPr>
        <w:drawing>
          <wp:inline distT="0" distB="0" distL="0" distR="0" wp14:anchorId="46AA4450" wp14:editId="6B129FD5">
            <wp:extent cx="6036733" cy="2362200"/>
            <wp:effectExtent l="0" t="0" r="0" b="0"/>
            <wp:docPr id="2027922984" name="Picture 1" descr="A graph of different sizes and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922984" name="Picture 1" descr="A graph of different sizes and color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9057" cy="236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B399A" w14:textId="619452CB" w:rsidR="008A3506" w:rsidRPr="008A3506" w:rsidRDefault="008A3506" w:rsidP="008A3506">
      <w:pPr>
        <w:pStyle w:val="NormalWeb"/>
        <w:rPr>
          <w:sz w:val="22"/>
          <w:szCs w:val="22"/>
        </w:rPr>
      </w:pPr>
      <w:r w:rsidRPr="008A3506">
        <w:rPr>
          <w:sz w:val="22"/>
          <w:szCs w:val="22"/>
        </w:rPr>
        <w:t>Figure S</w:t>
      </w:r>
      <w:r w:rsidR="00802E46">
        <w:rPr>
          <w:sz w:val="22"/>
          <w:szCs w:val="22"/>
        </w:rPr>
        <w:t>4</w:t>
      </w:r>
      <w:r w:rsidRPr="008A3506">
        <w:rPr>
          <w:sz w:val="22"/>
          <w:szCs w:val="22"/>
        </w:rPr>
        <w:t xml:space="preserve">. Inflammatory cytokine secretion </w:t>
      </w:r>
      <w:r w:rsidR="00181B05">
        <w:rPr>
          <w:sz w:val="22"/>
          <w:szCs w:val="22"/>
        </w:rPr>
        <w:t xml:space="preserve">was measured by ELISA assay from the </w:t>
      </w:r>
      <w:r w:rsidRPr="008A3506">
        <w:rPr>
          <w:sz w:val="22"/>
          <w:szCs w:val="22"/>
        </w:rPr>
        <w:t>supernatant of the apical side of the insert</w:t>
      </w:r>
      <w:r>
        <w:rPr>
          <w:sz w:val="22"/>
          <w:szCs w:val="22"/>
        </w:rPr>
        <w:t xml:space="preserve"> after 24h of exposure</w:t>
      </w:r>
      <w:r w:rsidRPr="008A3506">
        <w:rPr>
          <w:sz w:val="22"/>
          <w:szCs w:val="22"/>
        </w:rPr>
        <w:t>.</w:t>
      </w:r>
    </w:p>
    <w:p w14:paraId="2341ABD0" w14:textId="77777777" w:rsidR="008A3506" w:rsidRDefault="008A3506" w:rsidP="008A3506">
      <w:pPr>
        <w:pStyle w:val="NormalWeb"/>
        <w:keepNext/>
      </w:pPr>
      <w:r w:rsidRPr="008A3506">
        <w:rPr>
          <w:rFonts w:cs="Calibri"/>
          <w:noProof/>
          <w:color w:val="000000"/>
          <w:sz w:val="22"/>
          <w:szCs w:val="22"/>
        </w:rPr>
        <w:lastRenderedPageBreak/>
        <w:drawing>
          <wp:inline distT="0" distB="0" distL="0" distR="0" wp14:anchorId="74E0969E" wp14:editId="66FF3065">
            <wp:extent cx="4450878" cy="2711556"/>
            <wp:effectExtent l="0" t="0" r="0" b="0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7AAE924-71CA-FF6F-72D0-FEF138A37C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7AAE924-71CA-FF6F-72D0-FEF138A37C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0878" cy="271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F5054" w14:textId="07CCF8D2" w:rsidR="008A3506" w:rsidRDefault="008A3506" w:rsidP="000B3ACD">
      <w:pPr>
        <w:pStyle w:val="NormalWeb"/>
        <w:rPr>
          <w:sz w:val="22"/>
          <w:szCs w:val="22"/>
        </w:rPr>
      </w:pPr>
      <w:r w:rsidRPr="000B3ACD">
        <w:rPr>
          <w:sz w:val="22"/>
          <w:szCs w:val="22"/>
        </w:rPr>
        <w:t>Figure S</w:t>
      </w:r>
      <w:r w:rsidR="00802E46">
        <w:rPr>
          <w:sz w:val="22"/>
          <w:szCs w:val="22"/>
        </w:rPr>
        <w:t>5</w:t>
      </w:r>
      <w:r w:rsidRPr="000B3ACD">
        <w:rPr>
          <w:sz w:val="22"/>
          <w:szCs w:val="22"/>
        </w:rPr>
        <w:t xml:space="preserve">. </w:t>
      </w:r>
      <w:r w:rsidR="000B3ACD">
        <w:rPr>
          <w:sz w:val="22"/>
          <w:szCs w:val="22"/>
        </w:rPr>
        <w:t>T</w:t>
      </w:r>
      <w:r w:rsidR="000B3ACD" w:rsidRPr="000B3ACD">
        <w:rPr>
          <w:sz w:val="22"/>
          <w:szCs w:val="22"/>
        </w:rPr>
        <w:t>ight junction</w:t>
      </w:r>
      <w:r w:rsidR="000B3ACD">
        <w:rPr>
          <w:sz w:val="22"/>
          <w:szCs w:val="22"/>
        </w:rPr>
        <w:t xml:space="preserve"> protein 1</w:t>
      </w:r>
      <w:r w:rsidR="000B3ACD" w:rsidRPr="000B3ACD">
        <w:rPr>
          <w:sz w:val="22"/>
          <w:szCs w:val="22"/>
        </w:rPr>
        <w:t xml:space="preserve"> gene expression </w:t>
      </w:r>
      <w:r w:rsidR="00181B05">
        <w:rPr>
          <w:sz w:val="22"/>
          <w:szCs w:val="22"/>
        </w:rPr>
        <w:t xml:space="preserve">was measured over </w:t>
      </w:r>
      <w:r w:rsidR="00802E46">
        <w:rPr>
          <w:sz w:val="22"/>
          <w:szCs w:val="22"/>
        </w:rPr>
        <w:t>one week</w:t>
      </w:r>
      <w:r w:rsidR="000B3ACD" w:rsidRPr="000B3ACD">
        <w:rPr>
          <w:sz w:val="22"/>
          <w:szCs w:val="22"/>
        </w:rPr>
        <w:t xml:space="preserve"> for the doses of 10 µg/cm</w:t>
      </w:r>
      <w:r w:rsidR="000B3ACD" w:rsidRPr="000B3ACD">
        <w:rPr>
          <w:sz w:val="22"/>
          <w:szCs w:val="22"/>
          <w:vertAlign w:val="superscript"/>
        </w:rPr>
        <w:t>2</w:t>
      </w:r>
      <w:r w:rsidR="000B3ACD" w:rsidRPr="000B3ACD">
        <w:rPr>
          <w:sz w:val="22"/>
          <w:szCs w:val="22"/>
        </w:rPr>
        <w:t xml:space="preserve"> and 100 µg/cm</w:t>
      </w:r>
      <w:r w:rsidR="000B3ACD" w:rsidRPr="000B3ACD">
        <w:rPr>
          <w:sz w:val="22"/>
          <w:szCs w:val="22"/>
          <w:vertAlign w:val="superscript"/>
        </w:rPr>
        <w:t>2</w:t>
      </w:r>
      <w:r w:rsidR="000B3ACD" w:rsidRPr="000B3ACD">
        <w:rPr>
          <w:sz w:val="22"/>
          <w:szCs w:val="22"/>
        </w:rPr>
        <w:t xml:space="preserve"> of DQ</w:t>
      </w:r>
      <w:r w:rsidR="000B3ACD" w:rsidRPr="000B3ACD">
        <w:rPr>
          <w:sz w:val="22"/>
          <w:szCs w:val="22"/>
          <w:vertAlign w:val="subscript"/>
        </w:rPr>
        <w:t>12</w:t>
      </w:r>
      <w:r w:rsidR="000B3ACD">
        <w:rPr>
          <w:sz w:val="22"/>
          <w:szCs w:val="22"/>
        </w:rPr>
        <w:t xml:space="preserve">. </w:t>
      </w:r>
      <w:r w:rsidR="00181B05">
        <w:rPr>
          <w:sz w:val="22"/>
          <w:szCs w:val="22"/>
        </w:rPr>
        <w:t xml:space="preserve">The dotted line represents the untreated condition, and the </w:t>
      </w:r>
      <w:r w:rsidR="000B3ACD">
        <w:rPr>
          <w:sz w:val="22"/>
          <w:szCs w:val="22"/>
        </w:rPr>
        <w:t xml:space="preserve">results </w:t>
      </w:r>
      <w:r w:rsidR="00802E46">
        <w:rPr>
          <w:sz w:val="22"/>
          <w:szCs w:val="22"/>
        </w:rPr>
        <w:t>are</w:t>
      </w:r>
      <w:r w:rsidR="000B3ACD">
        <w:rPr>
          <w:sz w:val="22"/>
          <w:szCs w:val="22"/>
        </w:rPr>
        <w:t xml:space="preserve"> represented as a fold change.</w:t>
      </w:r>
    </w:p>
    <w:p w14:paraId="6C5E140A" w14:textId="77777777" w:rsidR="00213943" w:rsidRDefault="00213943" w:rsidP="00213943">
      <w:pPr>
        <w:pStyle w:val="NormalWeb"/>
        <w:keepNext/>
      </w:pPr>
      <w:r>
        <w:rPr>
          <w:noProof/>
          <w:sz w:val="22"/>
          <w:szCs w:val="22"/>
        </w:rPr>
        <w:drawing>
          <wp:inline distT="0" distB="0" distL="0" distR="0" wp14:anchorId="7337678F" wp14:editId="2D552E3A">
            <wp:extent cx="5667375" cy="2873260"/>
            <wp:effectExtent l="0" t="0" r="0" b="0"/>
            <wp:docPr id="971640807" name="Picture 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40807" name="Picture 6" descr="A screenshot of a video gam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395" cy="288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FF475" w14:textId="75413E65" w:rsidR="00213943" w:rsidRDefault="00213943" w:rsidP="00213943">
      <w:pPr>
        <w:pStyle w:val="NormalWeb"/>
        <w:rPr>
          <w:sz w:val="22"/>
          <w:szCs w:val="22"/>
        </w:rPr>
      </w:pPr>
      <w:r w:rsidRPr="008A3506">
        <w:rPr>
          <w:sz w:val="22"/>
          <w:szCs w:val="22"/>
        </w:rPr>
        <w:t>Figure S</w:t>
      </w:r>
      <w:r w:rsidR="00802E46">
        <w:rPr>
          <w:sz w:val="22"/>
          <w:szCs w:val="22"/>
        </w:rPr>
        <w:t>6</w:t>
      </w:r>
      <w:r w:rsidRPr="008A3506">
        <w:rPr>
          <w:sz w:val="22"/>
          <w:szCs w:val="22"/>
        </w:rPr>
        <w:t xml:space="preserve">. Inflammatory cytokine </w:t>
      </w:r>
      <w:r>
        <w:rPr>
          <w:sz w:val="22"/>
          <w:szCs w:val="22"/>
        </w:rPr>
        <w:t xml:space="preserve">IL-6 </w:t>
      </w:r>
      <w:r w:rsidRPr="008A3506">
        <w:rPr>
          <w:sz w:val="22"/>
          <w:szCs w:val="22"/>
        </w:rPr>
        <w:t xml:space="preserve">secretion </w:t>
      </w:r>
      <w:r w:rsidR="00181B05">
        <w:rPr>
          <w:sz w:val="22"/>
          <w:szCs w:val="22"/>
        </w:rPr>
        <w:t xml:space="preserve">was </w:t>
      </w:r>
      <w:r w:rsidRPr="008A3506">
        <w:rPr>
          <w:sz w:val="22"/>
          <w:szCs w:val="22"/>
        </w:rPr>
        <w:t xml:space="preserve">measured by ELISA assay from </w:t>
      </w:r>
      <w:r w:rsidR="00C536B6">
        <w:rPr>
          <w:sz w:val="22"/>
          <w:szCs w:val="22"/>
        </w:rPr>
        <w:t xml:space="preserve">the </w:t>
      </w:r>
      <w:r w:rsidRPr="008A3506">
        <w:rPr>
          <w:sz w:val="22"/>
          <w:szCs w:val="22"/>
        </w:rPr>
        <w:t>supernatant of the apical side of the insert</w:t>
      </w:r>
      <w:r>
        <w:rPr>
          <w:sz w:val="22"/>
          <w:szCs w:val="22"/>
        </w:rPr>
        <w:t xml:space="preserve"> after 7 days of exposure</w:t>
      </w:r>
      <w:r w:rsidRPr="008A3506">
        <w:rPr>
          <w:sz w:val="22"/>
          <w:szCs w:val="22"/>
        </w:rPr>
        <w:t>.</w:t>
      </w:r>
    </w:p>
    <w:p w14:paraId="56A39E39" w14:textId="77777777" w:rsidR="006A5F46" w:rsidRDefault="006A5F46" w:rsidP="00213943">
      <w:pPr>
        <w:pStyle w:val="NormalWeb"/>
        <w:rPr>
          <w:noProof/>
          <w:sz w:val="22"/>
          <w:szCs w:val="22"/>
        </w:rPr>
      </w:pPr>
    </w:p>
    <w:p w14:paraId="55EE8A4B" w14:textId="77777777" w:rsidR="006A5F46" w:rsidRDefault="006A5F46" w:rsidP="006A5F46">
      <w:pPr>
        <w:pStyle w:val="NormalWeb"/>
        <w:keepNext/>
      </w:pPr>
      <w:r>
        <w:rPr>
          <w:noProof/>
          <w:sz w:val="22"/>
          <w:szCs w:val="22"/>
        </w:rPr>
        <w:lastRenderedPageBreak/>
        <w:drawing>
          <wp:inline distT="0" distB="0" distL="0" distR="0" wp14:anchorId="634DCA54" wp14:editId="54DDFF31">
            <wp:extent cx="5572125" cy="4688639"/>
            <wp:effectExtent l="0" t="0" r="0" b="0"/>
            <wp:docPr id="124077855" name="Picture 7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7855" name="Picture 7" descr="A screenshot of a graph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9" r="7371" b="32575"/>
                    <a:stretch/>
                  </pic:blipFill>
                  <pic:spPr bwMode="auto">
                    <a:xfrm>
                      <a:off x="0" y="0"/>
                      <a:ext cx="5594518" cy="4707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504E54" w14:textId="1B2BD0B4" w:rsidR="006A5F46" w:rsidRDefault="006A5F46" w:rsidP="006A5F46">
      <w:pPr>
        <w:pStyle w:val="NormalWeb"/>
        <w:rPr>
          <w:sz w:val="22"/>
          <w:szCs w:val="22"/>
        </w:rPr>
      </w:pPr>
      <w:r w:rsidRPr="008A3506">
        <w:rPr>
          <w:sz w:val="22"/>
          <w:szCs w:val="22"/>
        </w:rPr>
        <w:t>Figure S</w:t>
      </w:r>
      <w:r w:rsidR="00802E46">
        <w:rPr>
          <w:sz w:val="22"/>
          <w:szCs w:val="22"/>
        </w:rPr>
        <w:t>7</w:t>
      </w:r>
      <w:r w:rsidRPr="008A3506">
        <w:rPr>
          <w:sz w:val="22"/>
          <w:szCs w:val="22"/>
        </w:rPr>
        <w:t xml:space="preserve">. </w:t>
      </w:r>
      <w:r>
        <w:rPr>
          <w:sz w:val="22"/>
          <w:szCs w:val="22"/>
        </w:rPr>
        <w:t>Differential counts</w:t>
      </w:r>
      <w:r w:rsidRPr="006A5F46">
        <w:rPr>
          <w:sz w:val="22"/>
          <w:szCs w:val="22"/>
        </w:rPr>
        <w:t xml:space="preserve"> of each cell type </w:t>
      </w:r>
      <w:r w:rsidR="00181B05">
        <w:rPr>
          <w:sz w:val="22"/>
          <w:szCs w:val="22"/>
        </w:rPr>
        <w:t xml:space="preserve">were </w:t>
      </w:r>
      <w:r w:rsidRPr="006A5F46">
        <w:rPr>
          <w:sz w:val="22"/>
          <w:szCs w:val="22"/>
        </w:rPr>
        <w:t>counted in BALF at different time points post-DQ</w:t>
      </w:r>
      <w:r w:rsidRPr="00575F72">
        <w:rPr>
          <w:sz w:val="22"/>
          <w:szCs w:val="22"/>
          <w:vertAlign w:val="subscript"/>
        </w:rPr>
        <w:t>12</w:t>
      </w:r>
      <w:r w:rsidRPr="006A5F46">
        <w:rPr>
          <w:sz w:val="22"/>
          <w:szCs w:val="22"/>
        </w:rPr>
        <w:t xml:space="preserve"> administration in rats. Rats were administered 8 mg/kg of DQ</w:t>
      </w:r>
      <w:r w:rsidRPr="00575F72">
        <w:rPr>
          <w:sz w:val="22"/>
          <w:szCs w:val="22"/>
          <w:vertAlign w:val="subscript"/>
        </w:rPr>
        <w:t>12</w:t>
      </w:r>
      <w:r w:rsidRPr="006A5F46">
        <w:rPr>
          <w:sz w:val="22"/>
          <w:szCs w:val="22"/>
        </w:rPr>
        <w:t xml:space="preserve"> via oropharyngeal aspiration in two doses of 200 µl of dH</w:t>
      </w:r>
      <w:r w:rsidRPr="00575F72">
        <w:rPr>
          <w:sz w:val="22"/>
          <w:szCs w:val="22"/>
          <w:vertAlign w:val="subscript"/>
        </w:rPr>
        <w:t>2</w:t>
      </w:r>
      <w:r w:rsidRPr="006A5F46">
        <w:rPr>
          <w:sz w:val="22"/>
          <w:szCs w:val="22"/>
        </w:rPr>
        <w:t>O, and BALF was collected 24 hours, 3 days, and 7 days post-administration. Control rats received 400 µl of dH</w:t>
      </w:r>
      <w:r w:rsidRPr="00575F72">
        <w:rPr>
          <w:sz w:val="22"/>
          <w:szCs w:val="22"/>
          <w:vertAlign w:val="subscript"/>
        </w:rPr>
        <w:t>2</w:t>
      </w:r>
      <w:r w:rsidRPr="006A5F46">
        <w:rPr>
          <w:sz w:val="22"/>
          <w:szCs w:val="22"/>
        </w:rPr>
        <w:t>O via oropharyngeal aspiration.</w:t>
      </w:r>
    </w:p>
    <w:p w14:paraId="70C4D45D" w14:textId="77777777" w:rsidR="00002774" w:rsidRDefault="00002774" w:rsidP="00002774">
      <w:pPr>
        <w:pStyle w:val="NormalWeb"/>
        <w:keepNext/>
      </w:pPr>
      <w:r w:rsidRPr="00002774">
        <w:rPr>
          <w:noProof/>
          <w:sz w:val="22"/>
          <w:szCs w:val="22"/>
        </w:rPr>
        <w:lastRenderedPageBreak/>
        <w:drawing>
          <wp:inline distT="0" distB="0" distL="0" distR="0" wp14:anchorId="6B09965C" wp14:editId="656E36C5">
            <wp:extent cx="5753100" cy="5156750"/>
            <wp:effectExtent l="0" t="0" r="0" b="0"/>
            <wp:docPr id="1270003011" name="Picture 1" descr="A graph of different types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003011" name="Picture 1" descr="A graph of different types of numbers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6807" cy="517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98839" w14:textId="1A5B8601" w:rsidR="00575F72" w:rsidRDefault="00002774" w:rsidP="00575F72">
      <w:pPr>
        <w:pStyle w:val="NormalWeb"/>
        <w:rPr>
          <w:sz w:val="22"/>
          <w:szCs w:val="22"/>
        </w:rPr>
      </w:pPr>
      <w:r w:rsidRPr="008A3506">
        <w:rPr>
          <w:sz w:val="22"/>
          <w:szCs w:val="22"/>
        </w:rPr>
        <w:t>Figure S</w:t>
      </w:r>
      <w:r w:rsidR="00802E46">
        <w:rPr>
          <w:sz w:val="22"/>
          <w:szCs w:val="22"/>
        </w:rPr>
        <w:t>8</w:t>
      </w:r>
      <w:r w:rsidRPr="008A3506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Gene expression of other IL-8 </w:t>
      </w:r>
      <w:r w:rsidR="00802E46">
        <w:rPr>
          <w:sz w:val="22"/>
          <w:szCs w:val="22"/>
        </w:rPr>
        <w:t>homologs (</w:t>
      </w:r>
      <w:r w:rsidR="00575F72">
        <w:rPr>
          <w:sz w:val="22"/>
          <w:szCs w:val="22"/>
        </w:rPr>
        <w:t>CXCL1,2 and 5-6) and IL-8 receptors (CXCR1-2) at 1, 3 and 7 days post-DQ</w:t>
      </w:r>
      <w:r w:rsidR="00575F72" w:rsidRPr="00575F72">
        <w:rPr>
          <w:sz w:val="22"/>
          <w:szCs w:val="22"/>
          <w:vertAlign w:val="subscript"/>
        </w:rPr>
        <w:t>12</w:t>
      </w:r>
      <w:r w:rsidR="00575F72">
        <w:rPr>
          <w:sz w:val="22"/>
          <w:szCs w:val="22"/>
        </w:rPr>
        <w:t xml:space="preserve"> exposure in rats. </w:t>
      </w:r>
      <w:r w:rsidR="00575F72" w:rsidRPr="006A5F46">
        <w:rPr>
          <w:sz w:val="22"/>
          <w:szCs w:val="22"/>
        </w:rPr>
        <w:t>Rats were administered 8 mg/kg of DQ</w:t>
      </w:r>
      <w:r w:rsidR="00575F72" w:rsidRPr="00575F72">
        <w:rPr>
          <w:sz w:val="22"/>
          <w:szCs w:val="22"/>
          <w:vertAlign w:val="subscript"/>
        </w:rPr>
        <w:t>12</w:t>
      </w:r>
      <w:r w:rsidR="00575F72" w:rsidRPr="006A5F46">
        <w:rPr>
          <w:sz w:val="22"/>
          <w:szCs w:val="22"/>
        </w:rPr>
        <w:t xml:space="preserve"> via oropharyngeal aspiration in two doses of 200 µl of dH</w:t>
      </w:r>
      <w:r w:rsidR="00575F72" w:rsidRPr="00575F72">
        <w:rPr>
          <w:sz w:val="22"/>
          <w:szCs w:val="22"/>
          <w:vertAlign w:val="subscript"/>
        </w:rPr>
        <w:t>2</w:t>
      </w:r>
      <w:r w:rsidR="00575F72" w:rsidRPr="006A5F46">
        <w:rPr>
          <w:sz w:val="22"/>
          <w:szCs w:val="22"/>
        </w:rPr>
        <w:t>O, and BALF was collected 24 hours, 3 days, and 7 days post-administration. Control rats received 400 µl of dH</w:t>
      </w:r>
      <w:r w:rsidR="00575F72" w:rsidRPr="00575F72">
        <w:rPr>
          <w:sz w:val="22"/>
          <w:szCs w:val="22"/>
          <w:vertAlign w:val="subscript"/>
        </w:rPr>
        <w:t>2</w:t>
      </w:r>
      <w:r w:rsidR="00575F72" w:rsidRPr="006A5F46">
        <w:rPr>
          <w:sz w:val="22"/>
          <w:szCs w:val="22"/>
        </w:rPr>
        <w:t>O via oropharyngeal aspiration.</w:t>
      </w:r>
    </w:p>
    <w:p w14:paraId="1B14AE3C" w14:textId="09DE51EA" w:rsidR="00002774" w:rsidRDefault="00002774" w:rsidP="00002774">
      <w:pPr>
        <w:pStyle w:val="NormalWeb"/>
        <w:rPr>
          <w:sz w:val="22"/>
          <w:szCs w:val="22"/>
        </w:rPr>
      </w:pPr>
    </w:p>
    <w:p w14:paraId="4C48B594" w14:textId="77777777" w:rsidR="00057CAD" w:rsidRPr="00057CAD" w:rsidRDefault="00057CAD" w:rsidP="00057CAD"/>
    <w:sectPr w:rsidR="00057CAD" w:rsidRPr="00057CA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80E"/>
    <w:rsid w:val="00002774"/>
    <w:rsid w:val="00033D70"/>
    <w:rsid w:val="00057CAD"/>
    <w:rsid w:val="000B3ACD"/>
    <w:rsid w:val="000B6D3A"/>
    <w:rsid w:val="000E23DD"/>
    <w:rsid w:val="00134659"/>
    <w:rsid w:val="00144D78"/>
    <w:rsid w:val="0017691B"/>
    <w:rsid w:val="00181B05"/>
    <w:rsid w:val="001E1115"/>
    <w:rsid w:val="00213943"/>
    <w:rsid w:val="0022485B"/>
    <w:rsid w:val="0026781E"/>
    <w:rsid w:val="003028F8"/>
    <w:rsid w:val="00311060"/>
    <w:rsid w:val="00376E94"/>
    <w:rsid w:val="003A7F5F"/>
    <w:rsid w:val="003C40DF"/>
    <w:rsid w:val="00486A50"/>
    <w:rsid w:val="00495D2B"/>
    <w:rsid w:val="004C53F9"/>
    <w:rsid w:val="004C613D"/>
    <w:rsid w:val="005056BD"/>
    <w:rsid w:val="00521483"/>
    <w:rsid w:val="00575F72"/>
    <w:rsid w:val="00656095"/>
    <w:rsid w:val="00675C7B"/>
    <w:rsid w:val="00680137"/>
    <w:rsid w:val="006A5F46"/>
    <w:rsid w:val="006D6DDD"/>
    <w:rsid w:val="007572FF"/>
    <w:rsid w:val="0078205B"/>
    <w:rsid w:val="007A1E13"/>
    <w:rsid w:val="007E25B2"/>
    <w:rsid w:val="007F0840"/>
    <w:rsid w:val="00802E46"/>
    <w:rsid w:val="00811227"/>
    <w:rsid w:val="00816E17"/>
    <w:rsid w:val="00873FF1"/>
    <w:rsid w:val="0089259D"/>
    <w:rsid w:val="008A3506"/>
    <w:rsid w:val="008B7F7E"/>
    <w:rsid w:val="008E0524"/>
    <w:rsid w:val="008E10BE"/>
    <w:rsid w:val="008E772C"/>
    <w:rsid w:val="0095180E"/>
    <w:rsid w:val="00954F5E"/>
    <w:rsid w:val="009705C2"/>
    <w:rsid w:val="00986F61"/>
    <w:rsid w:val="00A67BDC"/>
    <w:rsid w:val="00A70400"/>
    <w:rsid w:val="00A80520"/>
    <w:rsid w:val="00AA08B7"/>
    <w:rsid w:val="00B11105"/>
    <w:rsid w:val="00B16C04"/>
    <w:rsid w:val="00B22155"/>
    <w:rsid w:val="00B55BB0"/>
    <w:rsid w:val="00B941D6"/>
    <w:rsid w:val="00BB0AD7"/>
    <w:rsid w:val="00BB7A45"/>
    <w:rsid w:val="00BE0251"/>
    <w:rsid w:val="00C0095D"/>
    <w:rsid w:val="00C1215D"/>
    <w:rsid w:val="00C23425"/>
    <w:rsid w:val="00C24C41"/>
    <w:rsid w:val="00C536B6"/>
    <w:rsid w:val="00CD24A4"/>
    <w:rsid w:val="00CE6199"/>
    <w:rsid w:val="00D30A32"/>
    <w:rsid w:val="00D41494"/>
    <w:rsid w:val="00D445D0"/>
    <w:rsid w:val="00DD2471"/>
    <w:rsid w:val="00E90215"/>
    <w:rsid w:val="00ED7947"/>
    <w:rsid w:val="00F528B3"/>
    <w:rsid w:val="00FB2239"/>
    <w:rsid w:val="00FE082F"/>
    <w:rsid w:val="00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FEB01"/>
  <w15:docId w15:val="{75092AFA-B57B-4D9E-8339-668A08CF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1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8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8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8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8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8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3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67BDC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7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A8F4A.59EAC180" TargetMode="External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7.emf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emf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LONCAREVIC Isidora</dc:creator>
  <cp:keywords/>
  <dc:description/>
  <cp:lastModifiedBy>LONCAREVIC Isidora</cp:lastModifiedBy>
  <cp:revision>2</cp:revision>
  <dcterms:created xsi:type="dcterms:W3CDTF">2026-01-22T15:00:00Z</dcterms:created>
  <dcterms:modified xsi:type="dcterms:W3CDTF">2026-01-22T15:00:00Z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eb4207fd-8656-4936-a060-e7d27a603eb1</vt:lpwstr>
  </property>
</Properties>
</file>