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C7" w:rsidRPr="00233F01" w:rsidRDefault="008B49C7" w:rsidP="008B49C7">
      <w:pPr>
        <w:rPr>
          <w:b/>
          <w:sz w:val="24"/>
        </w:rPr>
      </w:pPr>
      <w:r w:rsidRPr="00233F01">
        <w:rPr>
          <w:b/>
          <w:sz w:val="24"/>
        </w:rPr>
        <w:t>Supplementary Material for:</w:t>
      </w:r>
    </w:p>
    <w:p w:rsidR="008F064B" w:rsidRPr="008F064B" w:rsidRDefault="009C0FAD" w:rsidP="008F064B">
      <w:pPr>
        <w:spacing w:line="276" w:lineRule="auto"/>
        <w:jc w:val="both"/>
        <w:rPr>
          <w:b/>
          <w:sz w:val="28"/>
        </w:rPr>
      </w:pPr>
      <w:r w:rsidRPr="009C0FAD">
        <w:rPr>
          <w:b/>
          <w:sz w:val="28"/>
        </w:rPr>
        <w:t xml:space="preserve">Surface-Driven Endocrine Activity of </w:t>
      </w:r>
      <w:proofErr w:type="spellStart"/>
      <w:r w:rsidRPr="009C0FAD">
        <w:rPr>
          <w:b/>
          <w:sz w:val="28"/>
        </w:rPr>
        <w:t>Nanoplastics</w:t>
      </w:r>
      <w:proofErr w:type="spellEnd"/>
      <w:r w:rsidRPr="009C0FAD">
        <w:rPr>
          <w:b/>
          <w:sz w:val="28"/>
        </w:rPr>
        <w:t>: Polymer- and Size-Dependent Estrogen and Androgen Receptors Modulation without Steroidogenesis Perturbation</w:t>
      </w:r>
      <w:r w:rsidR="008F064B" w:rsidRPr="008F064B">
        <w:rPr>
          <w:b/>
          <w:sz w:val="28"/>
        </w:rPr>
        <w:t xml:space="preserve"> </w:t>
      </w:r>
    </w:p>
    <w:p w:rsidR="008B49C7" w:rsidRPr="005B6C8D" w:rsidRDefault="008B49C7" w:rsidP="008B49C7">
      <w:pPr>
        <w:rPr>
          <w:sz w:val="24"/>
          <w:vertAlign w:val="superscript"/>
        </w:rPr>
      </w:pPr>
      <w:r w:rsidRPr="005B6C8D">
        <w:rPr>
          <w:sz w:val="24"/>
        </w:rPr>
        <w:t>Nikolina Peranić,</w:t>
      </w:r>
      <w:r w:rsidRPr="005B6C8D">
        <w:rPr>
          <w:sz w:val="24"/>
          <w:vertAlign w:val="superscript"/>
        </w:rPr>
        <w:t>a</w:t>
      </w:r>
      <w:r w:rsidRPr="005B6C8D">
        <w:rPr>
          <w:sz w:val="24"/>
        </w:rPr>
        <w:t xml:space="preserve"> </w:t>
      </w:r>
      <w:r>
        <w:rPr>
          <w:sz w:val="24"/>
        </w:rPr>
        <w:t>Lucija Božičević</w:t>
      </w:r>
      <w:r w:rsidRPr="005B6C8D">
        <w:rPr>
          <w:sz w:val="24"/>
        </w:rPr>
        <w:t>,</w:t>
      </w:r>
      <w:r w:rsidRPr="005B6C8D">
        <w:rPr>
          <w:sz w:val="24"/>
          <w:vertAlign w:val="superscript"/>
        </w:rPr>
        <w:t>a</w:t>
      </w:r>
      <w:r w:rsidRPr="005B6C8D">
        <w:rPr>
          <w:sz w:val="24"/>
        </w:rPr>
        <w:t xml:space="preserve"> </w:t>
      </w:r>
      <w:r>
        <w:rPr>
          <w:sz w:val="24"/>
        </w:rPr>
        <w:t>Nikolina Kalčec</w:t>
      </w:r>
      <w:r w:rsidRPr="005B6C8D">
        <w:rPr>
          <w:sz w:val="24"/>
        </w:rPr>
        <w:t>,</w:t>
      </w:r>
      <w:r w:rsidRPr="005B6C8D">
        <w:rPr>
          <w:sz w:val="24"/>
          <w:vertAlign w:val="superscript"/>
        </w:rPr>
        <w:t>a</w:t>
      </w:r>
      <w:r w:rsidRPr="005B6C8D">
        <w:rPr>
          <w:sz w:val="24"/>
        </w:rPr>
        <w:t xml:space="preserve"> Korinna Altmann,</w:t>
      </w:r>
      <w:r w:rsidRPr="005B6C8D">
        <w:rPr>
          <w:sz w:val="24"/>
          <w:vertAlign w:val="superscript"/>
        </w:rPr>
        <w:t>b</w:t>
      </w:r>
      <w:r w:rsidRPr="005B6C8D">
        <w:rPr>
          <w:sz w:val="24"/>
        </w:rPr>
        <w:t xml:space="preserve"> Jana Hildebrandt,</w:t>
      </w:r>
      <w:r w:rsidRPr="005B6C8D">
        <w:rPr>
          <w:sz w:val="24"/>
          <w:vertAlign w:val="superscript"/>
        </w:rPr>
        <w:t>b</w:t>
      </w:r>
      <w:r w:rsidRPr="005B6C8D">
        <w:rPr>
          <w:sz w:val="24"/>
        </w:rPr>
        <w:t xml:space="preserve"> Carlos Cuestas Ayllon,</w:t>
      </w:r>
      <w:r w:rsidRPr="005B6C8D">
        <w:rPr>
          <w:sz w:val="24"/>
          <w:vertAlign w:val="superscript"/>
        </w:rPr>
        <w:t>c</w:t>
      </w:r>
      <w:r w:rsidRPr="005B6C8D">
        <w:rPr>
          <w:sz w:val="24"/>
        </w:rPr>
        <w:t xml:space="preserve"> Raquel Portela,</w:t>
      </w:r>
      <w:r w:rsidRPr="005B6C8D">
        <w:rPr>
          <w:sz w:val="24"/>
          <w:vertAlign w:val="superscript"/>
        </w:rPr>
        <w:t>d</w:t>
      </w:r>
      <w:r w:rsidRPr="005B6C8D">
        <w:rPr>
          <w:sz w:val="24"/>
        </w:rPr>
        <w:t xml:space="preserve"> Jes</w:t>
      </w:r>
      <w:r w:rsidRPr="005B6C8D">
        <w:rPr>
          <w:rFonts w:cstheme="minorHAnsi"/>
          <w:sz w:val="24"/>
        </w:rPr>
        <w:t>ú</w:t>
      </w:r>
      <w:r w:rsidRPr="005B6C8D">
        <w:rPr>
          <w:sz w:val="24"/>
        </w:rPr>
        <w:t>s M de la Fuente,</w:t>
      </w:r>
      <w:r w:rsidRPr="005B6C8D">
        <w:rPr>
          <w:sz w:val="24"/>
          <w:vertAlign w:val="superscript"/>
        </w:rPr>
        <w:t>c</w:t>
      </w:r>
      <w:r w:rsidRPr="005B6C8D">
        <w:rPr>
          <w:sz w:val="24"/>
        </w:rPr>
        <w:t xml:space="preserve"> Miguel A. Ba</w:t>
      </w:r>
      <w:r w:rsidRPr="005B6C8D">
        <w:rPr>
          <w:rFonts w:cstheme="minorHAnsi"/>
          <w:sz w:val="24"/>
        </w:rPr>
        <w:t>ñ</w:t>
      </w:r>
      <w:r w:rsidRPr="005B6C8D">
        <w:rPr>
          <w:sz w:val="24"/>
        </w:rPr>
        <w:t>ares,</w:t>
      </w:r>
      <w:r w:rsidRPr="005B6C8D">
        <w:rPr>
          <w:sz w:val="24"/>
          <w:vertAlign w:val="superscript"/>
        </w:rPr>
        <w:t>d</w:t>
      </w:r>
      <w:r w:rsidRPr="005B6C8D">
        <w:rPr>
          <w:sz w:val="24"/>
        </w:rPr>
        <w:t xml:space="preserve"> Ivana Vinković Vrček</w:t>
      </w:r>
      <w:r w:rsidRPr="005B6C8D">
        <w:rPr>
          <w:sz w:val="24"/>
          <w:vertAlign w:val="superscript"/>
        </w:rPr>
        <w:t xml:space="preserve"> a</w:t>
      </w:r>
      <w:r>
        <w:rPr>
          <w:sz w:val="24"/>
          <w:vertAlign w:val="superscript"/>
        </w:rPr>
        <w:t>,e</w:t>
      </w:r>
    </w:p>
    <w:p w:rsidR="008B49C7" w:rsidRDefault="008B49C7" w:rsidP="008B49C7">
      <w:pPr>
        <w:rPr>
          <w:sz w:val="24"/>
        </w:rPr>
      </w:pPr>
    </w:p>
    <w:p w:rsidR="008B49C7" w:rsidRDefault="008B49C7" w:rsidP="008F064B">
      <w:pPr>
        <w:jc w:val="both"/>
        <w:rPr>
          <w:sz w:val="24"/>
        </w:rPr>
      </w:pPr>
      <w:r>
        <w:rPr>
          <w:sz w:val="24"/>
        </w:rPr>
        <w:t>a Institute for Medical Research and Occupational Health, Ksaverska cesta 2, 10000 Zagreb, Croatia</w:t>
      </w:r>
    </w:p>
    <w:p w:rsidR="008B49C7" w:rsidRDefault="008B49C7" w:rsidP="008F064B">
      <w:pPr>
        <w:jc w:val="both"/>
        <w:rPr>
          <w:sz w:val="24"/>
        </w:rPr>
      </w:pPr>
      <w:r>
        <w:rPr>
          <w:sz w:val="24"/>
        </w:rPr>
        <w:t xml:space="preserve">b </w:t>
      </w:r>
      <w:r w:rsidRPr="005C3731">
        <w:rPr>
          <w:sz w:val="24"/>
        </w:rPr>
        <w:t>Bundesanstalt für Materialforschung und prüfung, Unter den Eichen 87, 12205 Berlin, Germany</w:t>
      </w:r>
    </w:p>
    <w:p w:rsidR="008B49C7" w:rsidRDefault="008B49C7" w:rsidP="008F064B">
      <w:pPr>
        <w:jc w:val="both"/>
        <w:rPr>
          <w:sz w:val="24"/>
        </w:rPr>
      </w:pPr>
      <w:r>
        <w:rPr>
          <w:sz w:val="24"/>
        </w:rPr>
        <w:t xml:space="preserve">c </w:t>
      </w:r>
      <w:r w:rsidR="008F064B" w:rsidRPr="001D206F">
        <w:rPr>
          <w:sz w:val="24"/>
          <w:lang w:val="de-DE"/>
        </w:rPr>
        <w:t>Instituto de Nanociencia y Materiales de Arag</w:t>
      </w:r>
      <w:r w:rsidR="008F064B" w:rsidRPr="001D206F">
        <w:rPr>
          <w:rFonts w:cstheme="minorHAnsi"/>
          <w:sz w:val="24"/>
          <w:lang w:val="de-DE"/>
        </w:rPr>
        <w:t>ó</w:t>
      </w:r>
      <w:r w:rsidR="008F064B" w:rsidRPr="001D206F">
        <w:rPr>
          <w:sz w:val="24"/>
          <w:lang w:val="de-DE"/>
        </w:rPr>
        <w:t>n, CSIC-Universidad de Zaragoza and CIBER-BBN, c/Pedro Cerbuna s/n, 50009 Zaragoza, Spain</w:t>
      </w:r>
    </w:p>
    <w:p w:rsidR="008B49C7" w:rsidRDefault="008B49C7" w:rsidP="008F064B">
      <w:pPr>
        <w:jc w:val="both"/>
        <w:rPr>
          <w:sz w:val="24"/>
        </w:rPr>
      </w:pPr>
      <w:r>
        <w:rPr>
          <w:sz w:val="24"/>
        </w:rPr>
        <w:t xml:space="preserve">d </w:t>
      </w:r>
      <w:r w:rsidRPr="005C3731">
        <w:rPr>
          <w:sz w:val="24"/>
        </w:rPr>
        <w:t>Institute for</w:t>
      </w:r>
      <w:r>
        <w:rPr>
          <w:sz w:val="24"/>
        </w:rPr>
        <w:t xml:space="preserve"> </w:t>
      </w:r>
      <w:r w:rsidRPr="005C3731">
        <w:rPr>
          <w:sz w:val="24"/>
        </w:rPr>
        <w:t>Catalysis and Petrochemistry, CSIC, C. de Marie Curie 2, E 28049, Cantoblanco, Madrid, Spain</w:t>
      </w:r>
    </w:p>
    <w:p w:rsidR="008B49C7" w:rsidRDefault="008B49C7" w:rsidP="008F064B">
      <w:pPr>
        <w:jc w:val="both"/>
        <w:rPr>
          <w:sz w:val="24"/>
        </w:rPr>
      </w:pPr>
      <w:r>
        <w:rPr>
          <w:sz w:val="24"/>
        </w:rPr>
        <w:t xml:space="preserve">e University of Rijeka, </w:t>
      </w:r>
      <w:r w:rsidRPr="0011761A">
        <w:rPr>
          <w:sz w:val="24"/>
        </w:rPr>
        <w:t>Faculty of Medicine, Braće Branchetta 20, Rijeka,</w:t>
      </w:r>
      <w:r>
        <w:rPr>
          <w:sz w:val="24"/>
        </w:rPr>
        <w:t xml:space="preserve"> </w:t>
      </w:r>
      <w:r w:rsidRPr="0011761A">
        <w:rPr>
          <w:sz w:val="24"/>
        </w:rPr>
        <w:t>Croatia</w:t>
      </w:r>
    </w:p>
    <w:p w:rsidR="008B49C7" w:rsidRDefault="008B49C7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502D39" w:rsidRDefault="00502D39" w:rsidP="00502D3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824242E" wp14:editId="1D8CEC54">
            <wp:extent cx="5486400" cy="365760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imka zaslona 2024-08-08 133316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39" w:rsidRDefault="00502D39" w:rsidP="00502D39">
      <w:pPr>
        <w:jc w:val="both"/>
        <w:rPr>
          <w:sz w:val="24"/>
        </w:rPr>
      </w:pPr>
      <w:r w:rsidRPr="000A0551">
        <w:rPr>
          <w:b/>
          <w:sz w:val="24"/>
        </w:rPr>
        <w:t xml:space="preserve">Figure </w:t>
      </w:r>
      <w:r>
        <w:rPr>
          <w:b/>
          <w:sz w:val="24"/>
        </w:rPr>
        <w:t>S1</w:t>
      </w:r>
      <w:r w:rsidRPr="000A0551">
        <w:rPr>
          <w:b/>
          <w:sz w:val="24"/>
        </w:rPr>
        <w:t>.</w:t>
      </w:r>
      <w:r w:rsidRPr="000A0551">
        <w:rPr>
          <w:sz w:val="24"/>
        </w:rPr>
        <w:t xml:space="preserve"> Cell viability for AR-EcoScreen GR KO M1 cell line treated with 10, 5, 1 and 0.1 mg/L of: a) PS50, PS150, PS350, b) PE50, PE350, c) PP50, PP180 and d) PET. Cells treated with 10% DMSO were used as positive control (DMSO) and non-treated cells were used as </w:t>
      </w:r>
      <w:r>
        <w:rPr>
          <w:sz w:val="24"/>
        </w:rPr>
        <w:t>negative</w:t>
      </w:r>
      <w:r w:rsidRPr="000A0551">
        <w:rPr>
          <w:sz w:val="24"/>
        </w:rPr>
        <w:t xml:space="preserve"> control (CTRL). </w:t>
      </w:r>
      <w:r>
        <w:rPr>
          <w:sz w:val="24"/>
        </w:rPr>
        <w:t xml:space="preserve">Results are expressed as mean value of replicates from two experiments and standard deviations are given as error bars. </w:t>
      </w:r>
    </w:p>
    <w:p w:rsidR="00502D39" w:rsidRDefault="00502D39" w:rsidP="00502D39">
      <w:pPr>
        <w:jc w:val="both"/>
        <w:rPr>
          <w:sz w:val="24"/>
        </w:rPr>
      </w:pPr>
    </w:p>
    <w:p w:rsidR="00502D39" w:rsidRPr="000A0551" w:rsidRDefault="00502D39" w:rsidP="00502D39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2490A5F3" wp14:editId="5C3B2CB9">
            <wp:extent cx="5486400" cy="3657600"/>
            <wp:effectExtent l="0" t="0" r="0" b="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AMTS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D39" w:rsidRDefault="00502D39" w:rsidP="00B04794">
      <w:pPr>
        <w:jc w:val="both"/>
        <w:rPr>
          <w:b/>
        </w:rPr>
      </w:pPr>
      <w:r w:rsidRPr="00FC5FB6">
        <w:rPr>
          <w:b/>
          <w:sz w:val="24"/>
        </w:rPr>
        <w:t xml:space="preserve">Figure </w:t>
      </w:r>
      <w:r w:rsidR="00B04794">
        <w:rPr>
          <w:b/>
          <w:sz w:val="24"/>
        </w:rPr>
        <w:t>S2</w:t>
      </w:r>
      <w:r w:rsidRPr="00FC5FB6">
        <w:rPr>
          <w:b/>
          <w:sz w:val="24"/>
        </w:rPr>
        <w:t>.</w:t>
      </w:r>
      <w:r w:rsidRPr="000A0551">
        <w:rPr>
          <w:sz w:val="24"/>
        </w:rPr>
        <w:t xml:space="preserve"> Cell viability for HeLa-9903 cell line treated with 10, 5, 1 and 0.1 mg/L of: a) PS50, PS150, PS350, b) PE50, PE350, c) PP50, PP180 and d) PET. Cells treated with 10% DMSO were used as positive control (DMSO) and non-treated cells were used as </w:t>
      </w:r>
      <w:r>
        <w:rPr>
          <w:sz w:val="24"/>
        </w:rPr>
        <w:t>negative</w:t>
      </w:r>
      <w:r w:rsidRPr="000A0551">
        <w:rPr>
          <w:sz w:val="24"/>
        </w:rPr>
        <w:t xml:space="preserve"> control (CTRL).</w:t>
      </w:r>
      <w:r>
        <w:rPr>
          <w:sz w:val="24"/>
        </w:rPr>
        <w:t xml:space="preserve"> Results are expressed as mean value of replicates from two experiments and standard deviations are given as error bars.</w:t>
      </w:r>
      <w:r w:rsidR="00B04794">
        <w:rPr>
          <w:b/>
        </w:rPr>
        <w:t xml:space="preserve"> </w:t>
      </w:r>
    </w:p>
    <w:p w:rsidR="00502D39" w:rsidRDefault="00502D39" w:rsidP="008B49C7">
      <w:pPr>
        <w:rPr>
          <w:b/>
        </w:rPr>
      </w:pPr>
    </w:p>
    <w:p w:rsidR="00502D39" w:rsidRDefault="00502D39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</w:p>
    <w:p w:rsidR="0061201B" w:rsidRDefault="0061201B" w:rsidP="008B49C7">
      <w:pPr>
        <w:rPr>
          <w:b/>
        </w:rPr>
      </w:pPr>
      <w:r>
        <w:rPr>
          <w:b/>
          <w:noProof/>
        </w:rPr>
        <w:drawing>
          <wp:inline distT="0" distB="0" distL="0" distR="0" wp14:anchorId="0D29913D">
            <wp:extent cx="5487035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01B" w:rsidRPr="000A0551" w:rsidRDefault="0061201B" w:rsidP="0061201B">
      <w:pPr>
        <w:jc w:val="both"/>
        <w:rPr>
          <w:sz w:val="24"/>
        </w:rPr>
      </w:pPr>
      <w:r w:rsidRPr="00FC5FB6">
        <w:rPr>
          <w:b/>
          <w:sz w:val="24"/>
        </w:rPr>
        <w:t xml:space="preserve">Figure </w:t>
      </w:r>
      <w:r>
        <w:rPr>
          <w:b/>
          <w:sz w:val="24"/>
        </w:rPr>
        <w:t>S3</w:t>
      </w:r>
      <w:r w:rsidRPr="00FC5FB6">
        <w:rPr>
          <w:b/>
          <w:sz w:val="24"/>
        </w:rPr>
        <w:t>.</w:t>
      </w:r>
      <w:r w:rsidRPr="000A0551">
        <w:rPr>
          <w:sz w:val="24"/>
        </w:rPr>
        <w:t xml:space="preserve"> Cell viability for AR-EcoScreen GR KO M1 and HeLa-9903 cell line</w:t>
      </w:r>
      <w:r w:rsidR="004C5105">
        <w:rPr>
          <w:sz w:val="24"/>
        </w:rPr>
        <w:t>s</w:t>
      </w:r>
      <w:r w:rsidRPr="000A0551">
        <w:rPr>
          <w:sz w:val="24"/>
        </w:rPr>
        <w:t xml:space="preserve"> treated with: a) 10, 2.5, 1, 0.25 and 0.1 mg/L of PS50, PE50, PP50 and PET, b) 10, 5, 1, 0.5, 0.1 mg/L of PS150 and PP180, c) 10, 5, 1, 0.5, 0.1 mg/L of PS350 and PE350, d) 10, 5, 2.5, 1, 0.5, 0.1 mg/L PS50, P150 and PS350. Mixtures were prepared by combining each nanoparticle type in the same concentration. Cells treated with 10% DMSO were used as positive control (DMSO) and non-treated cells were used as positive control (CTRL).</w:t>
      </w:r>
      <w:r>
        <w:rPr>
          <w:sz w:val="24"/>
        </w:rPr>
        <w:t xml:space="preserve"> Results are expressed as mean value of replicates from two experiments and standard deviations are given as error bars.</w:t>
      </w:r>
    </w:p>
    <w:p w:rsidR="0061201B" w:rsidRDefault="0061201B" w:rsidP="008B49C7">
      <w:pPr>
        <w:rPr>
          <w:b/>
        </w:rPr>
      </w:pPr>
    </w:p>
    <w:p w:rsidR="004C5105" w:rsidRDefault="004C5105" w:rsidP="008B49C7">
      <w:pPr>
        <w:rPr>
          <w:b/>
        </w:rPr>
      </w:pPr>
    </w:p>
    <w:p w:rsidR="004C5105" w:rsidRDefault="004C5105" w:rsidP="008B49C7">
      <w:pPr>
        <w:rPr>
          <w:b/>
        </w:rPr>
      </w:pPr>
    </w:p>
    <w:p w:rsidR="004C5105" w:rsidRDefault="00594B6E" w:rsidP="00A22723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7520913">
            <wp:extent cx="5829300" cy="5543550"/>
            <wp:effectExtent l="0" t="0" r="0" b="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5" cy="554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105" w:rsidRPr="000A0551" w:rsidRDefault="004C5105" w:rsidP="004C5105">
      <w:pPr>
        <w:jc w:val="both"/>
        <w:rPr>
          <w:sz w:val="24"/>
        </w:rPr>
      </w:pPr>
      <w:r w:rsidRPr="00FC5FB6">
        <w:rPr>
          <w:b/>
          <w:sz w:val="24"/>
        </w:rPr>
        <w:t xml:space="preserve">Figure </w:t>
      </w:r>
      <w:r>
        <w:rPr>
          <w:b/>
          <w:sz w:val="24"/>
        </w:rPr>
        <w:t>S4</w:t>
      </w:r>
      <w:r w:rsidRPr="00FC5FB6">
        <w:rPr>
          <w:b/>
          <w:sz w:val="24"/>
        </w:rPr>
        <w:t>.</w:t>
      </w:r>
      <w:r w:rsidRPr="000A0551">
        <w:rPr>
          <w:sz w:val="24"/>
        </w:rPr>
        <w:t xml:space="preserve"> Cell viability for </w:t>
      </w:r>
      <w:r>
        <w:rPr>
          <w:sz w:val="24"/>
        </w:rPr>
        <w:t>NCI-H295R</w:t>
      </w:r>
      <w:r w:rsidRPr="000A0551">
        <w:rPr>
          <w:sz w:val="24"/>
        </w:rPr>
        <w:t xml:space="preserve"> cell line treated with: 10, 5, 1 and 0.1 mg/L of</w:t>
      </w:r>
      <w:r>
        <w:rPr>
          <w:sz w:val="24"/>
        </w:rPr>
        <w:t xml:space="preserve"> a) </w:t>
      </w:r>
      <w:r w:rsidRPr="000A0551">
        <w:rPr>
          <w:sz w:val="24"/>
        </w:rPr>
        <w:t>PS50, PS150, PS350</w:t>
      </w:r>
      <w:r>
        <w:rPr>
          <w:sz w:val="24"/>
        </w:rPr>
        <w:t>;</w:t>
      </w:r>
      <w:r w:rsidRPr="000A0551">
        <w:rPr>
          <w:sz w:val="24"/>
        </w:rPr>
        <w:t xml:space="preserve"> b) PE50, PE350</w:t>
      </w:r>
      <w:r>
        <w:rPr>
          <w:sz w:val="24"/>
        </w:rPr>
        <w:t>;</w:t>
      </w:r>
      <w:r w:rsidRPr="000A0551">
        <w:rPr>
          <w:sz w:val="24"/>
        </w:rPr>
        <w:t xml:space="preserve"> c) PP50, PP180</w:t>
      </w:r>
      <w:r>
        <w:rPr>
          <w:sz w:val="24"/>
        </w:rPr>
        <w:t xml:space="preserve">; </w:t>
      </w:r>
      <w:r w:rsidRPr="000A0551">
        <w:rPr>
          <w:sz w:val="24"/>
        </w:rPr>
        <w:t>d) PET</w:t>
      </w:r>
      <w:r>
        <w:rPr>
          <w:sz w:val="24"/>
        </w:rPr>
        <w:t xml:space="preserve">; e) 10, 1 mg/L of </w:t>
      </w:r>
      <w:r w:rsidRPr="000A0551">
        <w:rPr>
          <w:sz w:val="24"/>
        </w:rPr>
        <w:t>PS50, PE50, PP50 and PET</w:t>
      </w:r>
      <w:r>
        <w:rPr>
          <w:sz w:val="24"/>
        </w:rPr>
        <w:t xml:space="preserve">; </w:t>
      </w:r>
      <w:r w:rsidRPr="000A0551">
        <w:rPr>
          <w:sz w:val="24"/>
        </w:rPr>
        <w:t>10, 1</w:t>
      </w:r>
      <w:r w:rsidR="00DB23FA">
        <w:rPr>
          <w:sz w:val="24"/>
        </w:rPr>
        <w:t xml:space="preserve">, </w:t>
      </w:r>
      <w:r w:rsidRPr="000A0551">
        <w:rPr>
          <w:sz w:val="24"/>
        </w:rPr>
        <w:t>0.</w:t>
      </w:r>
      <w:r w:rsidR="00DB23FA">
        <w:rPr>
          <w:sz w:val="24"/>
        </w:rPr>
        <w:t>5 mg/L</w:t>
      </w:r>
      <w:r w:rsidRPr="000A0551">
        <w:rPr>
          <w:sz w:val="24"/>
        </w:rPr>
        <w:t xml:space="preserve"> of PS150 and PP180</w:t>
      </w:r>
      <w:r w:rsidR="00DB23FA">
        <w:rPr>
          <w:sz w:val="24"/>
        </w:rPr>
        <w:t>;</w:t>
      </w:r>
      <w:r w:rsidRPr="000A0551">
        <w:rPr>
          <w:sz w:val="24"/>
        </w:rPr>
        <w:t xml:space="preserve"> 10, 1, 0.5</w:t>
      </w:r>
      <w:r>
        <w:rPr>
          <w:sz w:val="24"/>
        </w:rPr>
        <w:t xml:space="preserve"> </w:t>
      </w:r>
      <w:r w:rsidRPr="000A0551">
        <w:rPr>
          <w:sz w:val="24"/>
        </w:rPr>
        <w:t>mg/L of PS350 and PE350</w:t>
      </w:r>
      <w:r>
        <w:rPr>
          <w:sz w:val="24"/>
        </w:rPr>
        <w:t xml:space="preserve">. </w:t>
      </w:r>
      <w:r w:rsidRPr="000A0551">
        <w:rPr>
          <w:sz w:val="24"/>
        </w:rPr>
        <w:t>Mixtures were prepared by combining each nanoparticle type in the same concentration. Cells treated with 10% DMSO were used as positive control (DMSO) and non-treated cells were used as positive control (CTRL).</w:t>
      </w:r>
      <w:r>
        <w:rPr>
          <w:sz w:val="24"/>
        </w:rPr>
        <w:t xml:space="preserve"> Results are expressed as mean value of replicates from two experiments and standard deviations are given as error bars.</w:t>
      </w:r>
    </w:p>
    <w:p w:rsidR="004C5105" w:rsidRDefault="004C5105" w:rsidP="008B49C7">
      <w:pPr>
        <w:rPr>
          <w:b/>
        </w:rPr>
      </w:pPr>
    </w:p>
    <w:p w:rsidR="004C5105" w:rsidRDefault="004C5105" w:rsidP="008B49C7">
      <w:pPr>
        <w:rPr>
          <w:b/>
        </w:rPr>
      </w:pPr>
    </w:p>
    <w:p w:rsidR="004C5105" w:rsidRDefault="004C5105" w:rsidP="008B49C7">
      <w:pPr>
        <w:rPr>
          <w:b/>
        </w:rPr>
      </w:pPr>
    </w:p>
    <w:p w:rsidR="004C5105" w:rsidRDefault="004C5105" w:rsidP="008B49C7">
      <w:pPr>
        <w:rPr>
          <w:b/>
        </w:rPr>
      </w:pPr>
    </w:p>
    <w:p w:rsidR="00502D39" w:rsidRDefault="008B49C7" w:rsidP="00502D3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633CDFA">
            <wp:extent cx="5400000" cy="4680000"/>
            <wp:effectExtent l="0" t="0" r="0" b="635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9C7" w:rsidRDefault="008B49C7" w:rsidP="00A54677">
      <w:pPr>
        <w:jc w:val="both"/>
      </w:pPr>
      <w:r>
        <w:rPr>
          <w:b/>
        </w:rPr>
        <w:t>Figure S</w:t>
      </w:r>
      <w:r w:rsidR="004C5105">
        <w:rPr>
          <w:b/>
        </w:rPr>
        <w:t>5</w:t>
      </w:r>
      <w:r>
        <w:rPr>
          <w:b/>
        </w:rPr>
        <w:t xml:space="preserve">. </w:t>
      </w:r>
      <w:r w:rsidR="00A54677">
        <w:t>T</w:t>
      </w:r>
      <w:r>
        <w:t>estosterone concentration in NCI-H295R c</w:t>
      </w:r>
      <w:r w:rsidR="00A54677">
        <w:t xml:space="preserve">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>relative to the negative control</w:t>
      </w:r>
      <w:r w:rsidR="00DF32A2">
        <w:t xml:space="preserve"> </w:t>
      </w:r>
      <w:r w:rsidR="00A54677">
        <w:t>were calculated with one-way ANOVA and Dunnett’s multiple comparisons test in GraphPad Prism.</w:t>
      </w:r>
    </w:p>
    <w:p w:rsidR="00A54677" w:rsidRDefault="00A54677" w:rsidP="00A54677">
      <w:pPr>
        <w:jc w:val="center"/>
      </w:pPr>
      <w:r>
        <w:rPr>
          <w:noProof/>
        </w:rPr>
        <w:drawing>
          <wp:inline distT="0" distB="0" distL="0" distR="0" wp14:anchorId="62927E28">
            <wp:extent cx="5400000" cy="4680000"/>
            <wp:effectExtent l="0" t="0" r="0" b="635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4677" w:rsidRDefault="00A54677" w:rsidP="00A54677">
      <w:pPr>
        <w:jc w:val="both"/>
      </w:pPr>
      <w:r>
        <w:rPr>
          <w:b/>
        </w:rPr>
        <w:t>Figure S</w:t>
      </w:r>
      <w:r w:rsidR="004C5105">
        <w:rPr>
          <w:b/>
        </w:rPr>
        <w:t>6</w:t>
      </w:r>
      <w:r>
        <w:rPr>
          <w:b/>
        </w:rPr>
        <w:t xml:space="preserve">. </w:t>
      </w:r>
      <w:r>
        <w:t xml:space="preserve">Androstenedione concentration in NCI-H295R culture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 xml:space="preserve">relative to the negative control </w:t>
      </w:r>
      <w:r>
        <w:t>were calculated with one-way ANOVA and Dunnett’s multiple comparisons test in GraphPad Prism.</w:t>
      </w:r>
    </w:p>
    <w:p w:rsidR="00A54677" w:rsidRDefault="00A54677" w:rsidP="00A54677">
      <w:pPr>
        <w:jc w:val="center"/>
      </w:pPr>
    </w:p>
    <w:p w:rsidR="00A54677" w:rsidRDefault="00A54677" w:rsidP="00A54677">
      <w:pPr>
        <w:jc w:val="center"/>
      </w:pPr>
      <w:r>
        <w:rPr>
          <w:noProof/>
        </w:rPr>
        <w:drawing>
          <wp:inline distT="0" distB="0" distL="0" distR="0" wp14:anchorId="1CD3BEF9">
            <wp:extent cx="5400000" cy="4680000"/>
            <wp:effectExtent l="0" t="0" r="0" b="635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4677" w:rsidRDefault="00A54677" w:rsidP="00A54677">
      <w:pPr>
        <w:jc w:val="both"/>
      </w:pPr>
      <w:r>
        <w:rPr>
          <w:b/>
        </w:rPr>
        <w:t>Figure S</w:t>
      </w:r>
      <w:r w:rsidR="004C5105">
        <w:rPr>
          <w:b/>
        </w:rPr>
        <w:t>7</w:t>
      </w:r>
      <w:r>
        <w:rPr>
          <w:b/>
        </w:rPr>
        <w:t xml:space="preserve">. </w:t>
      </w:r>
      <w:r>
        <w:t>17-</w:t>
      </w:r>
      <w:r w:rsidR="00F304D8">
        <w:t>OH-Progesterone</w:t>
      </w:r>
      <w:r>
        <w:t xml:space="preserve"> concentration in NCI-H295R culture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 xml:space="preserve">relative to the negative control </w:t>
      </w:r>
      <w:r>
        <w:t>were calculated with one-way ANOVA and Dunnett’s multiple comparisons test in GraphPad Prism.</w:t>
      </w:r>
    </w:p>
    <w:p w:rsidR="00A54677" w:rsidRDefault="00F304D8" w:rsidP="00A54677">
      <w:pPr>
        <w:jc w:val="center"/>
      </w:pPr>
      <w:r>
        <w:rPr>
          <w:noProof/>
        </w:rPr>
        <w:drawing>
          <wp:inline distT="0" distB="0" distL="0" distR="0" wp14:anchorId="099EDF04">
            <wp:extent cx="5400000" cy="4680000"/>
            <wp:effectExtent l="0" t="0" r="0" b="635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4D8" w:rsidRDefault="00F304D8" w:rsidP="00F304D8">
      <w:pPr>
        <w:jc w:val="both"/>
      </w:pPr>
      <w:r>
        <w:rPr>
          <w:b/>
        </w:rPr>
        <w:t>Figure S</w:t>
      </w:r>
      <w:r w:rsidR="004C5105">
        <w:rPr>
          <w:b/>
        </w:rPr>
        <w:t>8</w:t>
      </w:r>
      <w:r>
        <w:rPr>
          <w:b/>
        </w:rPr>
        <w:t xml:space="preserve">. </w:t>
      </w:r>
      <w:r>
        <w:t xml:space="preserve">Progesterone concentration in NCI-H295R culture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 xml:space="preserve">relative to the negative control </w:t>
      </w:r>
      <w:r>
        <w:t>were calculated with one-way ANOVA and Dunnett’s multiple comparisons test in GraphPad Prism.</w:t>
      </w:r>
    </w:p>
    <w:p w:rsidR="00F304D8" w:rsidRDefault="00F304D8" w:rsidP="00F304D8">
      <w:pPr>
        <w:jc w:val="both"/>
      </w:pPr>
    </w:p>
    <w:p w:rsidR="00F304D8" w:rsidRDefault="00F304D8" w:rsidP="00A54677">
      <w:pPr>
        <w:jc w:val="center"/>
      </w:pPr>
      <w:r>
        <w:rPr>
          <w:noProof/>
        </w:rPr>
        <w:drawing>
          <wp:inline distT="0" distB="0" distL="0" distR="0" wp14:anchorId="4D84731A">
            <wp:extent cx="5400000" cy="4680000"/>
            <wp:effectExtent l="0" t="0" r="0" b="635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4D8" w:rsidRDefault="00F304D8" w:rsidP="00F304D8">
      <w:pPr>
        <w:jc w:val="both"/>
      </w:pPr>
      <w:r>
        <w:rPr>
          <w:b/>
        </w:rPr>
        <w:t>Figure S</w:t>
      </w:r>
      <w:r w:rsidR="004C5105">
        <w:rPr>
          <w:b/>
        </w:rPr>
        <w:t>9</w:t>
      </w:r>
      <w:r>
        <w:rPr>
          <w:b/>
        </w:rPr>
        <w:t xml:space="preserve">. </w:t>
      </w:r>
      <w:r>
        <w:t xml:space="preserve">Dehydroepiandrosterone concentration in NCI-H295R culture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 xml:space="preserve">relative to the negative control </w:t>
      </w:r>
      <w:r>
        <w:t>were calculated with one-way ANOVA and Dunnett’s multiple comparisons test in GraphPad Prism.</w:t>
      </w:r>
    </w:p>
    <w:p w:rsidR="00F304D8" w:rsidRDefault="00F304D8" w:rsidP="00F304D8">
      <w:pPr>
        <w:jc w:val="center"/>
      </w:pPr>
      <w:r>
        <w:rPr>
          <w:noProof/>
        </w:rPr>
        <w:drawing>
          <wp:inline distT="0" distB="0" distL="0" distR="0" wp14:anchorId="0D406443">
            <wp:extent cx="5400000" cy="4680000"/>
            <wp:effectExtent l="0" t="0" r="0" b="635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4D8" w:rsidRDefault="00F304D8" w:rsidP="00F304D8">
      <w:pPr>
        <w:jc w:val="both"/>
      </w:pPr>
      <w:r>
        <w:rPr>
          <w:b/>
        </w:rPr>
        <w:t>Figure S</w:t>
      </w:r>
      <w:r w:rsidR="004C5105">
        <w:rPr>
          <w:b/>
        </w:rPr>
        <w:t>10</w:t>
      </w:r>
      <w:r>
        <w:rPr>
          <w:b/>
        </w:rPr>
        <w:t xml:space="preserve">. </w:t>
      </w:r>
      <w:r>
        <w:t xml:space="preserve">Estradiol concentration in NCI-H295R culture media upon exposure to: a) 10, 5, 1 and 0.25 mg/L of PSNP 50 nm, PSNP 150 nm, PSNP 350 nm; b) 10, 5, 1 and 0.25 mg/L PENP 50 nm, PENP 350 nm; c) 10, 5, 1 and 0.25 mg/L PPNP 50 nm, PPNP 180 nm and d) 10, 5, 1, 0.25 mg/L PET, 10 and 1 mg/L MIX50, 10, 1 and 0,5 mg/L MIX150, 10 and 1 mg/L MIX350. Results are expressed as a mean value of triplicates from two individual experiments. Statistically significant changes (* p &lt; 0.05) </w:t>
      </w:r>
      <w:r w:rsidR="00DF32A2">
        <w:t xml:space="preserve">relative to the negative control </w:t>
      </w:r>
      <w:bookmarkStart w:id="0" w:name="_GoBack"/>
      <w:bookmarkEnd w:id="0"/>
      <w:r>
        <w:t>were calculated with one-way ANOVA and Dunnett’s multiple comparisons test in GraphPad Prism.</w:t>
      </w:r>
    </w:p>
    <w:p w:rsidR="00F304D8" w:rsidRPr="008B49C7" w:rsidRDefault="00F304D8" w:rsidP="00A54677">
      <w:pPr>
        <w:jc w:val="center"/>
      </w:pPr>
    </w:p>
    <w:sectPr w:rsidR="00F304D8" w:rsidRPr="008B49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C7"/>
    <w:rsid w:val="004C5105"/>
    <w:rsid w:val="00502D39"/>
    <w:rsid w:val="00594B6E"/>
    <w:rsid w:val="0061201B"/>
    <w:rsid w:val="008B49C7"/>
    <w:rsid w:val="008F064B"/>
    <w:rsid w:val="009C0FAD"/>
    <w:rsid w:val="00A22723"/>
    <w:rsid w:val="00A4232F"/>
    <w:rsid w:val="00A54677"/>
    <w:rsid w:val="00B04794"/>
    <w:rsid w:val="00D9087A"/>
    <w:rsid w:val="00DB23FA"/>
    <w:rsid w:val="00DF32A2"/>
    <w:rsid w:val="00F3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B074"/>
  <w15:chartTrackingRefBased/>
  <w15:docId w15:val="{F6C19028-7421-46CE-9001-5913DF02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9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83BA-84F6-410B-87C8-F424CF34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Peranić</dc:creator>
  <cp:keywords/>
  <dc:description/>
  <cp:lastModifiedBy>Ivana Vinković Vrček</cp:lastModifiedBy>
  <cp:revision>2</cp:revision>
  <dcterms:created xsi:type="dcterms:W3CDTF">2026-04-29T11:22:00Z</dcterms:created>
  <dcterms:modified xsi:type="dcterms:W3CDTF">2026-04-29T11:22:00Z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https://csl.mendeley.com/styles/574374421/elsevier-with-titles</vt:lpwstr>
  </property>
  <property fmtid="{D5CDD505-2E9C-101B-9397-08002B2CF9AE}" pid="13" name="Mendeley Recent Style Name 5_1">
    <vt:lpwstr>Elsevier (numeric, with titles) - Nikolina Kalčec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4th edition (note with bibliography)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</Properties>
</file>