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D0F" w:rsidRPr="00271B6B" w:rsidRDefault="008E5D0F" w:rsidP="003A62D8">
      <w:pPr>
        <w:pStyle w:val="Heading1"/>
      </w:pPr>
      <w:bookmarkStart w:id="0" w:name="_Toc500350488"/>
      <w:r w:rsidRPr="00994D1F">
        <w:t>Appendix A</w:t>
      </w:r>
      <w:bookmarkEnd w:id="0"/>
    </w:p>
    <w:p w:rsidR="00994D1F" w:rsidRPr="008441A1" w:rsidRDefault="00994D1F" w:rsidP="008E5D0F">
      <w:pPr>
        <w:rPr>
          <w:rFonts w:ascii="Calibri" w:hAnsi="Calibri"/>
          <w:sz w:val="22"/>
          <w:szCs w:val="22"/>
          <w:lang w:val="en-GB"/>
        </w:rPr>
        <w:sectPr w:rsidR="00994D1F" w:rsidRPr="008441A1" w:rsidSect="008E5D0F">
          <w:headerReference w:type="even" r:id="rId10"/>
          <w:headerReference w:type="default" r:id="rId11"/>
          <w:footerReference w:type="even" r:id="rId12"/>
          <w:footerReference w:type="default" r:id="rId13"/>
          <w:type w:val="continuous"/>
          <w:pgSz w:w="11907" w:h="16840" w:code="9"/>
          <w:pgMar w:top="1440" w:right="1440" w:bottom="1440" w:left="1440" w:header="709" w:footer="709" w:gutter="0"/>
          <w:pgNumType w:start="0"/>
          <w:cols w:space="708"/>
          <w:titlePg/>
          <w:docGrid w:linePitch="360"/>
        </w:sectPr>
      </w:pPr>
    </w:p>
    <w:p w:rsidR="008E5D0F" w:rsidRPr="008441A1" w:rsidRDefault="008E5D0F" w:rsidP="008E5D0F">
      <w:pPr>
        <w:rPr>
          <w:rFonts w:ascii="Calibri" w:hAnsi="Calibri"/>
          <w:sz w:val="22"/>
          <w:szCs w:val="22"/>
          <w:lang w:val="en-GB"/>
        </w:rPr>
      </w:pPr>
      <w:r w:rsidRPr="008441A1">
        <w:rPr>
          <w:rFonts w:ascii="Calibri" w:hAnsi="Calibri"/>
          <w:sz w:val="22"/>
          <w:szCs w:val="22"/>
          <w:lang w:val="en-GB"/>
        </w:rPr>
        <w:lastRenderedPageBreak/>
        <w:t>Angola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Benin</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Botswana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Burkina Faso</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Burundi</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Cameroon</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Cape Verde</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The Central African Republic (CAR)</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Chad</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Congo, The Republic of (Congo)</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Congo, The Democratic Republic of (DRC)</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Cote d’Ivoire</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Djibouti</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Equatorial Guinea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lastRenderedPageBreak/>
        <w:t>Eritrea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Ethiopia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Gabon</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 xml:space="preserve">Gambia, </w:t>
      </w:r>
      <w:r>
        <w:rPr>
          <w:rFonts w:ascii="Calibri" w:hAnsi="Calibri"/>
          <w:sz w:val="22"/>
          <w:szCs w:val="22"/>
          <w:lang w:val="en-GB"/>
        </w:rPr>
        <w:t>t</w:t>
      </w:r>
      <w:r w:rsidRPr="008441A1">
        <w:rPr>
          <w:rFonts w:ascii="Calibri" w:hAnsi="Calibri"/>
          <w:sz w:val="22"/>
          <w:szCs w:val="22"/>
          <w:lang w:val="en-GB"/>
        </w:rPr>
        <w:t>he</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Ghana,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Guinea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Guinea-Bissau</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Kenya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Lesotho</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Liberia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Madagascar</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Malawi</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Mali</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Mauritania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Mozambique</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Namibia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lastRenderedPageBreak/>
        <w:t>Niger</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Nigeria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Rwanda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Sao Tome and Principe</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Senegal</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Sierra Leone</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Somalia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South Africa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South Sudan</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Sudan</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Swaziland</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Tanzania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Togo</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Uganda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Zambia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Zimbabwe</w:t>
      </w:r>
    </w:p>
    <w:p w:rsidR="008E5D0F" w:rsidRPr="008441A1" w:rsidRDefault="008E5D0F" w:rsidP="008E5D0F">
      <w:pPr>
        <w:rPr>
          <w:rFonts w:ascii="Calibri" w:hAnsi="Calibri"/>
          <w:sz w:val="22"/>
          <w:szCs w:val="22"/>
          <w:lang w:val="en-GB"/>
        </w:rPr>
        <w:sectPr w:rsidR="008E5D0F" w:rsidRPr="008441A1" w:rsidSect="00B748B7">
          <w:type w:val="continuous"/>
          <w:pgSz w:w="11907" w:h="16840" w:code="9"/>
          <w:pgMar w:top="1440" w:right="1440" w:bottom="1440" w:left="1440" w:header="709" w:footer="709" w:gutter="0"/>
          <w:cols w:num="3" w:space="294"/>
          <w:titlePg/>
          <w:docGrid w:linePitch="360"/>
        </w:sectPr>
      </w:pPr>
    </w:p>
    <w:p w:rsidR="008E5D0F" w:rsidRPr="008441A1" w:rsidRDefault="008E5D0F" w:rsidP="008E5D0F">
      <w:pPr>
        <w:rPr>
          <w:rFonts w:ascii="Calibri" w:hAnsi="Calibri"/>
          <w:sz w:val="22"/>
          <w:szCs w:val="22"/>
          <w:lang w:val="en-GB"/>
        </w:rPr>
      </w:pPr>
    </w:p>
    <w:p w:rsidR="008E5D0F" w:rsidRPr="008441A1" w:rsidRDefault="008E5D0F">
      <w:pPr>
        <w:rPr>
          <w:rFonts w:ascii="Calibri" w:hAnsi="Calibri"/>
          <w:sz w:val="22"/>
          <w:szCs w:val="22"/>
          <w:lang w:val="en-GB"/>
        </w:rPr>
      </w:pPr>
      <w:r w:rsidRPr="008441A1">
        <w:rPr>
          <w:rFonts w:ascii="Calibri" w:hAnsi="Calibri"/>
          <w:sz w:val="22"/>
          <w:szCs w:val="22"/>
          <w:lang w:val="en-GB"/>
        </w:rPr>
        <w:t>List of African countries ex</w:t>
      </w:r>
      <w:r w:rsidR="002F1B24">
        <w:rPr>
          <w:rFonts w:ascii="Calibri" w:hAnsi="Calibri"/>
          <w:sz w:val="22"/>
          <w:szCs w:val="22"/>
          <w:lang w:val="en-GB"/>
        </w:rPr>
        <w:t>cluded</w:t>
      </w:r>
      <w:r w:rsidRPr="008441A1">
        <w:rPr>
          <w:rFonts w:ascii="Calibri" w:hAnsi="Calibri"/>
          <w:sz w:val="22"/>
          <w:szCs w:val="22"/>
          <w:lang w:val="en-GB"/>
        </w:rPr>
        <w:t>:</w:t>
      </w:r>
    </w:p>
    <w:p w:rsidR="008E5D0F" w:rsidRPr="008441A1" w:rsidRDefault="008E5D0F" w:rsidP="008E5D0F">
      <w:pPr>
        <w:rPr>
          <w:rFonts w:ascii="Calibri" w:hAnsi="Calibri"/>
          <w:sz w:val="22"/>
          <w:szCs w:val="22"/>
          <w:lang w:val="en-GB"/>
        </w:rPr>
      </w:pPr>
    </w:p>
    <w:p w:rsidR="008E5D0F" w:rsidRPr="008441A1" w:rsidRDefault="008E5D0F" w:rsidP="008E5D0F">
      <w:pPr>
        <w:rPr>
          <w:rFonts w:ascii="Calibri" w:hAnsi="Calibri"/>
          <w:sz w:val="22"/>
          <w:szCs w:val="22"/>
          <w:lang w:val="en-GB"/>
        </w:rPr>
        <w:sectPr w:rsidR="008E5D0F" w:rsidRPr="008441A1" w:rsidSect="00B67EB5">
          <w:type w:val="continuous"/>
          <w:pgSz w:w="11907" w:h="16840" w:code="9"/>
          <w:pgMar w:top="1440" w:right="1440" w:bottom="1440" w:left="1440" w:header="709" w:footer="709" w:gutter="0"/>
          <w:cols w:space="708"/>
          <w:titlePg/>
          <w:docGrid w:linePitch="360"/>
        </w:sectPr>
      </w:pPr>
    </w:p>
    <w:p w:rsidR="008E5D0F" w:rsidRPr="008441A1" w:rsidRDefault="008E5D0F" w:rsidP="008E5D0F">
      <w:pPr>
        <w:rPr>
          <w:rFonts w:ascii="Calibri" w:hAnsi="Calibri"/>
          <w:sz w:val="22"/>
          <w:szCs w:val="22"/>
          <w:lang w:val="en-GB"/>
        </w:rPr>
      </w:pPr>
      <w:r w:rsidRPr="008441A1">
        <w:rPr>
          <w:rFonts w:ascii="Calibri" w:hAnsi="Calibri"/>
          <w:sz w:val="22"/>
          <w:szCs w:val="22"/>
          <w:lang w:val="en-GB"/>
        </w:rPr>
        <w:lastRenderedPageBreak/>
        <w:t>Algeria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Comoros</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Egypt</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lastRenderedPageBreak/>
        <w:t>Libya</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Mauritius</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Morocco</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lastRenderedPageBreak/>
        <w:t>Seychelles</w:t>
      </w:r>
    </w:p>
    <w:p w:rsidR="008E5D0F" w:rsidRPr="008441A1" w:rsidRDefault="008E5D0F" w:rsidP="008E5D0F">
      <w:pPr>
        <w:rPr>
          <w:rFonts w:ascii="Calibri" w:hAnsi="Calibri"/>
          <w:sz w:val="22"/>
          <w:szCs w:val="22"/>
          <w:lang w:val="en-GB"/>
        </w:rPr>
      </w:pPr>
      <w:r w:rsidRPr="008441A1">
        <w:rPr>
          <w:rFonts w:ascii="Calibri" w:hAnsi="Calibri"/>
          <w:sz w:val="22"/>
          <w:szCs w:val="22"/>
          <w:lang w:val="en-GB"/>
        </w:rPr>
        <w:t>Tunisia</w:t>
      </w:r>
    </w:p>
    <w:p w:rsidR="008E5D0F" w:rsidRPr="008441A1" w:rsidRDefault="008E5D0F" w:rsidP="008E5D0F">
      <w:pPr>
        <w:pStyle w:val="Heading3"/>
        <w:rPr>
          <w:sz w:val="22"/>
        </w:rPr>
        <w:sectPr w:rsidR="008E5D0F" w:rsidRPr="008441A1" w:rsidSect="00B67EB5">
          <w:type w:val="continuous"/>
          <w:pgSz w:w="11907" w:h="16840" w:code="9"/>
          <w:pgMar w:top="1440" w:right="1440" w:bottom="1440" w:left="1440" w:header="709" w:footer="709" w:gutter="0"/>
          <w:cols w:num="3" w:space="708"/>
          <w:titlePg/>
          <w:docGrid w:linePitch="360"/>
        </w:sectPr>
      </w:pPr>
    </w:p>
    <w:p w:rsidR="008E5D0F" w:rsidRPr="000C2785" w:rsidRDefault="008E5D0F" w:rsidP="003A62D8">
      <w:pPr>
        <w:pStyle w:val="Heading1"/>
      </w:pPr>
      <w:bookmarkStart w:id="1" w:name="_Toc500350489"/>
      <w:r w:rsidRPr="000C2785">
        <w:lastRenderedPageBreak/>
        <w:t>Appendix B.1</w:t>
      </w:r>
      <w:bookmarkEnd w:id="1"/>
    </w:p>
    <w:p w:rsidR="008E5D0F" w:rsidRPr="008441A1" w:rsidRDefault="008E5D0F" w:rsidP="008E5D0F">
      <w:pPr>
        <w:jc w:val="both"/>
        <w:rPr>
          <w:rFonts w:ascii="Calibri" w:hAnsi="Calibri"/>
          <w:sz w:val="22"/>
          <w:szCs w:val="22"/>
          <w:lang w:val="en-GB"/>
        </w:rPr>
      </w:pP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Alliance for Health Systems and Policy Research (AHSPR), Switzerland</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Canadian Institute of Health Research (CIHR), Canada</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Canadian International Development Agency (CIDA), Canada</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The Christian Medical Association of Malawi (CHAM), Malawi</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Council on Health Research for Development (COHRED), Switzerland</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French Agency for Research on AIDS and Viral Hepatitis (ANRS), France</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Ford Foundation, United States of America</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Gesellschaft für Internationale Zusammenarbeit (GIZ), Germany</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 xml:space="preserve">Institut national de la santé et de la recherché </w:t>
      </w:r>
      <w:proofErr w:type="spellStart"/>
      <w:r w:rsidRPr="008441A1">
        <w:rPr>
          <w:rFonts w:ascii="Calibri" w:hAnsi="Calibri"/>
          <w:sz w:val="22"/>
          <w:szCs w:val="22"/>
          <w:lang w:val="en-GB"/>
        </w:rPr>
        <w:t>médicale</w:t>
      </w:r>
      <w:proofErr w:type="spellEnd"/>
      <w:r w:rsidRPr="008441A1">
        <w:rPr>
          <w:rFonts w:ascii="Calibri" w:hAnsi="Calibri"/>
          <w:sz w:val="22"/>
          <w:szCs w:val="22"/>
          <w:lang w:val="en-GB"/>
        </w:rPr>
        <w:t xml:space="preserve"> (</w:t>
      </w:r>
      <w:r w:rsidR="00544213">
        <w:rPr>
          <w:rFonts w:ascii="Calibri" w:hAnsi="Calibri"/>
          <w:sz w:val="22"/>
          <w:szCs w:val="22"/>
          <w:lang w:val="en-GB"/>
        </w:rPr>
        <w:t>INSERM</w:t>
      </w:r>
      <w:r w:rsidRPr="008441A1">
        <w:rPr>
          <w:rFonts w:ascii="Calibri" w:hAnsi="Calibri"/>
          <w:sz w:val="22"/>
          <w:szCs w:val="22"/>
          <w:lang w:val="en-GB"/>
        </w:rPr>
        <w:t>), France</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Japan International Cooperation Agency (JICA), Japan</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National Research Foundation (NRF), South Africa</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OPEC Fund for International Development (OFID), Austria</w:t>
      </w:r>
    </w:p>
    <w:p w:rsidR="008E5D0F" w:rsidRPr="008441A1"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South Africa Medical Research Council (SAMRC), South Africa</w:t>
      </w:r>
    </w:p>
    <w:p w:rsidR="008E5D0F" w:rsidRDefault="008E5D0F" w:rsidP="008E5D0F">
      <w:pPr>
        <w:pStyle w:val="ListParagraph"/>
        <w:numPr>
          <w:ilvl w:val="0"/>
          <w:numId w:val="31"/>
        </w:numPr>
        <w:jc w:val="both"/>
        <w:rPr>
          <w:rFonts w:ascii="Calibri" w:hAnsi="Calibri"/>
          <w:sz w:val="22"/>
          <w:szCs w:val="22"/>
          <w:lang w:val="en-GB"/>
        </w:rPr>
      </w:pPr>
      <w:r w:rsidRPr="008441A1">
        <w:rPr>
          <w:rFonts w:ascii="Calibri" w:hAnsi="Calibri"/>
          <w:sz w:val="22"/>
          <w:szCs w:val="22"/>
          <w:lang w:val="en-GB"/>
        </w:rPr>
        <w:t>Spanish Agency for International Development Cooperation (AECID), Spain</w:t>
      </w:r>
    </w:p>
    <w:p w:rsidR="005A6706" w:rsidRPr="008441A1" w:rsidRDefault="005A6706" w:rsidP="005A6706">
      <w:pPr>
        <w:pStyle w:val="ListParagraph"/>
        <w:jc w:val="both"/>
        <w:rPr>
          <w:rFonts w:ascii="Calibri" w:hAnsi="Calibri"/>
          <w:sz w:val="22"/>
          <w:szCs w:val="22"/>
          <w:lang w:val="en-GB"/>
        </w:rPr>
      </w:pPr>
    </w:p>
    <w:p w:rsidR="008E5D0F" w:rsidRPr="000C2785" w:rsidRDefault="008E5D0F" w:rsidP="003A62D8">
      <w:pPr>
        <w:pStyle w:val="Heading1"/>
      </w:pPr>
      <w:bookmarkStart w:id="2" w:name="_Toc500350490"/>
      <w:r w:rsidRPr="000C2785">
        <w:lastRenderedPageBreak/>
        <w:t>Appendix B.2</w:t>
      </w:r>
      <w:bookmarkEnd w:id="2"/>
    </w:p>
    <w:p w:rsidR="008E5D0F" w:rsidRPr="008441A1" w:rsidRDefault="008E5D0F" w:rsidP="008E5D0F">
      <w:pPr>
        <w:jc w:val="both"/>
        <w:rPr>
          <w:rFonts w:ascii="Calibri" w:hAnsi="Calibri"/>
          <w:sz w:val="22"/>
          <w:szCs w:val="22"/>
          <w:lang w:val="en-GB"/>
        </w:rPr>
      </w:pPr>
    </w:p>
    <w:tbl>
      <w:tblPr>
        <w:tblStyle w:val="TableGrid"/>
        <w:tblW w:w="0" w:type="auto"/>
        <w:tblLook w:val="04A0" w:firstRow="1" w:lastRow="0" w:firstColumn="1" w:lastColumn="0" w:noHBand="0" w:noVBand="1"/>
      </w:tblPr>
      <w:tblGrid>
        <w:gridCol w:w="2409"/>
        <w:gridCol w:w="2445"/>
        <w:gridCol w:w="2767"/>
        <w:gridCol w:w="1622"/>
      </w:tblGrid>
      <w:tr w:rsidR="008E5D0F" w:rsidRPr="008441A1" w:rsidTr="00E12334">
        <w:trPr>
          <w:tblHeader/>
        </w:trPr>
        <w:tc>
          <w:tcPr>
            <w:tcW w:w="2409"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Funder name</w:t>
            </w:r>
          </w:p>
        </w:tc>
        <w:tc>
          <w:tcPr>
            <w:tcW w:w="2445"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Programme name</w:t>
            </w:r>
          </w:p>
        </w:tc>
        <w:tc>
          <w:tcPr>
            <w:tcW w:w="2767"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Notes</w:t>
            </w:r>
          </w:p>
        </w:tc>
        <w:tc>
          <w:tcPr>
            <w:tcW w:w="1622" w:type="dxa"/>
            <w:shd w:val="clear" w:color="auto" w:fill="BDD6EE" w:themeFill="accent5" w:themeFillTint="66"/>
            <w:vAlign w:val="center"/>
          </w:tcPr>
          <w:p w:rsidR="008E5D0F" w:rsidRPr="008441A1" w:rsidRDefault="008E5D0F" w:rsidP="00E12334">
            <w:pPr>
              <w:spacing w:before="40" w:after="40"/>
              <w:jc w:val="center"/>
              <w:rPr>
                <w:rFonts w:ascii="Calibri" w:hAnsi="Calibri"/>
                <w:sz w:val="18"/>
                <w:szCs w:val="18"/>
                <w:lang w:val="en-GB"/>
              </w:rPr>
            </w:pPr>
            <w:r w:rsidRPr="008441A1">
              <w:rPr>
                <w:rFonts w:ascii="Calibri" w:hAnsi="Calibri"/>
                <w:sz w:val="18"/>
                <w:szCs w:val="18"/>
                <w:lang w:val="en-GB"/>
              </w:rPr>
              <w:t>Master’s grantees, PhD grantees, or 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Aga Khan Development Network (AKDN), Switzerland</w:t>
            </w:r>
            <w:r w:rsidRPr="008441A1">
              <w:rPr>
                <w:rStyle w:val="FootnoteReference"/>
                <w:rFonts w:ascii="Calibri" w:hAnsi="Calibri"/>
                <w:sz w:val="20"/>
                <w:szCs w:val="20"/>
                <w:lang w:val="en-GB"/>
              </w:rPr>
              <w:footnoteReference w:id="1"/>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The International Scholarship Programme</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Supports Kenyans, Tanzanians, Ugandans, Malagasy and Mozambicans</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African Network for Scientific and Technological Institutions (ANSTI), Kenya</w:t>
            </w:r>
            <w:r w:rsidRPr="008441A1">
              <w:rPr>
                <w:rStyle w:val="FootnoteReference"/>
                <w:rFonts w:ascii="Calibri" w:hAnsi="Calibri"/>
                <w:sz w:val="20"/>
                <w:szCs w:val="20"/>
                <w:lang w:val="en-GB"/>
              </w:rPr>
              <w:footnoteReference w:id="2"/>
            </w:r>
          </w:p>
        </w:tc>
        <w:tc>
          <w:tcPr>
            <w:tcW w:w="2445"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DAAD Postgraduate Training Fellowship</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Awarded yearly for training in STEM</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Carnegie Corporation, United States of America</w:t>
            </w:r>
            <w:r w:rsidRPr="008441A1">
              <w:rPr>
                <w:rStyle w:val="FootnoteReference"/>
                <w:rFonts w:ascii="Calibri" w:hAnsi="Calibri"/>
                <w:sz w:val="20"/>
                <w:szCs w:val="20"/>
                <w:lang w:val="en-GB"/>
              </w:rPr>
              <w:footnoteReference w:id="3"/>
            </w:r>
            <w:r w:rsidRPr="008441A1">
              <w:rPr>
                <w:rFonts w:ascii="Calibri" w:hAnsi="Calibri"/>
                <w:sz w:val="20"/>
                <w:szCs w:val="20"/>
                <w:vertAlign w:val="superscript"/>
                <w:lang w:val="en-GB"/>
              </w:rPr>
              <w:t xml:space="preserve"> </w:t>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Regional Initiative in Science and Education (RISE)</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Established in 2008 to support university-based, research and teaching networks</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PhD</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The Department for International Development (DFID), the New Partnership for Africa’s Development (NEPAD) and the Wellcome Trust</w:t>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Developing Excellence in Leadership Training and Science Africa (DELTAS)</w:t>
            </w:r>
            <w:r w:rsidRPr="008441A1">
              <w:rPr>
                <w:rStyle w:val="FootnoteReference"/>
                <w:rFonts w:ascii="Calibri" w:hAnsi="Calibri"/>
                <w:sz w:val="20"/>
                <w:szCs w:val="20"/>
                <w:lang w:val="en-GB"/>
              </w:rPr>
              <w:footnoteReference w:id="4"/>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Administered through the Alliance for Accelerating Excellence in Science in Africa (AESA)</w:t>
            </w:r>
            <w:r w:rsidRPr="008441A1">
              <w:rPr>
                <w:rStyle w:val="FootnoteReference"/>
                <w:rFonts w:ascii="Calibri" w:hAnsi="Calibri"/>
                <w:sz w:val="20"/>
                <w:szCs w:val="20"/>
                <w:lang w:val="en-GB"/>
              </w:rPr>
              <w:t xml:space="preserve"> </w:t>
            </w:r>
            <w:r w:rsidRPr="008441A1">
              <w:rPr>
                <w:rStyle w:val="FootnoteReference"/>
                <w:rFonts w:ascii="Calibri" w:hAnsi="Calibri"/>
                <w:sz w:val="20"/>
                <w:szCs w:val="20"/>
                <w:lang w:val="en-GB"/>
              </w:rPr>
              <w:footnoteReference w:id="5"/>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11 DELTAS consortia spread across research institutions in sub-Saharan Africa</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Graca Machel Trust, South Africa</w:t>
            </w:r>
            <w:r w:rsidRPr="008441A1">
              <w:rPr>
                <w:rStyle w:val="FootnoteReference"/>
                <w:rFonts w:ascii="Calibri" w:hAnsi="Calibri"/>
                <w:sz w:val="20"/>
                <w:szCs w:val="20"/>
                <w:lang w:val="en-GB"/>
              </w:rPr>
              <w:footnoteReference w:id="6"/>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Graca Machel Scholarship Programme</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Scholarships for southern African women</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Grantees may elect to study health research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International Development Research Centre (IDRC), Canada</w:t>
            </w:r>
            <w:r w:rsidRPr="008441A1">
              <w:rPr>
                <w:rStyle w:val="FootnoteReference"/>
                <w:rFonts w:ascii="Calibri" w:hAnsi="Calibri"/>
                <w:sz w:val="20"/>
                <w:szCs w:val="20"/>
                <w:lang w:val="en-GB"/>
              </w:rPr>
              <w:footnoteReference w:id="7"/>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Food, Environment and Health program</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Aims to improve health and build healthier food systems</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Prioritizes the prevention of food-related non-communicable diseases</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1206"/>
        </w:trPr>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Margaret McNamara Education Grant (MMEG), United States of America</w:t>
            </w:r>
            <w:r w:rsidRPr="008441A1">
              <w:rPr>
                <w:rStyle w:val="FootnoteReference"/>
                <w:rFonts w:ascii="Calibri" w:hAnsi="Calibri"/>
                <w:sz w:val="20"/>
                <w:szCs w:val="20"/>
                <w:lang w:val="en-GB"/>
              </w:rPr>
              <w:footnoteReference w:id="8"/>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The African Program</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Scholarships for women</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Grantees may elect to study health research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283"/>
        </w:trPr>
        <w:tc>
          <w:tcPr>
            <w:tcW w:w="2409" w:type="dxa"/>
            <w:vAlign w:val="center"/>
          </w:tcPr>
          <w:p w:rsidR="008E5D0F" w:rsidRPr="008441A1" w:rsidRDefault="008E5D0F" w:rsidP="00E12334">
            <w:pPr>
              <w:pageBreakBefore/>
              <w:spacing w:before="40" w:after="40"/>
              <w:rPr>
                <w:rFonts w:ascii="Calibri" w:hAnsi="Calibri"/>
                <w:sz w:val="20"/>
                <w:szCs w:val="20"/>
                <w:lang w:val="en-GB"/>
              </w:rPr>
            </w:pPr>
            <w:r w:rsidRPr="008441A1">
              <w:rPr>
                <w:rFonts w:ascii="Calibri" w:hAnsi="Calibri"/>
                <w:sz w:val="20"/>
                <w:szCs w:val="20"/>
                <w:lang w:val="en-GB"/>
              </w:rPr>
              <w:lastRenderedPageBreak/>
              <w:t>National Institute of Health (NIH), United States of America</w:t>
            </w:r>
          </w:p>
        </w:tc>
        <w:tc>
          <w:tcPr>
            <w:tcW w:w="2445" w:type="dxa"/>
            <w:vAlign w:val="center"/>
          </w:tcPr>
          <w:p w:rsidR="008E5D0F" w:rsidRPr="008441A1" w:rsidRDefault="008E5D0F" w:rsidP="00E12334">
            <w:pPr>
              <w:pageBreakBefore/>
              <w:spacing w:before="40" w:after="40"/>
              <w:rPr>
                <w:rFonts w:ascii="Calibri" w:hAnsi="Calibri"/>
                <w:sz w:val="20"/>
                <w:szCs w:val="20"/>
                <w:lang w:val="en-GB"/>
              </w:rPr>
            </w:pPr>
            <w:r w:rsidRPr="008441A1">
              <w:rPr>
                <w:rFonts w:ascii="Calibri" w:hAnsi="Calibri"/>
                <w:sz w:val="20"/>
                <w:szCs w:val="20"/>
                <w:lang w:val="en-GB"/>
              </w:rPr>
              <w:t>Unknown</w:t>
            </w:r>
          </w:p>
        </w:tc>
        <w:tc>
          <w:tcPr>
            <w:tcW w:w="2767" w:type="dxa"/>
            <w:vAlign w:val="center"/>
          </w:tcPr>
          <w:p w:rsidR="008E5D0F" w:rsidRPr="008441A1" w:rsidRDefault="008E5D0F" w:rsidP="00E12334">
            <w:pPr>
              <w:pageBreakBefore/>
              <w:spacing w:before="40" w:after="40"/>
              <w:rPr>
                <w:rFonts w:ascii="Calibri" w:hAnsi="Calibri"/>
                <w:sz w:val="20"/>
                <w:szCs w:val="20"/>
                <w:lang w:val="en-GB"/>
              </w:rPr>
            </w:pPr>
            <w:r w:rsidRPr="008441A1">
              <w:rPr>
                <w:rFonts w:ascii="Calibri" w:hAnsi="Calibri"/>
                <w:sz w:val="20"/>
                <w:szCs w:val="20"/>
                <w:lang w:val="en-GB"/>
              </w:rPr>
              <w:t>From World RePORT, NIH is known to indirectly support postgraduate grantees.</w:t>
            </w:r>
          </w:p>
        </w:tc>
        <w:tc>
          <w:tcPr>
            <w:tcW w:w="1622" w:type="dxa"/>
            <w:vAlign w:val="center"/>
          </w:tcPr>
          <w:p w:rsidR="008E5D0F" w:rsidRPr="008441A1" w:rsidRDefault="008E5D0F" w:rsidP="00E12334">
            <w:pPr>
              <w:pageBreakBefore/>
              <w:spacing w:before="40" w:after="40"/>
              <w:jc w:val="center"/>
              <w:rPr>
                <w:rFonts w:ascii="Calibri" w:hAnsi="Calibri"/>
                <w:sz w:val="20"/>
                <w:szCs w:val="20"/>
                <w:lang w:val="en-GB"/>
              </w:rPr>
            </w:pPr>
            <w:r w:rsidRPr="008441A1">
              <w:rPr>
                <w:rFonts w:ascii="Calibri" w:hAnsi="Calibri"/>
                <w:sz w:val="20"/>
                <w:szCs w:val="20"/>
                <w:lang w:val="en-GB"/>
              </w:rPr>
              <w:t>Unknown</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NIH and the Wellcome Trust</w:t>
            </w:r>
          </w:p>
        </w:tc>
        <w:tc>
          <w:tcPr>
            <w:tcW w:w="2445"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Human Heredity and Health in Africa (H3Africa)</w:t>
            </w:r>
            <w:r w:rsidRPr="008441A1">
              <w:rPr>
                <w:rStyle w:val="FootnoteReference"/>
                <w:rFonts w:ascii="Calibri" w:hAnsi="Calibri"/>
                <w:sz w:val="20"/>
                <w:szCs w:val="20"/>
                <w:lang w:val="en-GB"/>
              </w:rPr>
              <w:footnoteReference w:id="9"/>
            </w:r>
          </w:p>
          <w:p w:rsidR="008E5D0F" w:rsidRPr="008441A1" w:rsidRDefault="008E5D0F" w:rsidP="00E12334">
            <w:pPr>
              <w:spacing w:before="40" w:after="40"/>
              <w:rPr>
                <w:rFonts w:ascii="Calibri" w:hAnsi="Calibri"/>
                <w:sz w:val="20"/>
                <w:szCs w:val="20"/>
                <w:lang w:val="en-GB"/>
              </w:rPr>
            </w:pP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Administered through the Alliance for Accelerating Excellence in Science in Africa (AESA)</w:t>
            </w:r>
            <w:r w:rsidRPr="008441A1">
              <w:rPr>
                <w:rStyle w:val="FootnoteReference"/>
                <w:rFonts w:ascii="Calibri" w:hAnsi="Calibri"/>
                <w:sz w:val="20"/>
                <w:szCs w:val="20"/>
                <w:lang w:val="en-GB"/>
              </w:rPr>
              <w:t xml:space="preserve"> </w:t>
            </w:r>
            <w:r w:rsidRPr="008441A1">
              <w:rPr>
                <w:rStyle w:val="FootnoteReference"/>
                <w:rFonts w:ascii="Calibri" w:hAnsi="Calibri"/>
                <w:sz w:val="20"/>
                <w:szCs w:val="20"/>
                <w:lang w:val="en-GB"/>
              </w:rPr>
              <w:footnoteReference w:id="10"/>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Seeks to build capacity in genomics research in Africa</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Newton Fund</w:t>
            </w:r>
            <w:r w:rsidRPr="008441A1">
              <w:rPr>
                <w:rStyle w:val="FootnoteReference"/>
                <w:rFonts w:ascii="Calibri" w:hAnsi="Calibri"/>
                <w:sz w:val="20"/>
                <w:szCs w:val="20"/>
                <w:lang w:val="en-GB"/>
              </w:rPr>
              <w:footnoteReference w:id="11"/>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pStyle w:val="FootnoteText"/>
              <w:spacing w:before="40" w:after="40"/>
              <w:rPr>
                <w:rFonts w:ascii="Calibri" w:hAnsi="Calibri"/>
                <w:sz w:val="20"/>
                <w:szCs w:val="20"/>
                <w:lang w:val="en-GB"/>
              </w:rPr>
            </w:pPr>
            <w:r w:rsidRPr="008441A1">
              <w:rPr>
                <w:rFonts w:ascii="Calibri" w:hAnsi="Calibri"/>
                <w:sz w:val="20"/>
                <w:szCs w:val="20"/>
                <w:lang w:val="en-GB"/>
              </w:rPr>
              <w:t xml:space="preserve">Unknown </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Newton Fund does provide PhD placements in their research calls.</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In the Newton Fund South Africa, there are five current health related programmes and most grantees are South African.</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899"/>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Netherlands Organisation for Scientific Research (NWO), Netherlands</w:t>
            </w:r>
            <w:r w:rsidRPr="008441A1">
              <w:rPr>
                <w:rStyle w:val="FootnoteReference"/>
                <w:rFonts w:ascii="Calibri" w:hAnsi="Calibri"/>
                <w:sz w:val="20"/>
                <w:szCs w:val="20"/>
                <w:lang w:val="en-GB"/>
              </w:rPr>
              <w:footnoteReference w:id="12"/>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NWO-WOTRO Science for Global Development programmes</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Global Health Policy and Health Systems research programme, finishing in 2017</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Schlumberger Foundation, United States of America</w:t>
            </w:r>
            <w:r w:rsidRPr="008441A1">
              <w:rPr>
                <w:rStyle w:val="FootnoteReference"/>
                <w:rFonts w:ascii="Calibri" w:hAnsi="Calibri"/>
                <w:sz w:val="20"/>
                <w:szCs w:val="20"/>
                <w:lang w:val="en-GB"/>
              </w:rPr>
              <w:footnoteReference w:id="13"/>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Faculty for the Future programme</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Scholarships for women in STEM</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Special Programme of Research, Development and Research Training in Human Reproduction (HRP), Switzerland</w:t>
            </w:r>
            <w:r w:rsidRPr="008441A1">
              <w:rPr>
                <w:rStyle w:val="FootnoteReference"/>
                <w:rFonts w:ascii="Calibri" w:hAnsi="Calibri"/>
                <w:sz w:val="20"/>
                <w:szCs w:val="20"/>
                <w:lang w:val="en-GB"/>
              </w:rPr>
              <w:footnoteReference w:id="14"/>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Unknown</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Supports individuals from LMICs to develop a critical mass of researchers in sexual and reproductive health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Unknown</w:t>
            </w:r>
          </w:p>
        </w:tc>
      </w:tr>
      <w:tr w:rsidR="008E5D0F" w:rsidRPr="008441A1" w:rsidTr="00E12334">
        <w:trPr>
          <w:trHeight w:val="283"/>
        </w:trPr>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World Bank, United States of America</w:t>
            </w:r>
            <w:r w:rsidRPr="008441A1">
              <w:rPr>
                <w:rStyle w:val="FootnoteReference"/>
                <w:rFonts w:ascii="Calibri" w:hAnsi="Calibri"/>
                <w:sz w:val="20"/>
                <w:szCs w:val="20"/>
                <w:lang w:val="en-GB"/>
              </w:rPr>
              <w:footnoteReference w:id="15"/>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The First Phase of the African Centres of Excellence (ACE1)</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Finances competitively-chosen institutions in the region</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Nine institutions specializing in health, located in Ghana, Nigeria, Ethiopia, Malawi, Tanzania, Uganda and Zambia </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Unknown</w:t>
            </w:r>
          </w:p>
        </w:tc>
      </w:tr>
    </w:tbl>
    <w:p w:rsidR="008E5D0F" w:rsidRPr="008441A1" w:rsidRDefault="008E5D0F" w:rsidP="008E5D0F">
      <w:pPr>
        <w:pStyle w:val="Heading2"/>
        <w:rPr>
          <w:rFonts w:ascii="Times New Roman" w:hAnsi="Times New Roman"/>
        </w:rPr>
      </w:pPr>
    </w:p>
    <w:p w:rsidR="008E5D0F" w:rsidRPr="008441A1" w:rsidRDefault="008E5D0F" w:rsidP="008E5D0F">
      <w:pPr>
        <w:rPr>
          <w:rFonts w:eastAsiaTheme="majorEastAsia"/>
          <w:b/>
          <w:color w:val="000000" w:themeColor="text1"/>
          <w:sz w:val="26"/>
          <w:szCs w:val="26"/>
          <w:lang w:val="en-GB"/>
        </w:rPr>
      </w:pPr>
    </w:p>
    <w:p w:rsidR="00271B6B" w:rsidRPr="00271B6B" w:rsidRDefault="008E5D0F" w:rsidP="003A62D8">
      <w:pPr>
        <w:pStyle w:val="Heading1"/>
      </w:pPr>
      <w:bookmarkStart w:id="3" w:name="_Toc500350491"/>
      <w:r w:rsidRPr="000C2785">
        <w:lastRenderedPageBreak/>
        <w:t>Appendix B.3</w:t>
      </w:r>
      <w:bookmarkEnd w:id="3"/>
    </w:p>
    <w:tbl>
      <w:tblPr>
        <w:tblStyle w:val="TableGrid"/>
        <w:tblW w:w="0" w:type="auto"/>
        <w:tblLook w:val="04A0" w:firstRow="1" w:lastRow="0" w:firstColumn="1" w:lastColumn="0" w:noHBand="0" w:noVBand="1"/>
      </w:tblPr>
      <w:tblGrid>
        <w:gridCol w:w="2409"/>
        <w:gridCol w:w="2445"/>
        <w:gridCol w:w="2767"/>
        <w:gridCol w:w="1622"/>
      </w:tblGrid>
      <w:tr w:rsidR="008E5D0F" w:rsidRPr="008441A1" w:rsidTr="00E12334">
        <w:trPr>
          <w:tblHeader/>
        </w:trPr>
        <w:tc>
          <w:tcPr>
            <w:tcW w:w="2409"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Funder name</w:t>
            </w:r>
          </w:p>
        </w:tc>
        <w:tc>
          <w:tcPr>
            <w:tcW w:w="2445"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Programme name</w:t>
            </w:r>
          </w:p>
        </w:tc>
        <w:tc>
          <w:tcPr>
            <w:tcW w:w="2767"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Details</w:t>
            </w:r>
          </w:p>
        </w:tc>
        <w:tc>
          <w:tcPr>
            <w:tcW w:w="1622" w:type="dxa"/>
            <w:shd w:val="clear" w:color="auto" w:fill="BDD6EE" w:themeFill="accent5" w:themeFillTint="66"/>
            <w:vAlign w:val="center"/>
          </w:tcPr>
          <w:p w:rsidR="008E5D0F" w:rsidRPr="008441A1" w:rsidRDefault="008E5D0F" w:rsidP="00E12334">
            <w:pPr>
              <w:spacing w:before="40" w:after="40"/>
              <w:jc w:val="center"/>
              <w:rPr>
                <w:rFonts w:ascii="Calibri" w:hAnsi="Calibri"/>
                <w:sz w:val="18"/>
                <w:szCs w:val="18"/>
                <w:lang w:val="en-GB"/>
              </w:rPr>
            </w:pPr>
            <w:r w:rsidRPr="008441A1">
              <w:rPr>
                <w:rFonts w:ascii="Calibri" w:hAnsi="Calibri"/>
                <w:sz w:val="18"/>
                <w:szCs w:val="18"/>
                <w:lang w:val="en-GB"/>
              </w:rPr>
              <w:t>Master’s grantees, PhD grantees, or 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African Population and Health Research Centre (APHRC), Kenya</w:t>
            </w:r>
            <w:r w:rsidRPr="008441A1">
              <w:rPr>
                <w:rStyle w:val="FootnoteReference"/>
                <w:rFonts w:ascii="Calibri" w:hAnsi="Calibri"/>
                <w:sz w:val="20"/>
                <w:szCs w:val="20"/>
                <w:lang w:val="en-GB"/>
              </w:rPr>
              <w:footnoteReference w:id="16"/>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The African Doctoral Dissertation Research Fellowship (ADDRF)</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Doctoral and postdoctoral fellowships jointly supported by APHRC and IDRC</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PhD</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Association for Commonwealth Universities, United Kingdom</w:t>
            </w:r>
            <w:r w:rsidRPr="008441A1">
              <w:rPr>
                <w:rStyle w:val="FootnoteReference"/>
                <w:rFonts w:ascii="Calibri" w:hAnsi="Calibri"/>
                <w:sz w:val="20"/>
                <w:szCs w:val="20"/>
                <w:lang w:val="en-GB"/>
              </w:rPr>
              <w:footnoteReference w:id="17"/>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Commonwealth Scholarships in low and middle income countries</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Researchers from Commonwealth LMICs are eligible</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Grantees may elect to study health research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Master’s</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Beit Trust, United Kingdom</w:t>
            </w:r>
            <w:r w:rsidRPr="008441A1">
              <w:rPr>
                <w:rStyle w:val="FootnoteReference"/>
                <w:rFonts w:ascii="Calibri" w:hAnsi="Calibri"/>
                <w:sz w:val="20"/>
                <w:szCs w:val="20"/>
                <w:lang w:val="en-GB"/>
              </w:rPr>
              <w:footnoteReference w:id="18"/>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Beit Trust Postgraduate Scholarships </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Researchers from Malawi, Zambia or Zimbabwe</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Institutions in the UK or South Africa</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Grantees may elect to study health research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Carnegie Corporation, United States of America</w:t>
            </w:r>
            <w:r w:rsidRPr="008441A1">
              <w:rPr>
                <w:rStyle w:val="FootnoteReference"/>
                <w:rFonts w:ascii="Calibri" w:hAnsi="Calibri"/>
                <w:sz w:val="20"/>
                <w:szCs w:val="20"/>
                <w:lang w:val="en-GB"/>
              </w:rPr>
              <w:footnoteReference w:id="19"/>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Bilateral partnerships</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Partnerships with the University of Cape Town and the University of the Witwatersrand</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PhD</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Carnegie Corporation, the British Council, the Swedish International Development Cooperation Agency, the MacArthur Foundation, the Wellcome Trust, the Ford Foundation, the University of Gothenburg, and Google</w:t>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Consortium for Advanced Research Training in Africa (CARTA), Kenya</w:t>
            </w:r>
            <w:r w:rsidRPr="008441A1">
              <w:rPr>
                <w:rStyle w:val="FootnoteReference"/>
                <w:rFonts w:ascii="Calibri" w:hAnsi="Calibri"/>
                <w:sz w:val="20"/>
                <w:szCs w:val="20"/>
                <w:lang w:val="en-GB"/>
              </w:rPr>
              <w:footnoteReference w:id="20"/>
            </w:r>
          </w:p>
          <w:p w:rsidR="008E5D0F" w:rsidRPr="008441A1" w:rsidRDefault="008E5D0F" w:rsidP="00E12334">
            <w:pPr>
              <w:spacing w:before="40" w:after="40"/>
              <w:rPr>
                <w:rFonts w:ascii="Calibri" w:hAnsi="Calibri"/>
                <w:sz w:val="20"/>
                <w:szCs w:val="20"/>
                <w:lang w:val="en-GB"/>
              </w:rPr>
            </w:pPr>
          </w:p>
          <w:p w:rsidR="008E5D0F" w:rsidRPr="008441A1" w:rsidRDefault="008E5D0F" w:rsidP="00E12334">
            <w:pPr>
              <w:spacing w:before="40" w:after="40"/>
              <w:rPr>
                <w:rFonts w:ascii="Calibri" w:hAnsi="Calibri"/>
                <w:sz w:val="20"/>
                <w:szCs w:val="20"/>
                <w:lang w:val="en-GB"/>
              </w:rPr>
            </w:pP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Administered through the APHRC</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Seven cohorts of fellows since 2008</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PhD</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Centre for Disease Control (CDC), United States of America</w:t>
            </w:r>
            <w:r w:rsidRPr="008441A1">
              <w:rPr>
                <w:rStyle w:val="FootnoteReference"/>
                <w:rFonts w:ascii="Calibri" w:hAnsi="Calibri"/>
                <w:sz w:val="20"/>
                <w:szCs w:val="20"/>
                <w:lang w:val="en-GB"/>
              </w:rPr>
              <w:footnoteReference w:id="21"/>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Bilateral partnership</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Partnership with the Faculty of Medicine at Universite Agohstino Neto (ended 2015)</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10 researchers funded per year for Master’s in Public Health or Field Epidemiology and Laboratorial Training</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Master’s</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European Union, Belgium</w:t>
            </w:r>
            <w:r w:rsidRPr="008441A1">
              <w:rPr>
                <w:rStyle w:val="FootnoteReference"/>
                <w:rFonts w:ascii="Calibri" w:hAnsi="Calibri"/>
                <w:sz w:val="20"/>
                <w:szCs w:val="20"/>
                <w:lang w:val="en-GB"/>
              </w:rPr>
              <w:footnoteReference w:id="22"/>
            </w:r>
            <w:r w:rsidRPr="008441A1">
              <w:rPr>
                <w:rFonts w:ascii="Calibri" w:hAnsi="Calibri"/>
                <w:sz w:val="20"/>
                <w:szCs w:val="20"/>
                <w:vertAlign w:val="superscript"/>
                <w:lang w:val="en-GB"/>
              </w:rPr>
              <w:t>,</w:t>
            </w:r>
            <w:r w:rsidRPr="008441A1">
              <w:rPr>
                <w:rStyle w:val="FootnoteReference"/>
                <w:rFonts w:ascii="Calibri" w:hAnsi="Calibri"/>
                <w:sz w:val="20"/>
                <w:szCs w:val="20"/>
                <w:lang w:val="en-GB"/>
              </w:rPr>
              <w:footnoteReference w:id="23"/>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lastRenderedPageBreak/>
              <w:t>7</w:t>
            </w:r>
            <w:r w:rsidRPr="008441A1">
              <w:rPr>
                <w:rFonts w:ascii="Calibri" w:hAnsi="Calibri"/>
                <w:sz w:val="20"/>
                <w:szCs w:val="20"/>
                <w:vertAlign w:val="superscript"/>
                <w:lang w:val="en-GB"/>
              </w:rPr>
              <w:t>th</w:t>
            </w:r>
            <w:r w:rsidRPr="008441A1">
              <w:rPr>
                <w:rFonts w:ascii="Calibri" w:hAnsi="Calibri"/>
                <w:sz w:val="20"/>
                <w:szCs w:val="20"/>
                <w:lang w:val="en-GB"/>
              </w:rPr>
              <w:t xml:space="preserve"> Framework Programme for Research and </w:t>
            </w:r>
            <w:r w:rsidRPr="008441A1">
              <w:rPr>
                <w:rFonts w:ascii="Calibri" w:hAnsi="Calibri"/>
                <w:sz w:val="20"/>
                <w:szCs w:val="20"/>
                <w:lang w:val="en-GB"/>
              </w:rPr>
              <w:lastRenderedPageBreak/>
              <w:t>Technological Development (FP7)</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lastRenderedPageBreak/>
              <w:t>Active 2007 to 2013</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Grants research projects in </w:t>
            </w:r>
            <w:r w:rsidRPr="008441A1">
              <w:rPr>
                <w:rFonts w:ascii="Calibri" w:hAnsi="Calibri"/>
                <w:sz w:val="20"/>
                <w:szCs w:val="20"/>
                <w:lang w:val="en-GB"/>
              </w:rPr>
              <w:lastRenderedPageBreak/>
              <w:t>Europe and beyond</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lastRenderedPageBreak/>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Horizon 2020</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Active 2014 to 2020</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Grants research projects in Europe and beyond</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European &amp; Developing Countries Clinical Trials Partnership (EDCTP), Netherlands</w:t>
            </w:r>
            <w:r w:rsidRPr="008441A1">
              <w:rPr>
                <w:rStyle w:val="FootnoteReference"/>
                <w:rFonts w:ascii="Calibri" w:hAnsi="Calibri"/>
                <w:sz w:val="20"/>
                <w:szCs w:val="20"/>
                <w:lang w:val="en-GB"/>
              </w:rPr>
              <w:footnoteReference w:id="24"/>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EDCTP1</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Active 2003 to 2013</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Funded through the European Commission’s FP6 programme</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Funds clinical trials, capacity building and networking projects in Europe and Africa</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The EU provided around half of the budget for EDCTP1</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German Academic Exchange Service (DAAD), Germany</w:t>
            </w:r>
            <w:r w:rsidRPr="008441A1">
              <w:rPr>
                <w:rStyle w:val="FootnoteReference"/>
                <w:rFonts w:ascii="Calibri" w:hAnsi="Calibri"/>
                <w:sz w:val="20"/>
                <w:szCs w:val="20"/>
                <w:lang w:val="en-GB"/>
              </w:rPr>
              <w:footnoteReference w:id="25"/>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Unknown</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The DAAD Regional Office for Africa funds a series of health postgraduate programmes for sub-Saharan Africans at institutions in the region</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Master’s</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GlaxoSmithKline (GSK), United Kingdom</w:t>
            </w:r>
            <w:r w:rsidRPr="008441A1">
              <w:rPr>
                <w:rStyle w:val="FootnoteReference"/>
                <w:rFonts w:ascii="Calibri" w:hAnsi="Calibri"/>
                <w:sz w:val="20"/>
                <w:szCs w:val="20"/>
                <w:lang w:val="en-GB"/>
              </w:rPr>
              <w:footnoteReference w:id="26"/>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Africa Academic Investment programme</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Structured within GSK’s Global Health Programmes division</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Institut Pasteur, France</w:t>
            </w:r>
            <w:r w:rsidRPr="008441A1">
              <w:rPr>
                <w:rStyle w:val="FootnoteReference"/>
                <w:rFonts w:ascii="Calibri" w:hAnsi="Calibri"/>
                <w:sz w:val="20"/>
                <w:szCs w:val="20"/>
                <w:lang w:val="en-GB"/>
              </w:rPr>
              <w:footnoteReference w:id="27"/>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Calmette &amp; Yersin programme</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Provides funding for the completion of a doctoral thesis within the Institut Pasteur International Network</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Grantee may focus on infectious diseases or public health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PhD</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International Development Research Centre (IDRC), Canada</w:t>
            </w:r>
            <w:r w:rsidRPr="008441A1">
              <w:rPr>
                <w:rStyle w:val="FootnoteReference"/>
                <w:rFonts w:ascii="Calibri" w:hAnsi="Calibri"/>
                <w:sz w:val="20"/>
                <w:szCs w:val="20"/>
                <w:lang w:val="en-GB"/>
              </w:rPr>
              <w:footnoteReference w:id="28"/>
            </w:r>
          </w:p>
          <w:p w:rsidR="008E5D0F" w:rsidRPr="008441A1" w:rsidRDefault="008E5D0F" w:rsidP="00E12334">
            <w:pPr>
              <w:spacing w:before="40" w:after="40"/>
              <w:rPr>
                <w:rFonts w:ascii="Calibri" w:hAnsi="Calibri"/>
                <w:sz w:val="20"/>
                <w:szCs w:val="20"/>
                <w:lang w:val="en-GB"/>
              </w:rPr>
            </w:pP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Maternal and Child Health programme</w:t>
            </w:r>
            <w:r w:rsidRPr="008441A1">
              <w:rPr>
                <w:rStyle w:val="FootnoteReference"/>
                <w:rFonts w:ascii="Calibri" w:hAnsi="Calibri"/>
                <w:sz w:val="20"/>
                <w:szCs w:val="20"/>
                <w:lang w:val="en-GB"/>
              </w:rPr>
              <w:footnoteReference w:id="29"/>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Projects are related to health information systems and adolescent sexual and reproductive health and rights Focus is in West Africa, and the Middle East and North Africa regions</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vertAlign w:val="superscript"/>
                <w:lang w:val="en-GB"/>
              </w:rPr>
            </w:pPr>
            <w:r w:rsidRPr="008441A1">
              <w:rPr>
                <w:rFonts w:ascii="Calibri" w:hAnsi="Calibri"/>
                <w:sz w:val="20"/>
                <w:szCs w:val="20"/>
                <w:lang w:val="en-GB"/>
              </w:rPr>
              <w:t xml:space="preserve">L'Institut de Recherche pour le Développement </w:t>
            </w:r>
            <w:r w:rsidRPr="008441A1">
              <w:rPr>
                <w:rFonts w:ascii="Calibri" w:hAnsi="Calibri"/>
                <w:sz w:val="20"/>
                <w:szCs w:val="20"/>
                <w:lang w:val="en-GB"/>
              </w:rPr>
              <w:lastRenderedPageBreak/>
              <w:t>(IRD), France</w:t>
            </w:r>
            <w:r w:rsidRPr="008441A1">
              <w:rPr>
                <w:rStyle w:val="FootnoteReference"/>
                <w:rFonts w:ascii="Calibri" w:hAnsi="Calibri"/>
                <w:sz w:val="20"/>
                <w:szCs w:val="20"/>
                <w:lang w:val="en-GB"/>
              </w:rPr>
              <w:footnoteReference w:id="30"/>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lastRenderedPageBreak/>
              <w:t xml:space="preserve">Allocations de Rercherche pour une Thèse au Sud </w:t>
            </w:r>
            <w:r w:rsidRPr="008441A1">
              <w:rPr>
                <w:rFonts w:ascii="Calibri" w:hAnsi="Calibri"/>
                <w:sz w:val="20"/>
                <w:szCs w:val="20"/>
                <w:lang w:val="en-GB"/>
              </w:rPr>
              <w:lastRenderedPageBreak/>
              <w:t>(ARTS)</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lastRenderedPageBreak/>
              <w:t>Aims to strengthen health research capacity in LMICs</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PhD</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lastRenderedPageBreak/>
              <w:t>Mandela Rhodes Foundation (MRF), South Africa</w:t>
            </w:r>
            <w:r w:rsidRPr="008441A1">
              <w:rPr>
                <w:rStyle w:val="FootnoteReference"/>
                <w:rFonts w:ascii="Calibri" w:hAnsi="Calibri"/>
                <w:sz w:val="20"/>
                <w:szCs w:val="20"/>
                <w:lang w:val="en-GB"/>
              </w:rPr>
              <w:footnoteReference w:id="31"/>
            </w: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MRF Scholarship Programme</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Scholarship and leadership development program for studies at institutions in South Africa</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Grantees may elect to study health research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Master’s</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Medical Research Council (MRC UK), United Kingdom</w:t>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MRC Unit</w:t>
            </w:r>
            <w:r>
              <w:rPr>
                <w:rFonts w:ascii="Calibri" w:hAnsi="Calibri"/>
                <w:sz w:val="20"/>
                <w:szCs w:val="20"/>
                <w:lang w:val="en-GB"/>
              </w:rPr>
              <w:t>, t</w:t>
            </w:r>
            <w:r w:rsidRPr="008441A1">
              <w:rPr>
                <w:rFonts w:ascii="Calibri" w:hAnsi="Calibri"/>
                <w:sz w:val="20"/>
                <w:szCs w:val="20"/>
                <w:lang w:val="en-GB"/>
              </w:rPr>
              <w:t>he Gambia</w:t>
            </w:r>
            <w:r w:rsidRPr="008441A1">
              <w:rPr>
                <w:rStyle w:val="FootnoteReference"/>
                <w:rFonts w:ascii="Calibri" w:hAnsi="Calibri"/>
                <w:sz w:val="20"/>
                <w:szCs w:val="20"/>
                <w:lang w:val="en-GB"/>
              </w:rPr>
              <w:footnoteReference w:id="32"/>
            </w:r>
          </w:p>
          <w:p w:rsidR="008E5D0F" w:rsidRPr="008441A1" w:rsidRDefault="008E5D0F" w:rsidP="00E12334">
            <w:pPr>
              <w:spacing w:before="40" w:after="40"/>
              <w:rPr>
                <w:rFonts w:ascii="Calibri" w:hAnsi="Calibri"/>
                <w:sz w:val="20"/>
                <w:szCs w:val="20"/>
                <w:lang w:val="en-GB"/>
              </w:rPr>
            </w:pP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Aims to build critical mass in sub-Saharan African health research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MRC Uganda</w:t>
            </w:r>
            <w:r w:rsidRPr="008441A1">
              <w:rPr>
                <w:rStyle w:val="FootnoteReference"/>
                <w:rFonts w:ascii="Calibri" w:hAnsi="Calibri"/>
                <w:sz w:val="20"/>
                <w:szCs w:val="20"/>
                <w:lang w:val="en-GB"/>
              </w:rPr>
              <w:footnoteReference w:id="33"/>
            </w:r>
          </w:p>
          <w:p w:rsidR="008E5D0F" w:rsidRPr="008441A1" w:rsidRDefault="008E5D0F" w:rsidP="00E12334">
            <w:pPr>
              <w:spacing w:before="40" w:after="40"/>
              <w:rPr>
                <w:rFonts w:ascii="Calibri" w:hAnsi="Calibri"/>
                <w:sz w:val="20"/>
                <w:szCs w:val="20"/>
                <w:lang w:val="en-GB"/>
              </w:rPr>
            </w:pP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Aims to build critical mass in sub-Saharan African health research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PhD</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Norwegian Agency for Development Cooperation (Norad), Norway</w:t>
            </w:r>
            <w:r w:rsidRPr="008441A1">
              <w:rPr>
                <w:rStyle w:val="FootnoteReference"/>
                <w:rFonts w:ascii="Calibri" w:hAnsi="Calibri"/>
                <w:sz w:val="20"/>
                <w:szCs w:val="20"/>
                <w:lang w:val="en-GB"/>
              </w:rPr>
              <w:footnoteReference w:id="34"/>
            </w:r>
          </w:p>
          <w:p w:rsidR="008E5D0F" w:rsidRPr="008441A1" w:rsidRDefault="008E5D0F" w:rsidP="00E12334">
            <w:pPr>
              <w:pStyle w:val="NoSpacing"/>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Norwegian Programme for Capacity Development in Higher Education and Research for Development (NORHED)</w:t>
            </w:r>
            <w:r w:rsidRPr="008441A1">
              <w:rPr>
                <w:rStyle w:val="FootnoteReference"/>
                <w:rFonts w:ascii="Calibri" w:hAnsi="Calibri"/>
                <w:sz w:val="20"/>
                <w:szCs w:val="20"/>
                <w:lang w:val="en-GB"/>
              </w:rPr>
              <w:footnoteReference w:id="35"/>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Aims to strengthen the capacity of LMIC higher education institutions to be able to educate more and better graduates and to produce more and better research (by own researchers)</w:t>
            </w:r>
          </w:p>
          <w:p w:rsidR="008E5D0F" w:rsidRPr="008441A1" w:rsidRDefault="008E5D0F" w:rsidP="00E12334">
            <w:pPr>
              <w:pStyle w:val="NoSpacing"/>
              <w:spacing w:before="40" w:after="40"/>
              <w:rPr>
                <w:rFonts w:ascii="Calibri" w:hAnsi="Calibri"/>
                <w:sz w:val="20"/>
                <w:szCs w:val="20"/>
                <w:lang w:val="en-GB"/>
              </w:rPr>
            </w:pPr>
            <w:r w:rsidRPr="008441A1">
              <w:rPr>
                <w:rFonts w:ascii="Calibri" w:hAnsi="Calibri"/>
                <w:sz w:val="20"/>
                <w:szCs w:val="20"/>
                <w:lang w:val="en-GB"/>
              </w:rPr>
              <w:t xml:space="preserve">Ten programmes run through the </w:t>
            </w:r>
            <w:r w:rsidRPr="008441A1">
              <w:rPr>
                <w:rFonts w:ascii="Calibri" w:hAnsi="Calibri"/>
                <w:sz w:val="20"/>
                <w:szCs w:val="20"/>
                <w:shd w:val="clear" w:color="auto" w:fill="FFFFFF"/>
                <w:lang w:val="en-GB"/>
              </w:rPr>
              <w:t>Section for Research, Innovation and Higher Education at the Department for Climate, Energy, Environment and Research</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Special Programme for Research and Training in Tropical Diseases (TDR), Switzerland</w:t>
            </w:r>
          </w:p>
        </w:tc>
        <w:tc>
          <w:tcPr>
            <w:tcW w:w="2445" w:type="dxa"/>
            <w:vAlign w:val="center"/>
          </w:tcPr>
          <w:p w:rsidR="008E5D0F" w:rsidRPr="008441A1" w:rsidRDefault="008E5D0F" w:rsidP="00E12334">
            <w:pPr>
              <w:pStyle w:val="NoSpacing"/>
              <w:spacing w:before="40" w:after="40"/>
              <w:rPr>
                <w:rFonts w:ascii="Calibri" w:hAnsi="Calibri"/>
                <w:sz w:val="20"/>
                <w:szCs w:val="20"/>
                <w:lang w:val="en-GB"/>
              </w:rPr>
            </w:pPr>
            <w:r w:rsidRPr="008441A1">
              <w:rPr>
                <w:rFonts w:ascii="Calibri" w:hAnsi="Calibri"/>
                <w:sz w:val="20"/>
                <w:szCs w:val="20"/>
                <w:lang w:val="en-GB"/>
              </w:rPr>
              <w:t>TDR Postgraduate Training Scheme</w:t>
            </w:r>
            <w:r w:rsidRPr="008441A1">
              <w:rPr>
                <w:rStyle w:val="FootnoteReference"/>
                <w:rFonts w:ascii="Calibri" w:hAnsi="Calibri"/>
                <w:sz w:val="20"/>
                <w:szCs w:val="20"/>
                <w:lang w:val="en-GB"/>
              </w:rPr>
              <w:footnoteReference w:id="36"/>
            </w:r>
          </w:p>
          <w:p w:rsidR="008E5D0F" w:rsidRPr="008441A1" w:rsidRDefault="008E5D0F" w:rsidP="00E12334">
            <w:pPr>
              <w:pStyle w:val="NoSpacing"/>
              <w:spacing w:before="40" w:after="40"/>
              <w:rPr>
                <w:rFonts w:ascii="Calibri" w:hAnsi="Calibri"/>
                <w:sz w:val="20"/>
                <w:szCs w:val="20"/>
                <w:lang w:val="en-GB"/>
              </w:rPr>
            </w:pP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Postgraduate degrees in implementation research at seven institutions worldwide</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pStyle w:val="NoSpacing"/>
              <w:spacing w:before="40" w:after="40"/>
              <w:rPr>
                <w:rFonts w:ascii="Calibri" w:hAnsi="Calibri"/>
                <w:sz w:val="20"/>
                <w:szCs w:val="20"/>
                <w:lang w:val="en-GB"/>
              </w:rPr>
            </w:pPr>
            <w:r w:rsidRPr="008441A1">
              <w:rPr>
                <w:rFonts w:ascii="Calibri" w:hAnsi="Calibri"/>
                <w:sz w:val="20"/>
                <w:szCs w:val="20"/>
                <w:lang w:val="en-GB"/>
              </w:rPr>
              <w:t>Population Health Vulnerabilities to Vector Borne Diseases programme</w:t>
            </w:r>
            <w:r w:rsidRPr="008441A1">
              <w:rPr>
                <w:rStyle w:val="FootnoteReference"/>
                <w:rFonts w:ascii="Calibri" w:hAnsi="Calibri"/>
                <w:sz w:val="20"/>
                <w:szCs w:val="20"/>
                <w:lang w:val="en-GB"/>
              </w:rPr>
              <w:footnoteReference w:id="37"/>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Joint IDRC and TDR initiative</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Supports five projects on health, vectors and climate change in the region </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Swedish International Development Cooperation Agency (Sida), Sweden</w:t>
            </w:r>
            <w:r w:rsidRPr="008441A1">
              <w:rPr>
                <w:rStyle w:val="FootnoteReference"/>
                <w:rFonts w:ascii="Calibri" w:hAnsi="Calibri"/>
                <w:sz w:val="20"/>
                <w:szCs w:val="20"/>
                <w:lang w:val="en-GB"/>
              </w:rPr>
              <w:footnoteReference w:id="38"/>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lastRenderedPageBreak/>
              <w:t>Research Cooperation programme</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Bilateral support for institutions in LMICs</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Direct support for </w:t>
            </w:r>
            <w:r w:rsidRPr="008441A1">
              <w:rPr>
                <w:rFonts w:ascii="Calibri" w:hAnsi="Calibri"/>
                <w:sz w:val="20"/>
                <w:szCs w:val="20"/>
                <w:lang w:val="en-GB"/>
              </w:rPr>
              <w:lastRenderedPageBreak/>
              <w:t>postgraduate degrees at the University of Rwanda, Universidad Eduardo Mondlane, Makerere University, and Muhimbili University for Health and Allied Sciences</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lastRenderedPageBreak/>
              <w:t>Master’s</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lastRenderedPageBreak/>
              <w:t>Wellcome Trust, United Kingdom</w:t>
            </w:r>
            <w:r w:rsidRPr="008441A1">
              <w:rPr>
                <w:rStyle w:val="FootnoteReference"/>
                <w:rFonts w:ascii="Calibri" w:hAnsi="Calibri"/>
                <w:sz w:val="20"/>
                <w:szCs w:val="20"/>
                <w:lang w:val="en-GB"/>
              </w:rPr>
              <w:footnoteReference w:id="39"/>
            </w:r>
          </w:p>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Master’s and Training Fellowships in Public Health and Tropical Medicine programmes</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Support for LMIC researchers doing postgraduate studies</w:t>
            </w:r>
          </w:p>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Master’s programme comprises a 12-month taught course, plus an 18-month research project</w:t>
            </w:r>
            <w:r w:rsidRPr="008441A1">
              <w:rPr>
                <w:rStyle w:val="FootnoteReference"/>
                <w:rFonts w:ascii="Calibri" w:hAnsi="Calibri"/>
                <w:sz w:val="20"/>
                <w:szCs w:val="20"/>
                <w:lang w:val="en-GB"/>
              </w:rPr>
              <w:footnoteReference w:id="40"/>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Both</w:t>
            </w: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Africa and Asia Programs (AAPs) </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Three programmes in sub-Saharan Africa (as well as two in Asia): Africa Centre, at the Africa Centre for Population Health; The Malawi-Liverpool-Wellcome Trust Clinical Research Programme (MLW) at the University of Malawi; and the KEMRI-Wellcome Trust Research Programme (KWTRP) at KEMRI</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PhD</w:t>
            </w:r>
          </w:p>
          <w:p w:rsidR="008E5D0F" w:rsidRPr="008441A1" w:rsidRDefault="008E5D0F" w:rsidP="00E12334">
            <w:pPr>
              <w:spacing w:before="40" w:after="40"/>
              <w:jc w:val="center"/>
              <w:rPr>
                <w:rFonts w:ascii="Calibri" w:hAnsi="Calibri"/>
                <w:sz w:val="20"/>
                <w:szCs w:val="20"/>
                <w:lang w:val="en-GB"/>
              </w:rPr>
            </w:pPr>
          </w:p>
        </w:tc>
      </w:tr>
      <w:tr w:rsidR="008E5D0F" w:rsidRPr="008441A1" w:rsidTr="00E12334">
        <w:tc>
          <w:tcPr>
            <w:tcW w:w="2409" w:type="dxa"/>
            <w:vAlign w:val="center"/>
          </w:tcPr>
          <w:p w:rsidR="008E5D0F" w:rsidRPr="008441A1" w:rsidRDefault="008E5D0F" w:rsidP="00E12334">
            <w:pPr>
              <w:spacing w:before="40" w:after="40"/>
              <w:rPr>
                <w:rFonts w:ascii="Calibri" w:hAnsi="Calibri"/>
                <w:sz w:val="20"/>
                <w:szCs w:val="20"/>
                <w:lang w:val="en-GB"/>
              </w:rPr>
            </w:pPr>
          </w:p>
        </w:tc>
        <w:tc>
          <w:tcPr>
            <w:tcW w:w="2445"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African Institutions Initiative (AII)</w:t>
            </w:r>
          </w:p>
        </w:tc>
        <w:tc>
          <w:tcPr>
            <w:tcW w:w="2767" w:type="dxa"/>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Funds seven capacity-building consortia in health research in sub-Saharan Africa: CARTA,</w:t>
            </w:r>
            <w:r w:rsidRPr="008441A1">
              <w:rPr>
                <w:rStyle w:val="FootnoteReference"/>
                <w:rFonts w:ascii="Calibri" w:hAnsi="Calibri"/>
                <w:sz w:val="20"/>
                <w:szCs w:val="20"/>
                <w:lang w:val="en-GB"/>
              </w:rPr>
              <w:footnoteReference w:id="41"/>
            </w:r>
            <w:r w:rsidRPr="008441A1">
              <w:rPr>
                <w:rFonts w:ascii="Calibri" w:hAnsi="Calibri"/>
                <w:sz w:val="20"/>
                <w:szCs w:val="20"/>
                <w:lang w:val="en-GB"/>
              </w:rPr>
              <w:t xml:space="preserve"> AFRIQUEONE, IIDP, THRiVE, SACIDS, SACORE and SNOWS</w:t>
            </w:r>
          </w:p>
        </w:tc>
        <w:tc>
          <w:tcPr>
            <w:tcW w:w="1622"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PhD</w:t>
            </w:r>
          </w:p>
        </w:tc>
      </w:tr>
    </w:tbl>
    <w:p w:rsidR="005841E6" w:rsidRDefault="005841E6" w:rsidP="003A62D8">
      <w:pPr>
        <w:pStyle w:val="Heading1"/>
      </w:pPr>
      <w:bookmarkStart w:id="4" w:name="_Toc500350492"/>
    </w:p>
    <w:p w:rsidR="007B44FC" w:rsidRDefault="007B44FC" w:rsidP="003A62D8">
      <w:pPr>
        <w:pStyle w:val="Heading1"/>
        <w:rPr>
          <w:rFonts w:ascii="Times New Roman" w:eastAsiaTheme="minorHAnsi" w:hAnsi="Times New Roman"/>
          <w:b w:val="0"/>
          <w:bCs w:val="0"/>
          <w:sz w:val="24"/>
          <w:szCs w:val="24"/>
        </w:rPr>
      </w:pPr>
    </w:p>
    <w:p w:rsidR="007B44FC" w:rsidRDefault="007B44FC" w:rsidP="007B44FC">
      <w:pPr>
        <w:rPr>
          <w:lang w:val="en-GB"/>
        </w:rPr>
      </w:pPr>
    </w:p>
    <w:p w:rsidR="007B44FC" w:rsidRDefault="007B44FC" w:rsidP="007B44FC">
      <w:pPr>
        <w:rPr>
          <w:lang w:val="en-GB"/>
        </w:rPr>
      </w:pPr>
    </w:p>
    <w:p w:rsidR="007B44FC" w:rsidRPr="007B44FC" w:rsidRDefault="007B44FC" w:rsidP="007B44FC">
      <w:pPr>
        <w:rPr>
          <w:lang w:val="en-GB"/>
        </w:rPr>
      </w:pPr>
    </w:p>
    <w:p w:rsidR="008E5D0F" w:rsidRPr="000C2785" w:rsidRDefault="008E5D0F" w:rsidP="003A62D8">
      <w:pPr>
        <w:pStyle w:val="Heading1"/>
      </w:pPr>
      <w:r w:rsidRPr="000C2785">
        <w:lastRenderedPageBreak/>
        <w:t>Appendix C.1</w:t>
      </w:r>
      <w:bookmarkEnd w:id="4"/>
    </w:p>
    <w:p w:rsidR="008E5D0F" w:rsidRPr="008441A1" w:rsidRDefault="008E5D0F" w:rsidP="008E5D0F">
      <w:pPr>
        <w:rPr>
          <w:rFonts w:ascii="Calibri" w:hAnsi="Calibri"/>
          <w:sz w:val="22"/>
          <w:szCs w:val="22"/>
          <w:lang w:val="en-GB"/>
        </w:rPr>
      </w:pPr>
    </w:p>
    <w:tbl>
      <w:tblPr>
        <w:tblStyle w:val="TableGrid"/>
        <w:tblW w:w="0" w:type="auto"/>
        <w:tblLook w:val="04A0" w:firstRow="1" w:lastRow="0" w:firstColumn="1" w:lastColumn="0" w:noHBand="0" w:noVBand="1"/>
      </w:tblPr>
      <w:tblGrid>
        <w:gridCol w:w="2062"/>
        <w:gridCol w:w="1379"/>
        <w:gridCol w:w="1934"/>
        <w:gridCol w:w="1934"/>
        <w:gridCol w:w="1934"/>
      </w:tblGrid>
      <w:tr w:rsidR="008E5D0F" w:rsidRPr="008441A1" w:rsidTr="00E12334">
        <w:tc>
          <w:tcPr>
            <w:tcW w:w="0" w:type="auto"/>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Organization</w:t>
            </w:r>
          </w:p>
        </w:tc>
        <w:tc>
          <w:tcPr>
            <w:tcW w:w="0" w:type="auto"/>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Direct or indirect</w:t>
            </w:r>
          </w:p>
        </w:tc>
        <w:tc>
          <w:tcPr>
            <w:tcW w:w="1934"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Number of Master’s grantees supported</w:t>
            </w:r>
          </w:p>
        </w:tc>
        <w:tc>
          <w:tcPr>
            <w:tcW w:w="1934"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Number of PhD grantees supported</w:t>
            </w:r>
          </w:p>
        </w:tc>
        <w:tc>
          <w:tcPr>
            <w:tcW w:w="1934"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Number of postgraduate grantees supported</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APHRC</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117</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117</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Beit Trust </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5</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Carnegie</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104</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104</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CARTA</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144</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144</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CDC</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indirect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31</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31</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Commonwealth Scholarships</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4</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4</w:t>
            </w:r>
          </w:p>
        </w:tc>
      </w:tr>
      <w:tr w:rsidR="008E5D0F" w:rsidRPr="008441A1" w:rsidTr="00E12334">
        <w:trPr>
          <w:trHeight w:val="297"/>
        </w:trPr>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DAAD</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unavailable</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25</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25</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EC</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indirect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81</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78</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159</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EDCTP</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indirect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96</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66</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162</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GSK</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17</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19</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IDRC</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Indirect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59</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218</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277</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Institut Pasteur</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IRD</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59</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59</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Mandela Rhodes </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6</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6</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MRC </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54</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64</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118</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Norad</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244</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46</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290</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Sida</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w:t>
            </w:r>
          </w:p>
        </w:tc>
      </w:tr>
      <w:tr w:rsidR="008E5D0F" w:rsidRPr="008441A1" w:rsidTr="00E12334">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TDR</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both</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66</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36</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102</w:t>
            </w:r>
          </w:p>
        </w:tc>
      </w:tr>
      <w:tr w:rsidR="008E5D0F" w:rsidRPr="008441A1" w:rsidTr="00E12334">
        <w:trPr>
          <w:trHeight w:val="325"/>
        </w:trPr>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Wellcome Trust</w:t>
            </w:r>
          </w:p>
        </w:tc>
        <w:tc>
          <w:tcPr>
            <w:tcW w:w="0" w:type="auto"/>
            <w:vAlign w:val="center"/>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direct</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181</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169</w:t>
            </w:r>
          </w:p>
        </w:tc>
        <w:tc>
          <w:tcPr>
            <w:tcW w:w="1934"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350</w:t>
            </w:r>
          </w:p>
        </w:tc>
      </w:tr>
    </w:tbl>
    <w:p w:rsidR="008E5D0F" w:rsidRPr="000C2785" w:rsidRDefault="008E5D0F" w:rsidP="003A62D8">
      <w:pPr>
        <w:pStyle w:val="Heading1"/>
      </w:pPr>
      <w:bookmarkStart w:id="5" w:name="_Toc500350493"/>
      <w:r w:rsidRPr="000C2785">
        <w:t>Appendix C.2</w:t>
      </w:r>
      <w:bookmarkEnd w:id="5"/>
    </w:p>
    <w:p w:rsidR="008E5D0F" w:rsidRPr="008441A1" w:rsidRDefault="008E5D0F" w:rsidP="008E5D0F">
      <w:pPr>
        <w:jc w:val="both"/>
        <w:rPr>
          <w:rFonts w:ascii="Calibri" w:hAnsi="Calibri"/>
          <w:sz w:val="22"/>
          <w:szCs w:val="22"/>
          <w:lang w:val="en-GB"/>
        </w:rPr>
      </w:pPr>
    </w:p>
    <w:tbl>
      <w:tblPr>
        <w:tblStyle w:val="TableGrid"/>
        <w:tblW w:w="0" w:type="auto"/>
        <w:tblLook w:val="04A0" w:firstRow="1" w:lastRow="0" w:firstColumn="1" w:lastColumn="0" w:noHBand="0" w:noVBand="1"/>
      </w:tblPr>
      <w:tblGrid>
        <w:gridCol w:w="1571"/>
        <w:gridCol w:w="1450"/>
        <w:gridCol w:w="1316"/>
        <w:gridCol w:w="236"/>
        <w:gridCol w:w="1621"/>
        <w:gridCol w:w="1450"/>
        <w:gridCol w:w="1316"/>
      </w:tblGrid>
      <w:tr w:rsidR="008E5D0F" w:rsidRPr="008441A1" w:rsidTr="00E12334">
        <w:trPr>
          <w:trHeight w:val="688"/>
        </w:trPr>
        <w:tc>
          <w:tcPr>
            <w:tcW w:w="1571"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Country of origin</w:t>
            </w:r>
          </w:p>
        </w:tc>
        <w:tc>
          <w:tcPr>
            <w:tcW w:w="1450"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Number of grantees</w:t>
            </w:r>
          </w:p>
        </w:tc>
        <w:tc>
          <w:tcPr>
            <w:tcW w:w="1316"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Number of grantees per million inhabitants</w:t>
            </w:r>
          </w:p>
        </w:tc>
        <w:tc>
          <w:tcPr>
            <w:tcW w:w="236" w:type="dxa"/>
            <w:tcBorders>
              <w:top w:val="nil"/>
              <w:bottom w:val="nil"/>
            </w:tcBorders>
            <w:shd w:val="clear" w:color="auto" w:fill="BDD6EE" w:themeFill="accent5" w:themeFillTint="66"/>
          </w:tcPr>
          <w:p w:rsidR="008E5D0F" w:rsidRPr="008441A1" w:rsidRDefault="008E5D0F" w:rsidP="00E12334">
            <w:pPr>
              <w:spacing w:before="40" w:after="40"/>
              <w:jc w:val="both"/>
              <w:rPr>
                <w:rFonts w:ascii="Calibri" w:hAnsi="Calibri"/>
                <w:sz w:val="20"/>
                <w:szCs w:val="20"/>
                <w:lang w:val="en-GB"/>
              </w:rPr>
            </w:pPr>
          </w:p>
        </w:tc>
        <w:tc>
          <w:tcPr>
            <w:tcW w:w="1621" w:type="dxa"/>
            <w:shd w:val="clear" w:color="auto" w:fill="BDD6EE" w:themeFill="accent5" w:themeFillTint="66"/>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Country of origin</w:t>
            </w:r>
          </w:p>
        </w:tc>
        <w:tc>
          <w:tcPr>
            <w:tcW w:w="1450" w:type="dxa"/>
            <w:shd w:val="clear" w:color="auto" w:fill="BDD6EE" w:themeFill="accent5" w:themeFillTint="66"/>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Number of grantees</w:t>
            </w:r>
          </w:p>
        </w:tc>
        <w:tc>
          <w:tcPr>
            <w:tcW w:w="1316" w:type="dxa"/>
            <w:shd w:val="clear" w:color="auto" w:fill="BDD6EE" w:themeFill="accent5" w:themeFillTint="66"/>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Number of grantees per million inhabitants</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Angola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31</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1.24</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Mali</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4</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0.23</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Benin</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21</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1.93</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Mauritania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0.49</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Botswana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8</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3.54</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Mozambique</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38</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1.36</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Burkina Faso</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22</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1.22</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Nigeria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108</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0.59</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Burundi</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0.18</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Rwanda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17</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1.46</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Cameroon</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48</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2.06</w:t>
            </w:r>
          </w:p>
        </w:tc>
        <w:tc>
          <w:tcPr>
            <w:tcW w:w="236" w:type="dxa"/>
            <w:tcBorders>
              <w:top w:val="nil"/>
              <w:bottom w:val="nil"/>
            </w:tcBorders>
            <w:vAlign w:val="center"/>
          </w:tcPr>
          <w:p w:rsidR="008E5D0F" w:rsidRPr="00EF5361" w:rsidRDefault="008E5D0F" w:rsidP="00E12334">
            <w:pPr>
              <w:spacing w:before="40" w:after="40"/>
              <w:jc w:val="center"/>
              <w:rPr>
                <w:rFonts w:ascii="Calibri" w:hAnsi="Calibri"/>
                <w:sz w:val="20"/>
                <w:szCs w:val="20"/>
                <w:lang w:val="fr-BE"/>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EF5361">
              <w:rPr>
                <w:rFonts w:ascii="Calibri" w:hAnsi="Calibri"/>
                <w:sz w:val="20"/>
                <w:szCs w:val="20"/>
                <w:lang w:val="fr-BE"/>
              </w:rPr>
              <w:t>Sénégal</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32</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2.16</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Congo</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4</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0.87</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Sierra Leone</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0.46</w:t>
            </w:r>
          </w:p>
        </w:tc>
      </w:tr>
      <w:tr w:rsidR="008E5D0F" w:rsidRPr="008441A1" w:rsidTr="00E12334">
        <w:tc>
          <w:tcPr>
            <w:tcW w:w="1571" w:type="dxa"/>
            <w:vAlign w:val="center"/>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Côte d'Ivoire</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17</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0.75</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South Africa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135</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2.48</w:t>
            </w:r>
          </w:p>
        </w:tc>
      </w:tr>
      <w:tr w:rsidR="008E5D0F" w:rsidRPr="008441A1" w:rsidTr="00E12334">
        <w:tc>
          <w:tcPr>
            <w:tcW w:w="1571" w:type="dxa"/>
            <w:vAlign w:val="center"/>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lastRenderedPageBreak/>
              <w:t>DRC</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26</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0.34</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South Sudan</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6</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0.49</w:t>
            </w:r>
          </w:p>
        </w:tc>
      </w:tr>
      <w:tr w:rsidR="008E5D0F" w:rsidRPr="008441A1" w:rsidTr="00E12334">
        <w:tc>
          <w:tcPr>
            <w:tcW w:w="1571" w:type="dxa"/>
            <w:vAlign w:val="center"/>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Ethiopia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206</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2.07</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Sudan</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5</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0.12</w:t>
            </w:r>
          </w:p>
        </w:tc>
      </w:tr>
      <w:tr w:rsidR="008E5D0F" w:rsidRPr="008441A1" w:rsidTr="00E12334">
        <w:tc>
          <w:tcPr>
            <w:tcW w:w="1571" w:type="dxa"/>
            <w:vAlign w:val="center"/>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 xml:space="preserve">Gabon </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1.74</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Swaziland</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4</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3.11</w:t>
            </w:r>
          </w:p>
        </w:tc>
      </w:tr>
      <w:tr w:rsidR="008E5D0F" w:rsidRPr="008441A1" w:rsidTr="00E12334">
        <w:tc>
          <w:tcPr>
            <w:tcW w:w="1571" w:type="dxa"/>
            <w:vAlign w:val="center"/>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 xml:space="preserve">Gambia, </w:t>
            </w:r>
            <w:r>
              <w:rPr>
                <w:rFonts w:ascii="Calibri" w:hAnsi="Calibri"/>
                <w:sz w:val="20"/>
                <w:szCs w:val="20"/>
                <w:lang w:val="en-GB"/>
              </w:rPr>
              <w:t>t</w:t>
            </w:r>
            <w:r w:rsidRPr="008441A1">
              <w:rPr>
                <w:rFonts w:ascii="Calibri" w:hAnsi="Calibri"/>
                <w:sz w:val="20"/>
                <w:szCs w:val="20"/>
                <w:lang w:val="en-GB"/>
              </w:rPr>
              <w:t xml:space="preserve">he </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57</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28.63</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Tanzania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88</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1.65</w:t>
            </w:r>
          </w:p>
        </w:tc>
      </w:tr>
      <w:tr w:rsidR="008E5D0F" w:rsidRPr="008441A1" w:rsidTr="00E12334">
        <w:tc>
          <w:tcPr>
            <w:tcW w:w="1571" w:type="dxa"/>
            <w:vAlign w:val="center"/>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Ghana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28</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1.02</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Togo</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9</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1.32</w:t>
            </w:r>
          </w:p>
        </w:tc>
      </w:tr>
      <w:tr w:rsidR="008E5D0F" w:rsidRPr="008441A1" w:rsidTr="00E12334">
        <w:tc>
          <w:tcPr>
            <w:tcW w:w="1571" w:type="dxa"/>
            <w:vAlign w:val="center"/>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Guinea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0.24</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Uganda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87</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2.23</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Guinea Bissau</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0.54</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Unspecified</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727</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NA</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 xml:space="preserve">Kenya </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118</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2.56</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Zambia</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21</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1.30</w:t>
            </w:r>
          </w:p>
        </w:tc>
      </w:tr>
      <w:tr w:rsidR="008E5D0F" w:rsidRPr="008441A1" w:rsidTr="00E12334">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Madagascar</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0.08</w:t>
            </w:r>
          </w:p>
        </w:tc>
        <w:tc>
          <w:tcPr>
            <w:tcW w:w="236" w:type="dxa"/>
            <w:tcBorders>
              <w:top w:val="nil"/>
              <w:bottom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tcBorders>
              <w:bottom w:val="single" w:sz="4" w:space="0" w:color="auto"/>
            </w:tcBorders>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Zimbabwe</w:t>
            </w:r>
          </w:p>
        </w:tc>
        <w:tc>
          <w:tcPr>
            <w:tcW w:w="1450" w:type="dxa"/>
            <w:tcBorders>
              <w:bottom w:val="single" w:sz="4" w:space="0" w:color="auto"/>
            </w:tcBorders>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24</w:t>
            </w:r>
          </w:p>
        </w:tc>
        <w:tc>
          <w:tcPr>
            <w:tcW w:w="1316" w:type="dxa"/>
            <w:tcBorders>
              <w:bottom w:val="single" w:sz="4" w:space="0" w:color="auto"/>
            </w:tcBorders>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1.54</w:t>
            </w:r>
          </w:p>
        </w:tc>
      </w:tr>
      <w:tr w:rsidR="008E5D0F" w:rsidRPr="008441A1" w:rsidTr="00E12334">
        <w:trPr>
          <w:trHeight w:val="71"/>
        </w:trPr>
        <w:tc>
          <w:tcPr>
            <w:tcW w:w="1571" w:type="dxa"/>
            <w:vAlign w:val="bottom"/>
          </w:tcPr>
          <w:p w:rsidR="008E5D0F" w:rsidRPr="008441A1" w:rsidRDefault="008E5D0F" w:rsidP="00E12334">
            <w:pPr>
              <w:spacing w:before="40" w:after="40"/>
              <w:jc w:val="both"/>
              <w:rPr>
                <w:rFonts w:ascii="Calibri" w:hAnsi="Calibri"/>
                <w:sz w:val="20"/>
                <w:szCs w:val="20"/>
                <w:lang w:val="en-GB"/>
              </w:rPr>
            </w:pPr>
            <w:r w:rsidRPr="008441A1">
              <w:rPr>
                <w:rFonts w:ascii="Calibri" w:hAnsi="Calibri"/>
                <w:sz w:val="20"/>
                <w:szCs w:val="20"/>
                <w:lang w:val="en-GB"/>
              </w:rPr>
              <w:t>Malawi</w:t>
            </w:r>
          </w:p>
        </w:tc>
        <w:tc>
          <w:tcPr>
            <w:tcW w:w="1450"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68</w:t>
            </w:r>
          </w:p>
        </w:tc>
        <w:tc>
          <w:tcPr>
            <w:tcW w:w="1316" w:type="dxa"/>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3.95</w:t>
            </w:r>
          </w:p>
        </w:tc>
        <w:tc>
          <w:tcPr>
            <w:tcW w:w="236" w:type="dxa"/>
            <w:tcBorders>
              <w:top w:val="nil"/>
              <w:bottom w:val="nil"/>
              <w:right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621" w:type="dxa"/>
            <w:tcBorders>
              <w:left w:val="nil"/>
              <w:bottom w:val="nil"/>
              <w:right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450" w:type="dxa"/>
            <w:tcBorders>
              <w:left w:val="nil"/>
              <w:bottom w:val="nil"/>
              <w:right w:val="nil"/>
            </w:tcBorders>
            <w:vAlign w:val="center"/>
          </w:tcPr>
          <w:p w:rsidR="008E5D0F" w:rsidRPr="008441A1" w:rsidRDefault="008E5D0F" w:rsidP="00E12334">
            <w:pPr>
              <w:spacing w:before="40" w:after="40"/>
              <w:jc w:val="center"/>
              <w:rPr>
                <w:rFonts w:ascii="Calibri" w:hAnsi="Calibri"/>
                <w:sz w:val="20"/>
                <w:szCs w:val="20"/>
                <w:lang w:val="en-GB"/>
              </w:rPr>
            </w:pPr>
          </w:p>
        </w:tc>
        <w:tc>
          <w:tcPr>
            <w:tcW w:w="1316" w:type="dxa"/>
            <w:tcBorders>
              <w:left w:val="nil"/>
              <w:bottom w:val="nil"/>
              <w:right w:val="nil"/>
            </w:tcBorders>
            <w:vAlign w:val="center"/>
          </w:tcPr>
          <w:p w:rsidR="008E5D0F" w:rsidRPr="008441A1" w:rsidRDefault="008E5D0F" w:rsidP="00E12334">
            <w:pPr>
              <w:spacing w:before="40" w:after="40"/>
              <w:jc w:val="center"/>
              <w:rPr>
                <w:rFonts w:ascii="Calibri" w:hAnsi="Calibri"/>
                <w:sz w:val="20"/>
                <w:szCs w:val="20"/>
                <w:lang w:val="en-GB"/>
              </w:rPr>
            </w:pPr>
          </w:p>
        </w:tc>
      </w:tr>
    </w:tbl>
    <w:p w:rsidR="008E5D0F" w:rsidRPr="000C2785" w:rsidRDefault="008E5D0F" w:rsidP="003A62D8">
      <w:pPr>
        <w:pStyle w:val="Heading1"/>
      </w:pPr>
      <w:bookmarkStart w:id="6" w:name="_Toc500350494"/>
      <w:r w:rsidRPr="003A62D8">
        <w:t>Appendix</w:t>
      </w:r>
      <w:r w:rsidRPr="000C2785">
        <w:t xml:space="preserve"> C.3</w:t>
      </w:r>
      <w:bookmarkEnd w:id="6"/>
    </w:p>
    <w:p w:rsidR="008E5D0F" w:rsidRPr="008441A1" w:rsidRDefault="008E5D0F" w:rsidP="008E5D0F">
      <w:pPr>
        <w:rPr>
          <w:rFonts w:ascii="Calibri" w:hAnsi="Calibri"/>
          <w:sz w:val="22"/>
          <w:szCs w:val="22"/>
          <w:lang w:val="en-GB"/>
        </w:rPr>
      </w:pPr>
    </w:p>
    <w:tbl>
      <w:tblPr>
        <w:tblStyle w:val="TableGrid"/>
        <w:tblW w:w="0" w:type="auto"/>
        <w:tblLook w:val="04A0" w:firstRow="1" w:lastRow="0" w:firstColumn="1" w:lastColumn="0" w:noHBand="0" w:noVBand="1"/>
      </w:tblPr>
      <w:tblGrid>
        <w:gridCol w:w="2313"/>
        <w:gridCol w:w="2306"/>
        <w:gridCol w:w="2307"/>
        <w:gridCol w:w="2317"/>
      </w:tblGrid>
      <w:tr w:rsidR="008E5D0F" w:rsidRPr="008441A1" w:rsidTr="00E12334">
        <w:trPr>
          <w:trHeight w:val="70"/>
        </w:trPr>
        <w:tc>
          <w:tcPr>
            <w:tcW w:w="2337" w:type="dxa"/>
            <w:tcBorders>
              <w:top w:val="nil"/>
              <w:left w:val="nil"/>
            </w:tcBorders>
          </w:tcPr>
          <w:p w:rsidR="008E5D0F" w:rsidRPr="008441A1" w:rsidRDefault="008E5D0F" w:rsidP="00E12334">
            <w:pPr>
              <w:spacing w:before="60" w:after="60"/>
              <w:rPr>
                <w:rFonts w:ascii="Calibri" w:hAnsi="Calibri"/>
                <w:sz w:val="22"/>
                <w:szCs w:val="22"/>
                <w:lang w:val="en-GB"/>
              </w:rPr>
            </w:pPr>
          </w:p>
        </w:tc>
        <w:tc>
          <w:tcPr>
            <w:tcW w:w="2337" w:type="dxa"/>
            <w:shd w:val="clear" w:color="auto" w:fill="BDD6EE" w:themeFill="accent5" w:themeFillTint="66"/>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Number of Master’s grantees</w:t>
            </w:r>
          </w:p>
        </w:tc>
        <w:tc>
          <w:tcPr>
            <w:tcW w:w="2338" w:type="dxa"/>
            <w:shd w:val="clear" w:color="auto" w:fill="BDD6EE" w:themeFill="accent5" w:themeFillTint="66"/>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Number of PhD grantees</w:t>
            </w:r>
          </w:p>
        </w:tc>
        <w:tc>
          <w:tcPr>
            <w:tcW w:w="2338" w:type="dxa"/>
            <w:shd w:val="clear" w:color="auto" w:fill="BDD6EE" w:themeFill="accent5" w:themeFillTint="66"/>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Total number of postgraduate grantees</w:t>
            </w:r>
          </w:p>
        </w:tc>
      </w:tr>
      <w:tr w:rsidR="008E5D0F" w:rsidRPr="008441A1" w:rsidTr="00E12334">
        <w:trPr>
          <w:trHeight w:val="325"/>
        </w:trPr>
        <w:tc>
          <w:tcPr>
            <w:tcW w:w="2337" w:type="dxa"/>
            <w:vAlign w:val="center"/>
          </w:tcPr>
          <w:p w:rsidR="008E5D0F" w:rsidRPr="008441A1" w:rsidRDefault="008E5D0F" w:rsidP="00E12334">
            <w:pPr>
              <w:spacing w:before="60" w:after="60"/>
              <w:rPr>
                <w:rFonts w:ascii="Calibri" w:hAnsi="Calibri"/>
                <w:sz w:val="22"/>
                <w:szCs w:val="22"/>
                <w:lang w:val="en-GB"/>
              </w:rPr>
            </w:pPr>
            <w:r w:rsidRPr="008441A1">
              <w:rPr>
                <w:rFonts w:ascii="Calibri" w:hAnsi="Calibri"/>
                <w:sz w:val="22"/>
                <w:szCs w:val="22"/>
                <w:lang w:val="en-GB"/>
              </w:rPr>
              <w:t>Woman</w:t>
            </w:r>
          </w:p>
        </w:tc>
        <w:tc>
          <w:tcPr>
            <w:tcW w:w="2337"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294 (34.83%)</w:t>
            </w:r>
          </w:p>
        </w:tc>
        <w:tc>
          <w:tcPr>
            <w:tcW w:w="2338"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361 (31.92%)</w:t>
            </w:r>
          </w:p>
        </w:tc>
        <w:tc>
          <w:tcPr>
            <w:tcW w:w="2338"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655 (33.16%)</w:t>
            </w:r>
          </w:p>
        </w:tc>
      </w:tr>
      <w:tr w:rsidR="008E5D0F" w:rsidRPr="008441A1" w:rsidTr="00E12334">
        <w:trPr>
          <w:trHeight w:val="80"/>
        </w:trPr>
        <w:tc>
          <w:tcPr>
            <w:tcW w:w="2337" w:type="dxa"/>
            <w:vAlign w:val="center"/>
          </w:tcPr>
          <w:p w:rsidR="008E5D0F" w:rsidRPr="008441A1" w:rsidRDefault="008E5D0F" w:rsidP="00E12334">
            <w:pPr>
              <w:spacing w:before="60" w:after="60"/>
              <w:rPr>
                <w:rFonts w:ascii="Calibri" w:hAnsi="Calibri"/>
                <w:sz w:val="22"/>
                <w:szCs w:val="22"/>
                <w:lang w:val="en-GB"/>
              </w:rPr>
            </w:pPr>
            <w:r w:rsidRPr="008441A1">
              <w:rPr>
                <w:rFonts w:ascii="Calibri" w:hAnsi="Calibri"/>
                <w:sz w:val="22"/>
                <w:szCs w:val="22"/>
                <w:lang w:val="en-GB"/>
              </w:rPr>
              <w:t>Man</w:t>
            </w:r>
          </w:p>
        </w:tc>
        <w:tc>
          <w:tcPr>
            <w:tcW w:w="2337"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325 (38.51%)</w:t>
            </w:r>
          </w:p>
        </w:tc>
        <w:tc>
          <w:tcPr>
            <w:tcW w:w="2338"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445 (39.35%)</w:t>
            </w:r>
          </w:p>
        </w:tc>
        <w:tc>
          <w:tcPr>
            <w:tcW w:w="2338"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770 (38.99%)</w:t>
            </w:r>
          </w:p>
        </w:tc>
      </w:tr>
      <w:tr w:rsidR="008E5D0F" w:rsidRPr="008441A1" w:rsidTr="00E12334">
        <w:tc>
          <w:tcPr>
            <w:tcW w:w="2337" w:type="dxa"/>
            <w:vAlign w:val="center"/>
          </w:tcPr>
          <w:p w:rsidR="008E5D0F" w:rsidRPr="008441A1" w:rsidRDefault="008E5D0F" w:rsidP="00E12334">
            <w:pPr>
              <w:spacing w:before="60" w:after="60"/>
              <w:rPr>
                <w:rFonts w:ascii="Calibri" w:hAnsi="Calibri"/>
                <w:sz w:val="22"/>
                <w:szCs w:val="22"/>
                <w:lang w:val="en-GB"/>
              </w:rPr>
            </w:pPr>
            <w:r w:rsidRPr="008441A1">
              <w:rPr>
                <w:rFonts w:ascii="Calibri" w:hAnsi="Calibri"/>
                <w:sz w:val="22"/>
                <w:szCs w:val="22"/>
                <w:lang w:val="en-GB"/>
              </w:rPr>
              <w:t>Unspecified</w:t>
            </w:r>
          </w:p>
        </w:tc>
        <w:tc>
          <w:tcPr>
            <w:tcW w:w="2337"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225 (26.66%)</w:t>
            </w:r>
          </w:p>
        </w:tc>
        <w:tc>
          <w:tcPr>
            <w:tcW w:w="2338"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325 (28.74%)</w:t>
            </w:r>
          </w:p>
        </w:tc>
        <w:tc>
          <w:tcPr>
            <w:tcW w:w="2338"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550 (27.85%)</w:t>
            </w:r>
          </w:p>
        </w:tc>
      </w:tr>
      <w:tr w:rsidR="008E5D0F" w:rsidRPr="008441A1" w:rsidTr="00E12334">
        <w:tc>
          <w:tcPr>
            <w:tcW w:w="2337" w:type="dxa"/>
            <w:vAlign w:val="center"/>
          </w:tcPr>
          <w:p w:rsidR="008E5D0F" w:rsidRPr="008441A1" w:rsidRDefault="008E5D0F" w:rsidP="00E12334">
            <w:pPr>
              <w:spacing w:before="60" w:after="60"/>
              <w:rPr>
                <w:rFonts w:ascii="Calibri" w:hAnsi="Calibri"/>
                <w:sz w:val="22"/>
                <w:szCs w:val="22"/>
                <w:lang w:val="en-GB"/>
              </w:rPr>
            </w:pPr>
            <w:r w:rsidRPr="008441A1">
              <w:rPr>
                <w:rFonts w:ascii="Calibri" w:hAnsi="Calibri"/>
                <w:sz w:val="22"/>
                <w:szCs w:val="22"/>
                <w:lang w:val="en-GB"/>
              </w:rPr>
              <w:t>Total</w:t>
            </w:r>
          </w:p>
        </w:tc>
        <w:tc>
          <w:tcPr>
            <w:tcW w:w="2337"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844 (100%)</w:t>
            </w:r>
          </w:p>
        </w:tc>
        <w:tc>
          <w:tcPr>
            <w:tcW w:w="2338"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1,131 (100%)</w:t>
            </w:r>
          </w:p>
        </w:tc>
        <w:tc>
          <w:tcPr>
            <w:tcW w:w="2338" w:type="dxa"/>
            <w:vAlign w:val="center"/>
          </w:tcPr>
          <w:p w:rsidR="008E5D0F" w:rsidRPr="008441A1" w:rsidRDefault="008E5D0F" w:rsidP="00E12334">
            <w:pPr>
              <w:spacing w:before="60" w:after="60"/>
              <w:jc w:val="center"/>
              <w:rPr>
                <w:rFonts w:ascii="Calibri" w:hAnsi="Calibri"/>
                <w:sz w:val="22"/>
                <w:szCs w:val="22"/>
                <w:lang w:val="en-GB"/>
              </w:rPr>
            </w:pPr>
            <w:r w:rsidRPr="008441A1">
              <w:rPr>
                <w:rFonts w:ascii="Calibri" w:hAnsi="Calibri"/>
                <w:sz w:val="22"/>
                <w:szCs w:val="22"/>
                <w:lang w:val="en-GB"/>
              </w:rPr>
              <w:t>1,975 (100%)</w:t>
            </w:r>
          </w:p>
        </w:tc>
      </w:tr>
    </w:tbl>
    <w:p w:rsidR="007E3EF2" w:rsidRDefault="007E3EF2" w:rsidP="007E3EF2">
      <w:pPr>
        <w:pStyle w:val="Heading1"/>
      </w:pPr>
      <w:bookmarkStart w:id="7" w:name="_Toc500350496"/>
      <w:r>
        <w:lastRenderedPageBreak/>
        <w:t>Appendix C.4</w:t>
      </w:r>
    </w:p>
    <w:p w:rsidR="007E3EF2" w:rsidRPr="001119AE" w:rsidRDefault="001119AE" w:rsidP="007E3EF2">
      <w:pPr>
        <w:rPr>
          <w:b/>
          <w:lang w:val="en-GB"/>
        </w:rPr>
      </w:pPr>
      <w:r>
        <w:rPr>
          <w:noProof/>
          <w:lang w:eastAsia="zh-CN"/>
        </w:rPr>
        <w:drawing>
          <wp:inline distT="0" distB="0" distL="0" distR="0" wp14:anchorId="3E3AC1EC" wp14:editId="6F2E5CF6">
            <wp:extent cx="5731200" cy="3996000"/>
            <wp:effectExtent l="0" t="0" r="9525" b="177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E3EF2" w:rsidRDefault="007E3EF2" w:rsidP="007E3EF2">
      <w:pPr>
        <w:pStyle w:val="Heading1"/>
      </w:pPr>
      <w:r>
        <w:lastRenderedPageBreak/>
        <w:t>Appendix C.5</w:t>
      </w:r>
    </w:p>
    <w:p w:rsidR="001119AE" w:rsidRPr="001119AE" w:rsidRDefault="001119AE" w:rsidP="001119AE">
      <w:pPr>
        <w:rPr>
          <w:lang w:val="en-GB"/>
        </w:rPr>
      </w:pPr>
      <w:r>
        <w:rPr>
          <w:noProof/>
          <w:lang w:eastAsia="zh-CN"/>
        </w:rPr>
        <w:drawing>
          <wp:inline distT="0" distB="0" distL="0" distR="0" wp14:anchorId="60B14E97" wp14:editId="0D20CF0D">
            <wp:extent cx="5732145" cy="3996000"/>
            <wp:effectExtent l="0" t="0" r="8255"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B44FC" w:rsidRDefault="007B44FC" w:rsidP="007B44FC">
      <w:pPr>
        <w:pStyle w:val="Heading1"/>
      </w:pPr>
    </w:p>
    <w:p w:rsidR="007B44FC" w:rsidRPr="007B44FC" w:rsidRDefault="007B44FC" w:rsidP="007B44FC">
      <w:pPr>
        <w:rPr>
          <w:lang w:val="en-GB"/>
        </w:rPr>
      </w:pPr>
    </w:p>
    <w:p w:rsidR="007B44FC" w:rsidRDefault="007B44FC" w:rsidP="007B44FC">
      <w:pPr>
        <w:pStyle w:val="Heading1"/>
      </w:pPr>
    </w:p>
    <w:p w:rsidR="007B44FC" w:rsidRPr="007B44FC" w:rsidRDefault="007B44FC" w:rsidP="007B44FC">
      <w:pPr>
        <w:rPr>
          <w:lang w:val="en-GB"/>
        </w:rPr>
      </w:pPr>
    </w:p>
    <w:p w:rsidR="007B44FC" w:rsidRDefault="007B44FC" w:rsidP="007B44FC">
      <w:pPr>
        <w:pStyle w:val="Heading1"/>
      </w:pPr>
    </w:p>
    <w:p w:rsidR="007B44FC" w:rsidRPr="007B44FC" w:rsidRDefault="007B44FC" w:rsidP="007B44FC">
      <w:pPr>
        <w:rPr>
          <w:lang w:val="en-GB"/>
        </w:rPr>
      </w:pPr>
    </w:p>
    <w:p w:rsidR="007B44FC" w:rsidRDefault="007B44FC" w:rsidP="007B44FC">
      <w:pPr>
        <w:pStyle w:val="Heading1"/>
      </w:pPr>
    </w:p>
    <w:p w:rsidR="007B44FC" w:rsidRPr="007B44FC" w:rsidRDefault="007B44FC" w:rsidP="007B44FC">
      <w:pPr>
        <w:rPr>
          <w:lang w:val="en-GB"/>
        </w:rPr>
      </w:pPr>
    </w:p>
    <w:p w:rsidR="008E5D0F" w:rsidRPr="007E3EF2" w:rsidRDefault="008E5D0F" w:rsidP="007B44FC">
      <w:pPr>
        <w:pStyle w:val="Heading1"/>
      </w:pPr>
      <w:r w:rsidRPr="000C2785">
        <w:lastRenderedPageBreak/>
        <w:t xml:space="preserve">Appendix </w:t>
      </w:r>
      <w:r w:rsidR="007B44FC">
        <w:t>D</w:t>
      </w:r>
      <w:bookmarkEnd w:id="7"/>
    </w:p>
    <w:tbl>
      <w:tblPr>
        <w:tblW w:w="8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820"/>
        <w:gridCol w:w="2080"/>
      </w:tblGrid>
      <w:tr w:rsidR="008E5D0F" w:rsidRPr="008441A1" w:rsidTr="00E12334">
        <w:trPr>
          <w:trHeight w:val="367"/>
          <w:jc w:val="center"/>
        </w:trPr>
        <w:tc>
          <w:tcPr>
            <w:tcW w:w="1843" w:type="dxa"/>
            <w:shd w:val="clear" w:color="auto" w:fill="BDD6EE" w:themeFill="accent5" w:themeFillTint="66"/>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Abbreviation</w:t>
            </w:r>
          </w:p>
        </w:tc>
        <w:tc>
          <w:tcPr>
            <w:tcW w:w="4820" w:type="dxa"/>
            <w:shd w:val="clear" w:color="auto" w:fill="BDD6EE" w:themeFill="accent5" w:themeFillTint="66"/>
            <w:noWrap/>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Institution name</w:t>
            </w:r>
          </w:p>
        </w:tc>
        <w:tc>
          <w:tcPr>
            <w:tcW w:w="2080" w:type="dxa"/>
            <w:shd w:val="clear" w:color="auto" w:fill="BDD6EE" w:themeFill="accent5" w:themeFillTint="66"/>
            <w:noWrap/>
            <w:vAlign w:val="center"/>
          </w:tcPr>
          <w:p w:rsidR="008E5D0F" w:rsidRPr="008441A1" w:rsidRDefault="008E5D0F" w:rsidP="00E12334">
            <w:pPr>
              <w:spacing w:before="40" w:after="40"/>
              <w:jc w:val="center"/>
              <w:rPr>
                <w:rFonts w:ascii="Calibri" w:hAnsi="Calibri"/>
                <w:sz w:val="20"/>
                <w:szCs w:val="20"/>
                <w:lang w:val="en-GB"/>
              </w:rPr>
            </w:pPr>
            <w:r w:rsidRPr="008441A1">
              <w:rPr>
                <w:rFonts w:ascii="Calibri" w:hAnsi="Calibri"/>
                <w:sz w:val="20"/>
                <w:szCs w:val="20"/>
                <w:lang w:val="en-GB"/>
              </w:rPr>
              <w:t>Institution location</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APHRC</w:t>
            </w:r>
          </w:p>
        </w:tc>
        <w:tc>
          <w:tcPr>
            <w:tcW w:w="482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African Population and Health Research Centre</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Kenya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Dilla</w:t>
            </w:r>
          </w:p>
        </w:tc>
        <w:tc>
          <w:tcPr>
            <w:tcW w:w="482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Dilla University</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Ethiopia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Ibadan</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University of Ibadan</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Nigeria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KEMRI</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Kenya Medical Research Institute</w:t>
            </w:r>
          </w:p>
        </w:tc>
        <w:tc>
          <w:tcPr>
            <w:tcW w:w="208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Kenya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LASDEL</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Laboratoire d'Etude et de Recherche sur les Dynamiques Sociales et le Développement Local </w:t>
            </w:r>
          </w:p>
        </w:tc>
        <w:tc>
          <w:tcPr>
            <w:tcW w:w="208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Niger</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Makerere</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Makerere University</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Uganda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Malawi</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University of Malawi</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Malawi</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MRC</w:t>
            </w:r>
            <w:r w:rsidR="002F1B24">
              <w:rPr>
                <w:rFonts w:ascii="Calibri" w:hAnsi="Calibri"/>
                <w:sz w:val="20"/>
                <w:szCs w:val="20"/>
                <w:lang w:val="en-GB"/>
              </w:rPr>
              <w:t xml:space="preserve"> </w:t>
            </w:r>
            <w:r w:rsidRPr="008441A1">
              <w:rPr>
                <w:rFonts w:ascii="Calibri" w:hAnsi="Calibri"/>
                <w:sz w:val="20"/>
                <w:szCs w:val="20"/>
                <w:lang w:val="en-GB"/>
              </w:rPr>
              <w:t>Unit</w:t>
            </w:r>
            <w:r w:rsidR="002F1B24">
              <w:rPr>
                <w:rFonts w:ascii="Calibri" w:hAnsi="Calibri"/>
                <w:sz w:val="20"/>
                <w:szCs w:val="20"/>
                <w:lang w:val="en-GB"/>
              </w:rPr>
              <w:t>,</w:t>
            </w:r>
            <w:r w:rsidRPr="008441A1">
              <w:rPr>
                <w:rFonts w:ascii="Calibri" w:hAnsi="Calibri"/>
                <w:sz w:val="20"/>
                <w:szCs w:val="20"/>
                <w:lang w:val="en-GB"/>
              </w:rPr>
              <w:t xml:space="preserve"> Gambia</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Medical Research Council Unit, </w:t>
            </w:r>
            <w:r>
              <w:rPr>
                <w:rFonts w:ascii="Calibri" w:hAnsi="Calibri"/>
                <w:sz w:val="20"/>
                <w:szCs w:val="20"/>
                <w:lang w:val="en-GB"/>
              </w:rPr>
              <w:t>t</w:t>
            </w:r>
            <w:r w:rsidRPr="008441A1">
              <w:rPr>
                <w:rFonts w:ascii="Calibri" w:hAnsi="Calibri"/>
                <w:sz w:val="20"/>
                <w:szCs w:val="20"/>
                <w:lang w:val="en-GB"/>
              </w:rPr>
              <w:t>he Gambia</w:t>
            </w:r>
          </w:p>
        </w:tc>
        <w:tc>
          <w:tcPr>
            <w:tcW w:w="2080" w:type="dxa"/>
            <w:shd w:val="clear" w:color="auto" w:fill="auto"/>
            <w:noWrap/>
            <w:vAlign w:val="center"/>
            <w:hideMark/>
          </w:tcPr>
          <w:p w:rsidR="008E5D0F" w:rsidRPr="008441A1" w:rsidRDefault="002F1B24">
            <w:pPr>
              <w:spacing w:before="40" w:after="40"/>
              <w:rPr>
                <w:rFonts w:ascii="Calibri" w:hAnsi="Calibri"/>
                <w:sz w:val="20"/>
                <w:szCs w:val="20"/>
                <w:lang w:val="en-GB"/>
              </w:rPr>
            </w:pPr>
            <w:r>
              <w:rPr>
                <w:rFonts w:ascii="Calibri" w:hAnsi="Calibri"/>
                <w:sz w:val="20"/>
                <w:szCs w:val="20"/>
                <w:lang w:val="en-GB"/>
              </w:rPr>
              <w:t xml:space="preserve">the </w:t>
            </w:r>
            <w:r w:rsidR="008E5D0F" w:rsidRPr="008441A1">
              <w:rPr>
                <w:rFonts w:ascii="Calibri" w:hAnsi="Calibri"/>
                <w:sz w:val="20"/>
                <w:szCs w:val="20"/>
                <w:lang w:val="en-GB"/>
              </w:rPr>
              <w:t>Gambia</w:t>
            </w:r>
            <w:r w:rsidR="008E5D0F">
              <w:rPr>
                <w:rFonts w:ascii="Calibri" w:hAnsi="Calibri"/>
                <w:sz w:val="20"/>
                <w:szCs w:val="20"/>
                <w:lang w:val="en-GB"/>
              </w:rPr>
              <w:t xml:space="preserve"> </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SUA</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Sokoine University of Agriculture </w:t>
            </w:r>
          </w:p>
        </w:tc>
        <w:tc>
          <w:tcPr>
            <w:tcW w:w="208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Tanzania</w:t>
            </w:r>
          </w:p>
        </w:tc>
      </w:tr>
      <w:tr w:rsidR="008E5D0F" w:rsidRPr="008441A1" w:rsidTr="00E12334">
        <w:trPr>
          <w:trHeight w:val="340"/>
          <w:jc w:val="center"/>
        </w:trPr>
        <w:tc>
          <w:tcPr>
            <w:tcW w:w="1843"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UAN</w:t>
            </w:r>
          </w:p>
        </w:tc>
        <w:tc>
          <w:tcPr>
            <w:tcW w:w="482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Agostinho Neto University</w:t>
            </w:r>
          </w:p>
        </w:tc>
        <w:tc>
          <w:tcPr>
            <w:tcW w:w="208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Angola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UCT</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University of Cape Town</w:t>
            </w:r>
          </w:p>
        </w:tc>
        <w:tc>
          <w:tcPr>
            <w:tcW w:w="208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South Africa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UKZN</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University of KwaZulu-Natal</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Africa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UO</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Universite de Ouagadougou</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Burkina Faso</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UWC</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University of the Western Cape</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South Africa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Wits</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University of the Witwatersrand</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South Africa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WSU</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 xml:space="preserve">Wolaita Sodo University </w:t>
            </w:r>
          </w:p>
        </w:tc>
        <w:tc>
          <w:tcPr>
            <w:tcW w:w="208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Ethiopia</w:t>
            </w:r>
          </w:p>
        </w:tc>
      </w:tr>
      <w:tr w:rsidR="008E5D0F" w:rsidRPr="008441A1" w:rsidTr="00E12334">
        <w:trPr>
          <w:trHeight w:val="340"/>
          <w:jc w:val="center"/>
        </w:trPr>
        <w:tc>
          <w:tcPr>
            <w:tcW w:w="1843"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Zambia</w:t>
            </w:r>
          </w:p>
        </w:tc>
        <w:tc>
          <w:tcPr>
            <w:tcW w:w="4820" w:type="dxa"/>
            <w:shd w:val="clear" w:color="auto" w:fill="auto"/>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University of Zambia</w:t>
            </w:r>
          </w:p>
        </w:tc>
        <w:tc>
          <w:tcPr>
            <w:tcW w:w="2080" w:type="dxa"/>
            <w:shd w:val="clear" w:color="auto" w:fill="auto"/>
            <w:noWrap/>
            <w:vAlign w:val="center"/>
            <w:hideMark/>
          </w:tcPr>
          <w:p w:rsidR="008E5D0F" w:rsidRPr="008441A1" w:rsidRDefault="008E5D0F" w:rsidP="00E12334">
            <w:pPr>
              <w:spacing w:before="40" w:after="40"/>
              <w:rPr>
                <w:rFonts w:ascii="Calibri" w:hAnsi="Calibri"/>
                <w:sz w:val="20"/>
                <w:szCs w:val="20"/>
                <w:lang w:val="en-GB"/>
              </w:rPr>
            </w:pPr>
            <w:r w:rsidRPr="008441A1">
              <w:rPr>
                <w:rFonts w:ascii="Calibri" w:hAnsi="Calibri"/>
                <w:sz w:val="20"/>
                <w:szCs w:val="20"/>
                <w:lang w:val="en-GB"/>
              </w:rPr>
              <w:t>Zambia</w:t>
            </w:r>
          </w:p>
        </w:tc>
      </w:tr>
    </w:tbl>
    <w:p w:rsidR="00BB3B1E" w:rsidRDefault="00BB3B1E" w:rsidP="00455D17">
      <w:pPr>
        <w:rPr>
          <w:lang w:val="en-GB"/>
        </w:rPr>
      </w:pPr>
    </w:p>
    <w:p w:rsidR="003A62D8" w:rsidRDefault="0088607E" w:rsidP="007B44FC">
      <w:pPr>
        <w:pStyle w:val="Heading1"/>
      </w:pPr>
      <w:r>
        <w:lastRenderedPageBreak/>
        <w:t xml:space="preserve">Appendix </w:t>
      </w:r>
      <w:r w:rsidR="007B44FC">
        <w:t>E</w:t>
      </w:r>
      <w:bookmarkStart w:id="8" w:name="_GoBack"/>
      <w:bookmarkEnd w:id="8"/>
    </w:p>
    <w:p w:rsidR="003A62D8" w:rsidRPr="003A62D8" w:rsidRDefault="003A62D8" w:rsidP="003A62D8">
      <w:pPr>
        <w:rPr>
          <w:lang w:val="en-GB"/>
        </w:rPr>
      </w:pPr>
      <w:r>
        <w:rPr>
          <w:noProof/>
          <w:lang w:eastAsia="zh-CN"/>
        </w:rPr>
        <w:drawing>
          <wp:inline distT="0" distB="0" distL="0" distR="0" wp14:anchorId="031A8BCE" wp14:editId="2C720E64">
            <wp:extent cx="5731510" cy="3994785"/>
            <wp:effectExtent l="0" t="0" r="8890"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sectPr w:rsidR="003A62D8" w:rsidRPr="003A62D8" w:rsidSect="00B67EB5">
      <w:headerReference w:type="even" r:id="rId17"/>
      <w:headerReference w:type="default" r:id="rId18"/>
      <w:footerReference w:type="even" r:id="rId19"/>
      <w:footerReference w:type="default" r:id="rId20"/>
      <w:type w:val="continuous"/>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680" w:rsidRDefault="00C75680" w:rsidP="006A408D">
      <w:r>
        <w:separator/>
      </w:r>
    </w:p>
    <w:p w:rsidR="00C75680" w:rsidRDefault="00C75680" w:rsidP="006A408D"/>
    <w:p w:rsidR="00C75680" w:rsidRDefault="00C75680" w:rsidP="006A408D"/>
  </w:endnote>
  <w:endnote w:type="continuationSeparator" w:id="0">
    <w:p w:rsidR="00C75680" w:rsidRDefault="00C75680" w:rsidP="006A408D">
      <w:r>
        <w:continuationSeparator/>
      </w:r>
    </w:p>
    <w:p w:rsidR="00C75680" w:rsidRDefault="00C75680" w:rsidP="006A408D"/>
    <w:p w:rsidR="00C75680" w:rsidRDefault="00C75680" w:rsidP="006A40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Light">
    <w:charset w:val="86"/>
    <w:family w:val="script"/>
    <w:pitch w:val="variable"/>
    <w:sig w:usb0="A00002BF" w:usb1="38CF7CFA" w:usb2="00000016" w:usb3="00000000" w:csb0="0004000F" w:csb1="00000000"/>
  </w:font>
  <w:font w:name="DengXian">
    <w:charset w:val="86"/>
    <w:family w:val="script"/>
    <w:pitch w:val="variable"/>
    <w:sig w:usb0="A00002BF" w:usb1="38CF7CFA" w:usb2="00000016" w:usb3="00000000" w:csb0="0004000F" w:csb1="00000000"/>
  </w:font>
  <w:font w:name="Times">
    <w:panose1 w:val="02020603050405020304"/>
    <w:charset w:val="00"/>
    <w:family w:val="roman"/>
    <w:pitch w:val="variable"/>
    <w:sig w:usb0="00000003" w:usb1="00000000" w:usb2="00000000" w:usb3="00000000" w:csb0="00000001" w:csb1="00000000"/>
  </w:font>
  <w:font w:name="Helvetica Neue">
    <w:charset w:val="00"/>
    <w:family w:val="swiss"/>
    <w:pitch w:val="variable"/>
    <w:sig w:usb0="E50002FF" w:usb1="500079DB" w:usb2="00000010" w:usb3="00000000" w:csb0="00000001" w:csb1="00000000"/>
  </w:font>
  <w:font w:name="Consolas">
    <w:panose1 w:val="020B0609020204030204"/>
    <w:charset w:val="00"/>
    <w:family w:val="swiss"/>
    <w:pitch w:val="fixed"/>
    <w:sig w:usb0="E10002FF" w:usb1="4000FCFF" w:usb2="00000009" w:usb3="00000000" w:csb0="0000019F" w:csb1="00000000"/>
  </w:font>
  <w:font w:name="Cordia New">
    <w:panose1 w:val="020B03040202020202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40" w:rsidRPr="00E72042" w:rsidRDefault="00041340" w:rsidP="00E72042">
    <w:pPr>
      <w:pStyle w:val="Footer"/>
      <w:rPr>
        <w:rFonts w:ascii="Calibri" w:hAnsi="Calibri"/>
        <w:sz w:val="22"/>
        <w:szCs w:val="22"/>
      </w:rPr>
    </w:pPr>
    <w:r w:rsidRPr="00E72042">
      <w:rPr>
        <w:rFonts w:ascii="Calibri" w:hAnsi="Calibri"/>
        <w:sz w:val="22"/>
        <w:szCs w:val="22"/>
      </w:rPr>
      <w:fldChar w:fldCharType="begin"/>
    </w:r>
    <w:r w:rsidRPr="00E72042">
      <w:rPr>
        <w:rFonts w:ascii="Calibri" w:hAnsi="Calibri"/>
        <w:sz w:val="22"/>
        <w:szCs w:val="22"/>
      </w:rPr>
      <w:instrText xml:space="preserve"> PAGE   \* MERGEFORMAT </w:instrText>
    </w:r>
    <w:r w:rsidRPr="00E72042">
      <w:rPr>
        <w:rFonts w:ascii="Calibri" w:hAnsi="Calibri"/>
        <w:sz w:val="22"/>
        <w:szCs w:val="22"/>
      </w:rPr>
      <w:fldChar w:fldCharType="separate"/>
    </w:r>
    <w:r>
      <w:rPr>
        <w:rFonts w:ascii="Calibri" w:hAnsi="Calibri"/>
        <w:noProof/>
        <w:sz w:val="22"/>
        <w:szCs w:val="22"/>
      </w:rPr>
      <w:t>6</w:t>
    </w:r>
    <w:r w:rsidRPr="00E72042">
      <w:rPr>
        <w:rFonts w:ascii="Calibri" w:hAnsi="Calibri"/>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40" w:rsidRPr="00E72042" w:rsidRDefault="00041340" w:rsidP="00E72042">
    <w:pPr>
      <w:pStyle w:val="Footer"/>
      <w:jc w:val="right"/>
      <w:rPr>
        <w:rFonts w:ascii="Calibri" w:hAnsi="Calibri"/>
        <w:sz w:val="22"/>
        <w:szCs w:val="22"/>
      </w:rPr>
    </w:pPr>
    <w:r w:rsidRPr="00E72042">
      <w:rPr>
        <w:rFonts w:ascii="Calibri" w:hAnsi="Calibri"/>
        <w:sz w:val="22"/>
        <w:szCs w:val="22"/>
      </w:rPr>
      <w:fldChar w:fldCharType="begin"/>
    </w:r>
    <w:r w:rsidRPr="00E72042">
      <w:rPr>
        <w:rFonts w:ascii="Calibri" w:hAnsi="Calibri"/>
        <w:sz w:val="22"/>
        <w:szCs w:val="22"/>
      </w:rPr>
      <w:instrText xml:space="preserve"> PAGE   \* MERGEFORMAT </w:instrText>
    </w:r>
    <w:r w:rsidRPr="00E72042">
      <w:rPr>
        <w:rFonts w:ascii="Calibri" w:hAnsi="Calibri"/>
        <w:sz w:val="22"/>
        <w:szCs w:val="22"/>
      </w:rPr>
      <w:fldChar w:fldCharType="separate"/>
    </w:r>
    <w:r>
      <w:rPr>
        <w:rFonts w:ascii="Calibri" w:hAnsi="Calibri"/>
        <w:noProof/>
        <w:sz w:val="22"/>
        <w:szCs w:val="22"/>
      </w:rPr>
      <w:t>7</w:t>
    </w:r>
    <w:r w:rsidRPr="00E72042">
      <w:rPr>
        <w:rFonts w:ascii="Calibri" w:hAnsi="Calibri"/>
        <w:noProof/>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40" w:rsidRPr="00E72042" w:rsidRDefault="00041340" w:rsidP="00E72042">
    <w:pPr>
      <w:pStyle w:val="Footer"/>
      <w:rPr>
        <w:rFonts w:ascii="Calibri" w:hAnsi="Calibri"/>
        <w:sz w:val="22"/>
        <w:szCs w:val="22"/>
      </w:rPr>
    </w:pPr>
    <w:r w:rsidRPr="00E72042">
      <w:rPr>
        <w:rFonts w:ascii="Calibri" w:hAnsi="Calibri"/>
        <w:sz w:val="22"/>
        <w:szCs w:val="22"/>
      </w:rPr>
      <w:fldChar w:fldCharType="begin"/>
    </w:r>
    <w:r w:rsidRPr="00E72042">
      <w:rPr>
        <w:rFonts w:ascii="Calibri" w:hAnsi="Calibri"/>
        <w:sz w:val="22"/>
        <w:szCs w:val="22"/>
      </w:rPr>
      <w:instrText xml:space="preserve"> PAGE   \* MERGEFORMAT </w:instrText>
    </w:r>
    <w:r w:rsidRPr="00E72042">
      <w:rPr>
        <w:rFonts w:ascii="Calibri" w:hAnsi="Calibri"/>
        <w:sz w:val="22"/>
        <w:szCs w:val="22"/>
      </w:rPr>
      <w:fldChar w:fldCharType="separate"/>
    </w:r>
    <w:r w:rsidR="007B44FC">
      <w:rPr>
        <w:rFonts w:ascii="Calibri" w:hAnsi="Calibri"/>
        <w:noProof/>
        <w:sz w:val="22"/>
        <w:szCs w:val="22"/>
      </w:rPr>
      <w:t>12</w:t>
    </w:r>
    <w:r w:rsidRPr="00E72042">
      <w:rPr>
        <w:rFonts w:ascii="Calibri" w:hAnsi="Calibri"/>
        <w:noProof/>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40" w:rsidRPr="00E72042" w:rsidRDefault="00041340" w:rsidP="00E72042">
    <w:pPr>
      <w:pStyle w:val="Footer"/>
      <w:jc w:val="right"/>
      <w:rPr>
        <w:rFonts w:ascii="Calibri" w:hAnsi="Calibri"/>
        <w:sz w:val="22"/>
        <w:szCs w:val="22"/>
      </w:rPr>
    </w:pPr>
    <w:r w:rsidRPr="00E72042">
      <w:rPr>
        <w:rFonts w:ascii="Calibri" w:hAnsi="Calibri"/>
        <w:sz w:val="22"/>
        <w:szCs w:val="22"/>
      </w:rPr>
      <w:fldChar w:fldCharType="begin"/>
    </w:r>
    <w:r w:rsidRPr="00E72042">
      <w:rPr>
        <w:rFonts w:ascii="Calibri" w:hAnsi="Calibri"/>
        <w:sz w:val="22"/>
        <w:szCs w:val="22"/>
      </w:rPr>
      <w:instrText xml:space="preserve"> PAGE   \* MERGEFORMAT </w:instrText>
    </w:r>
    <w:r w:rsidRPr="00E72042">
      <w:rPr>
        <w:rFonts w:ascii="Calibri" w:hAnsi="Calibri"/>
        <w:sz w:val="22"/>
        <w:szCs w:val="22"/>
      </w:rPr>
      <w:fldChar w:fldCharType="separate"/>
    </w:r>
    <w:r w:rsidR="007B44FC">
      <w:rPr>
        <w:rFonts w:ascii="Calibri" w:hAnsi="Calibri"/>
        <w:noProof/>
        <w:sz w:val="22"/>
        <w:szCs w:val="22"/>
      </w:rPr>
      <w:t>11</w:t>
    </w:r>
    <w:r w:rsidRPr="00E72042">
      <w:rPr>
        <w:rFonts w:ascii="Calibri" w:hAnsi="Calibri"/>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680" w:rsidRDefault="00C75680" w:rsidP="006A408D"/>
    <w:p w:rsidR="00C75680" w:rsidRDefault="00C75680" w:rsidP="006A408D">
      <w:r>
        <w:separator/>
      </w:r>
    </w:p>
  </w:footnote>
  <w:footnote w:type="continuationSeparator" w:id="0">
    <w:p w:rsidR="00C75680" w:rsidRDefault="00C75680" w:rsidP="006A408D">
      <w:r>
        <w:continuationSeparator/>
      </w:r>
    </w:p>
    <w:p w:rsidR="00C75680" w:rsidRDefault="00C75680" w:rsidP="006A408D"/>
    <w:p w:rsidR="00C75680" w:rsidRDefault="00C75680" w:rsidP="006A408D"/>
  </w:footnote>
  <w:footnote w:id="1">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lang w:val="en-CA"/>
        </w:rPr>
        <w:t>(AGF, 2016)</w:t>
      </w:r>
    </w:p>
  </w:footnote>
  <w:footnote w:id="2">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(ANSTI, 2015)</w:t>
      </w:r>
    </w:p>
  </w:footnote>
  <w:footnote w:id="3">
    <w:p w:rsidR="00041340" w:rsidRPr="00B55A1E" w:rsidRDefault="00041340" w:rsidP="008E5D0F">
      <w:pPr>
        <w:tabs>
          <w:tab w:val="left" w:pos="284"/>
        </w:tabs>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(A Elwadie &amp; A Johnson 2017, 12 July)</w:t>
      </w:r>
    </w:p>
  </w:footnote>
  <w:footnote w:id="4">
    <w:p w:rsidR="00041340" w:rsidRPr="00B55A1E" w:rsidRDefault="00041340" w:rsidP="008E5D0F">
      <w:pPr>
        <w:pStyle w:val="FootnoteText"/>
        <w:tabs>
          <w:tab w:val="left" w:pos="284"/>
        </w:tabs>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(AAS, 2017)</w:t>
      </w:r>
    </w:p>
  </w:footnote>
  <w:footnote w:id="5">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w:t>
      </w:r>
      <w:r w:rsidRPr="00B55A1E">
        <w:rPr>
          <w:rFonts w:ascii="Calibri" w:hAnsi="Calibri"/>
          <w:sz w:val="20"/>
          <w:szCs w:val="20"/>
          <w:lang w:val="en-CA"/>
        </w:rPr>
        <w:t>A Neba 2017, 10 May)</w:t>
      </w:r>
    </w:p>
  </w:footnote>
  <w:footnote w:id="6">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(Graca Machel Trust, 2014)</w:t>
      </w:r>
    </w:p>
  </w:footnote>
  <w:footnote w:id="7">
    <w:p w:rsidR="00041340" w:rsidRPr="00B55A1E" w:rsidRDefault="00041340" w:rsidP="008E5D0F">
      <w:pPr>
        <w:tabs>
          <w:tab w:val="left" w:pos="284"/>
        </w:tabs>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(A </w:t>
      </w:r>
      <w:r w:rsidRPr="00B55A1E">
        <w:rPr>
          <w:rFonts w:ascii="Calibri" w:hAnsi="Calibri"/>
          <w:sz w:val="20"/>
          <w:szCs w:val="20"/>
          <w:shd w:val="clear" w:color="auto" w:fill="FFFFFF"/>
        </w:rPr>
        <w:t>Nayfeh 2017, 5 July)</w:t>
      </w:r>
    </w:p>
  </w:footnote>
  <w:footnote w:id="8">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lang w:val="en-CA"/>
        </w:rPr>
        <w:t>(MMEG, 2015)</w:t>
      </w:r>
    </w:p>
  </w:footnote>
  <w:footnote w:id="9">
    <w:p w:rsidR="00041340" w:rsidRPr="00B55A1E" w:rsidRDefault="00041340" w:rsidP="008E5D0F">
      <w:pPr>
        <w:pStyle w:val="FootnoteText"/>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(M Skelton 2017, 11 July)</w:t>
      </w:r>
    </w:p>
  </w:footnote>
  <w:footnote w:id="10">
    <w:p w:rsidR="00041340" w:rsidRPr="00B55A1E" w:rsidRDefault="00041340" w:rsidP="008E5D0F">
      <w:pPr>
        <w:pStyle w:val="FootnoteText"/>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w:t>
      </w:r>
      <w:r w:rsidRPr="00B55A1E">
        <w:rPr>
          <w:rFonts w:ascii="Calibri" w:hAnsi="Calibri"/>
          <w:sz w:val="20"/>
          <w:szCs w:val="20"/>
          <w:lang w:val="en-CA"/>
        </w:rPr>
        <w:t>A Neba 2017, 10 May)</w:t>
      </w:r>
    </w:p>
  </w:footnote>
  <w:footnote w:id="11">
    <w:p w:rsidR="00041340" w:rsidRPr="00B55A1E" w:rsidRDefault="00041340" w:rsidP="008E5D0F">
      <w:pPr>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(S Nderitu 2017, 23 May), (V Bungane 2017, 6 June)</w:t>
      </w:r>
    </w:p>
  </w:footnote>
  <w:footnote w:id="12">
    <w:p w:rsidR="00041340" w:rsidRPr="00B55A1E" w:rsidRDefault="00041340" w:rsidP="008E5D0F">
      <w:pPr>
        <w:pStyle w:val="FootnoteText"/>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(M Verschoor 2017, 29 May)</w:t>
      </w:r>
    </w:p>
  </w:footnote>
  <w:footnote w:id="13">
    <w:p w:rsidR="00041340" w:rsidRPr="00B55A1E" w:rsidRDefault="00041340" w:rsidP="008E5D0F">
      <w:pPr>
        <w:pStyle w:val="FootnoteText"/>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(Schlumberger Foundation, 2010)</w:t>
      </w:r>
    </w:p>
  </w:footnote>
  <w:footnote w:id="14">
    <w:p w:rsidR="00041340" w:rsidRPr="00B55A1E" w:rsidRDefault="00041340" w:rsidP="008E5D0F">
      <w:pPr>
        <w:pStyle w:val="FootnoteText"/>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(D Khan 2017, 13 June)</w:t>
      </w:r>
    </w:p>
  </w:footnote>
  <w:footnote w:id="15">
    <w:p w:rsidR="00041340" w:rsidRPr="00B55A1E" w:rsidRDefault="00041340" w:rsidP="008E5D0F">
      <w:pPr>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(H Bayusuf 2017, 27 June)</w:t>
      </w:r>
    </w:p>
  </w:footnote>
  <w:footnote w:id="16">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(P </w:t>
      </w:r>
      <w:proofErr w:type="spellStart"/>
      <w:r w:rsidRPr="00B55A1E">
        <w:rPr>
          <w:rFonts w:ascii="Calibri" w:hAnsi="Calibri"/>
          <w:sz w:val="20"/>
          <w:szCs w:val="20"/>
        </w:rPr>
        <w:t>Ngure</w:t>
      </w:r>
      <w:proofErr w:type="spellEnd"/>
      <w:r w:rsidRPr="00B55A1E">
        <w:rPr>
          <w:rFonts w:ascii="Calibri" w:hAnsi="Calibri"/>
          <w:sz w:val="20"/>
          <w:szCs w:val="20"/>
        </w:rPr>
        <w:t xml:space="preserve"> 2017, 14 June)</w:t>
      </w:r>
    </w:p>
  </w:footnote>
  <w:footnote w:id="17">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lang w:val="en-CA"/>
        </w:rPr>
        <w:t>(The Association of Commonwealth Universities, 2017)</w:t>
      </w:r>
    </w:p>
  </w:footnote>
  <w:footnote w:id="18">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lang w:val="en-CA"/>
        </w:rPr>
        <w:t>(W Barton 2017, 15 June)</w:t>
      </w:r>
    </w:p>
  </w:footnote>
  <w:footnote w:id="19">
    <w:p w:rsidR="00041340" w:rsidRPr="00B55A1E" w:rsidRDefault="00041340" w:rsidP="008E5D0F">
      <w:pPr>
        <w:tabs>
          <w:tab w:val="left" w:pos="284"/>
        </w:tabs>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(A </w:t>
      </w:r>
      <w:proofErr w:type="spellStart"/>
      <w:r w:rsidRPr="00B55A1E">
        <w:rPr>
          <w:rFonts w:ascii="Calibri" w:hAnsi="Calibri"/>
          <w:sz w:val="20"/>
          <w:szCs w:val="20"/>
        </w:rPr>
        <w:t>Elwadie</w:t>
      </w:r>
      <w:proofErr w:type="spellEnd"/>
      <w:r w:rsidRPr="00B55A1E">
        <w:rPr>
          <w:rFonts w:ascii="Calibri" w:hAnsi="Calibri"/>
          <w:sz w:val="20"/>
          <w:szCs w:val="20"/>
        </w:rPr>
        <w:t xml:space="preserve"> &amp; A Johnson 2017, 12 July)</w:t>
      </w:r>
    </w:p>
  </w:footnote>
  <w:footnote w:id="20">
    <w:p w:rsidR="00041340" w:rsidRPr="00B55A1E" w:rsidRDefault="00041340" w:rsidP="008E5D0F">
      <w:pPr>
        <w:tabs>
          <w:tab w:val="left" w:pos="284"/>
        </w:tabs>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(P </w:t>
      </w:r>
      <w:proofErr w:type="spellStart"/>
      <w:r w:rsidRPr="00B55A1E">
        <w:rPr>
          <w:rFonts w:ascii="Calibri" w:hAnsi="Calibri"/>
          <w:sz w:val="20"/>
          <w:szCs w:val="20"/>
        </w:rPr>
        <w:t>Ngure</w:t>
      </w:r>
      <w:proofErr w:type="spellEnd"/>
      <w:r w:rsidRPr="00B55A1E">
        <w:rPr>
          <w:rFonts w:ascii="Calibri" w:hAnsi="Calibri"/>
          <w:sz w:val="20"/>
          <w:szCs w:val="20"/>
        </w:rPr>
        <w:t xml:space="preserve"> 2017, 14 June)</w:t>
      </w:r>
    </w:p>
  </w:footnote>
  <w:footnote w:id="21">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lang w:val="en-CA"/>
        </w:rPr>
        <w:t xml:space="preserve">(E </w:t>
      </w:r>
      <w:proofErr w:type="spellStart"/>
      <w:r w:rsidRPr="00B55A1E">
        <w:rPr>
          <w:rFonts w:ascii="Calibri" w:hAnsi="Calibri"/>
          <w:sz w:val="20"/>
          <w:szCs w:val="20"/>
          <w:lang w:val="en-CA"/>
        </w:rPr>
        <w:t>Catumbela</w:t>
      </w:r>
      <w:proofErr w:type="spellEnd"/>
      <w:r w:rsidRPr="00B55A1E">
        <w:rPr>
          <w:rFonts w:ascii="Calibri" w:hAnsi="Calibri"/>
          <w:sz w:val="20"/>
          <w:szCs w:val="20"/>
          <w:lang w:val="en-CA"/>
        </w:rPr>
        <w:t xml:space="preserve"> 2017, 29 May)</w:t>
      </w:r>
    </w:p>
  </w:footnote>
  <w:footnote w:id="22">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(I </w:t>
      </w:r>
      <w:proofErr w:type="spellStart"/>
      <w:r w:rsidRPr="00B55A1E">
        <w:rPr>
          <w:rFonts w:ascii="Calibri" w:hAnsi="Calibri"/>
          <w:sz w:val="20"/>
          <w:szCs w:val="20"/>
        </w:rPr>
        <w:t>Peñas</w:t>
      </w:r>
      <w:proofErr w:type="spellEnd"/>
      <w:r w:rsidRPr="00B55A1E">
        <w:rPr>
          <w:rFonts w:ascii="Calibri" w:hAnsi="Calibri"/>
          <w:sz w:val="20"/>
          <w:szCs w:val="20"/>
        </w:rPr>
        <w:t xml:space="preserve"> Jiménez 2017, 22 June)</w:t>
      </w:r>
    </w:p>
  </w:footnote>
  <w:footnote w:id="23">
    <w:p w:rsidR="00041340" w:rsidRPr="00B55A1E" w:rsidRDefault="00041340" w:rsidP="008E5D0F">
      <w:pPr>
        <w:pStyle w:val="FootnoteText"/>
        <w:tabs>
          <w:tab w:val="left" w:pos="284"/>
        </w:tabs>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Data for both FP7 and Horizon 2020 was adapted from the responses of individual research teams. Total</w:t>
      </w:r>
      <w:r>
        <w:rPr>
          <w:rFonts w:ascii="Calibri" w:hAnsi="Calibri"/>
          <w:sz w:val="20"/>
          <w:szCs w:val="20"/>
        </w:rPr>
        <w:t> </w:t>
      </w:r>
      <w:r w:rsidRPr="00B55A1E">
        <w:rPr>
          <w:rFonts w:ascii="Calibri" w:hAnsi="Calibri"/>
          <w:sz w:val="20"/>
          <w:szCs w:val="20"/>
        </w:rPr>
        <w:t>response rate of research teams was 23%.</w:t>
      </w:r>
    </w:p>
  </w:footnote>
  <w:footnote w:id="24">
    <w:p w:rsidR="00041340" w:rsidRPr="00B55A1E" w:rsidRDefault="00041340" w:rsidP="008E5D0F">
      <w:pPr>
        <w:pStyle w:val="FootnoteText"/>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(T Nyirenda 2017, 11 May)</w:t>
      </w:r>
    </w:p>
  </w:footnote>
  <w:footnote w:id="25">
    <w:p w:rsidR="00041340" w:rsidRPr="00B55A1E" w:rsidRDefault="00041340" w:rsidP="008E5D0F">
      <w:pPr>
        <w:pStyle w:val="FootnoteText"/>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(K </w:t>
      </w:r>
      <w:proofErr w:type="spellStart"/>
      <w:r w:rsidRPr="00B55A1E">
        <w:rPr>
          <w:rFonts w:ascii="Calibri" w:hAnsi="Calibri"/>
          <w:sz w:val="20"/>
          <w:szCs w:val="20"/>
        </w:rPr>
        <w:t>Wambua</w:t>
      </w:r>
      <w:proofErr w:type="spellEnd"/>
      <w:r w:rsidRPr="00B55A1E">
        <w:rPr>
          <w:rFonts w:ascii="Calibri" w:hAnsi="Calibri"/>
          <w:sz w:val="20"/>
          <w:szCs w:val="20"/>
        </w:rPr>
        <w:t xml:space="preserve"> 2017, 4 July) </w:t>
      </w:r>
    </w:p>
  </w:footnote>
  <w:footnote w:id="26">
    <w:p w:rsidR="00041340" w:rsidRPr="00B55A1E" w:rsidRDefault="00041340" w:rsidP="008E5D0F">
      <w:pPr>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(S </w:t>
      </w:r>
      <w:proofErr w:type="spellStart"/>
      <w:r w:rsidRPr="00B55A1E">
        <w:rPr>
          <w:rFonts w:ascii="Calibri" w:hAnsi="Calibri"/>
          <w:sz w:val="20"/>
          <w:szCs w:val="20"/>
        </w:rPr>
        <w:t>Hassane</w:t>
      </w:r>
      <w:proofErr w:type="spellEnd"/>
      <w:r w:rsidRPr="00B55A1E">
        <w:rPr>
          <w:rFonts w:ascii="Calibri" w:hAnsi="Calibri"/>
          <w:sz w:val="20"/>
          <w:szCs w:val="20"/>
        </w:rPr>
        <w:t xml:space="preserve"> 2017, 6 July)</w:t>
      </w:r>
    </w:p>
  </w:footnote>
  <w:footnote w:id="27">
    <w:p w:rsidR="00041340" w:rsidRPr="00B55A1E" w:rsidRDefault="00041340" w:rsidP="008E5D0F">
      <w:pPr>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(M Lucas-</w:t>
      </w:r>
      <w:proofErr w:type="spellStart"/>
      <w:r w:rsidRPr="00B55A1E">
        <w:rPr>
          <w:rFonts w:ascii="Calibri" w:hAnsi="Calibri"/>
          <w:sz w:val="20"/>
          <w:szCs w:val="20"/>
        </w:rPr>
        <w:t>Hourani</w:t>
      </w:r>
      <w:proofErr w:type="spellEnd"/>
      <w:r w:rsidRPr="00B55A1E">
        <w:rPr>
          <w:rFonts w:ascii="Calibri" w:hAnsi="Calibri"/>
          <w:sz w:val="20"/>
          <w:szCs w:val="20"/>
        </w:rPr>
        <w:t xml:space="preserve"> 2017, 26 June) </w:t>
      </w:r>
    </w:p>
  </w:footnote>
  <w:footnote w:id="28">
    <w:p w:rsidR="00041340" w:rsidRPr="00B55A1E" w:rsidRDefault="00041340" w:rsidP="008E5D0F">
      <w:pPr>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(A </w:t>
      </w:r>
      <w:proofErr w:type="spellStart"/>
      <w:r w:rsidRPr="00B55A1E">
        <w:rPr>
          <w:rFonts w:ascii="Calibri" w:hAnsi="Calibri"/>
          <w:sz w:val="20"/>
          <w:szCs w:val="20"/>
          <w:shd w:val="clear" w:color="auto" w:fill="FFFFFF"/>
        </w:rPr>
        <w:t>Nayfeh</w:t>
      </w:r>
      <w:proofErr w:type="spellEnd"/>
      <w:r w:rsidRPr="00B55A1E">
        <w:rPr>
          <w:rFonts w:ascii="Calibri" w:hAnsi="Calibri"/>
          <w:sz w:val="20"/>
          <w:szCs w:val="20"/>
          <w:shd w:val="clear" w:color="auto" w:fill="FFFFFF"/>
        </w:rPr>
        <w:t xml:space="preserve"> 2017, 5 July)</w:t>
      </w:r>
    </w:p>
  </w:footnote>
  <w:footnote w:id="29">
    <w:p w:rsidR="00041340" w:rsidRPr="00B55A1E" w:rsidRDefault="00041340" w:rsidP="008E5D0F">
      <w:pPr>
        <w:pStyle w:val="FootnoteText"/>
        <w:ind w:left="284" w:hanging="284"/>
        <w:rPr>
          <w:rFonts w:ascii="Calibri" w:hAnsi="Calibri"/>
          <w:sz w:val="20"/>
          <w:szCs w:val="20"/>
          <w:lang w:val="en-CA"/>
        </w:rPr>
      </w:pPr>
      <w:r w:rsidRPr="00B55A1E">
        <w:rPr>
          <w:rStyle w:val="FootnoteReference"/>
          <w:rFonts w:ascii="Calibri" w:hAnsi="Calibri" w:cs="Cordia New"/>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The IDRC did not always specify which type of postgraduate degree was funded, describing them instead as “Master’s/PhD degrees funded”; due to their research topics, these were all assumed to be PhDs. </w:t>
      </w:r>
    </w:p>
  </w:footnote>
  <w:footnote w:id="30">
    <w:p w:rsidR="00041340" w:rsidRPr="00B55A1E" w:rsidRDefault="00041340" w:rsidP="008E5D0F">
      <w:pPr>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(A </w:t>
      </w:r>
      <w:proofErr w:type="spellStart"/>
      <w:r w:rsidRPr="00B55A1E">
        <w:rPr>
          <w:rFonts w:ascii="Calibri" w:hAnsi="Calibri"/>
          <w:sz w:val="20"/>
          <w:szCs w:val="20"/>
        </w:rPr>
        <w:t>Bricout</w:t>
      </w:r>
      <w:proofErr w:type="spellEnd"/>
      <w:r w:rsidRPr="00B55A1E">
        <w:rPr>
          <w:rFonts w:ascii="Calibri" w:hAnsi="Calibri"/>
          <w:sz w:val="20"/>
          <w:szCs w:val="20"/>
        </w:rPr>
        <w:t xml:space="preserve"> 2017, 28 June)</w:t>
      </w:r>
    </w:p>
  </w:footnote>
  <w:footnote w:id="31">
    <w:p w:rsidR="00041340" w:rsidRPr="00B55A1E" w:rsidRDefault="00041340" w:rsidP="008E5D0F">
      <w:pPr>
        <w:pStyle w:val="FootnoteText"/>
        <w:ind w:left="284" w:hanging="284"/>
        <w:rPr>
          <w:rFonts w:ascii="Calibri" w:hAnsi="Calibri"/>
          <w:sz w:val="20"/>
          <w:szCs w:val="20"/>
          <w:lang w:val="en-CA"/>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lang w:val="en-CA"/>
        </w:rPr>
        <w:t>(MRF, 2017)</w:t>
      </w:r>
    </w:p>
  </w:footnote>
  <w:footnote w:id="32">
    <w:p w:rsidR="00041340" w:rsidRPr="00B55A1E" w:rsidRDefault="00041340" w:rsidP="008E5D0F">
      <w:pPr>
        <w:ind w:left="284" w:hanging="284"/>
        <w:rPr>
          <w:rFonts w:ascii="Calibri" w:hAnsi="Calibri"/>
          <w:sz w:val="20"/>
          <w:szCs w:val="20"/>
        </w:rPr>
      </w:pPr>
      <w:r w:rsidRPr="00B55A1E">
        <w:rPr>
          <w:rStyle w:val="FootnoteReference"/>
          <w:rFonts w:ascii="Calibri" w:hAnsi="Calibri"/>
          <w:sz w:val="20"/>
          <w:szCs w:val="20"/>
        </w:rPr>
        <w:footnoteRef/>
      </w:r>
      <w:r w:rsidRPr="00B55A1E">
        <w:rPr>
          <w:rFonts w:ascii="Calibri" w:hAnsi="Calibri"/>
          <w:sz w:val="20"/>
          <w:szCs w:val="20"/>
        </w:rPr>
        <w:t xml:space="preserve"> </w:t>
      </w:r>
      <w:r>
        <w:rPr>
          <w:rFonts w:ascii="Calibri" w:hAnsi="Calibri"/>
          <w:sz w:val="20"/>
          <w:szCs w:val="20"/>
        </w:rPr>
        <w:tab/>
      </w:r>
      <w:r w:rsidRPr="00B55A1E">
        <w:rPr>
          <w:rFonts w:ascii="Calibri" w:hAnsi="Calibri"/>
          <w:sz w:val="20"/>
          <w:szCs w:val="20"/>
        </w:rPr>
        <w:t xml:space="preserve">(A </w:t>
      </w:r>
      <w:proofErr w:type="spellStart"/>
      <w:r w:rsidRPr="00B55A1E">
        <w:rPr>
          <w:rFonts w:ascii="Calibri" w:hAnsi="Calibri"/>
          <w:sz w:val="20"/>
          <w:szCs w:val="20"/>
        </w:rPr>
        <w:t>Jaye</w:t>
      </w:r>
      <w:proofErr w:type="spellEnd"/>
      <w:r w:rsidRPr="00B55A1E">
        <w:rPr>
          <w:rFonts w:ascii="Calibri" w:hAnsi="Calibri"/>
          <w:sz w:val="20"/>
          <w:szCs w:val="20"/>
        </w:rPr>
        <w:t xml:space="preserve"> &amp; A </w:t>
      </w:r>
      <w:proofErr w:type="spellStart"/>
      <w:r w:rsidRPr="00B55A1E">
        <w:rPr>
          <w:rFonts w:ascii="Calibri" w:hAnsi="Calibri"/>
          <w:sz w:val="20"/>
          <w:szCs w:val="20"/>
        </w:rPr>
        <w:t>Drammeh</w:t>
      </w:r>
      <w:proofErr w:type="spellEnd"/>
      <w:r w:rsidRPr="00B55A1E">
        <w:rPr>
          <w:rFonts w:ascii="Calibri" w:hAnsi="Calibri"/>
          <w:sz w:val="20"/>
          <w:szCs w:val="20"/>
        </w:rPr>
        <w:t xml:space="preserve"> 2017, 29 June)</w:t>
      </w:r>
    </w:p>
  </w:footnote>
  <w:footnote w:id="33">
    <w:p w:rsidR="00041340" w:rsidRPr="0070772D" w:rsidRDefault="00041340" w:rsidP="008E5D0F">
      <w:pPr>
        <w:pStyle w:val="FootnoteText"/>
        <w:ind w:left="284" w:hanging="284"/>
        <w:rPr>
          <w:rFonts w:ascii="Calibri" w:hAnsi="Calibri"/>
          <w:sz w:val="20"/>
          <w:szCs w:val="20"/>
          <w:lang w:val="en-CA"/>
        </w:rPr>
      </w:pPr>
      <w:r w:rsidRPr="0070772D">
        <w:rPr>
          <w:rStyle w:val="FootnoteReference"/>
          <w:rFonts w:ascii="Calibri" w:hAnsi="Calibri"/>
          <w:sz w:val="20"/>
          <w:szCs w:val="20"/>
        </w:rPr>
        <w:footnoteRef/>
      </w:r>
      <w:r w:rsidRPr="0070772D">
        <w:rPr>
          <w:rFonts w:ascii="Calibri" w:hAnsi="Calibri"/>
          <w:sz w:val="20"/>
          <w:szCs w:val="20"/>
        </w:rPr>
        <w:t xml:space="preserve"> </w:t>
      </w:r>
      <w:r>
        <w:rPr>
          <w:rFonts w:ascii="Calibri" w:hAnsi="Calibri"/>
          <w:sz w:val="20"/>
          <w:szCs w:val="20"/>
        </w:rPr>
        <w:tab/>
      </w:r>
      <w:r w:rsidRPr="0070772D">
        <w:rPr>
          <w:rFonts w:ascii="Calibri" w:hAnsi="Calibri"/>
          <w:sz w:val="20"/>
          <w:szCs w:val="20"/>
        </w:rPr>
        <w:t xml:space="preserve">(A </w:t>
      </w:r>
      <w:r w:rsidRPr="0070772D">
        <w:rPr>
          <w:rFonts w:ascii="Calibri" w:hAnsi="Calibri"/>
          <w:sz w:val="20"/>
          <w:szCs w:val="20"/>
          <w:lang w:val="en-CA"/>
        </w:rPr>
        <w:t>Elliot 2017, 29 June)</w:t>
      </w:r>
    </w:p>
  </w:footnote>
  <w:footnote w:id="34">
    <w:p w:rsidR="00041340" w:rsidRPr="0070772D" w:rsidRDefault="00041340" w:rsidP="008E5D0F">
      <w:pPr>
        <w:pStyle w:val="FootnoteText"/>
        <w:ind w:left="284" w:hanging="284"/>
        <w:rPr>
          <w:rFonts w:ascii="Calibri" w:hAnsi="Calibri"/>
          <w:sz w:val="20"/>
          <w:szCs w:val="20"/>
          <w:lang w:val="en-CA"/>
        </w:rPr>
      </w:pPr>
      <w:r w:rsidRPr="0070772D">
        <w:rPr>
          <w:rStyle w:val="FootnoteReference"/>
          <w:rFonts w:ascii="Calibri" w:hAnsi="Calibri"/>
          <w:sz w:val="20"/>
          <w:szCs w:val="20"/>
        </w:rPr>
        <w:footnoteRef/>
      </w:r>
      <w:r w:rsidRPr="0070772D">
        <w:rPr>
          <w:rFonts w:ascii="Calibri" w:hAnsi="Calibri"/>
          <w:sz w:val="20"/>
          <w:szCs w:val="20"/>
        </w:rPr>
        <w:t xml:space="preserve"> </w:t>
      </w:r>
      <w:r>
        <w:rPr>
          <w:rFonts w:ascii="Calibri" w:hAnsi="Calibri"/>
          <w:sz w:val="20"/>
          <w:szCs w:val="20"/>
        </w:rPr>
        <w:tab/>
      </w:r>
      <w:r w:rsidRPr="0070772D">
        <w:rPr>
          <w:rFonts w:ascii="Calibri" w:hAnsi="Calibri"/>
          <w:sz w:val="20"/>
          <w:szCs w:val="20"/>
        </w:rPr>
        <w:t>(S Breivik 2017, 15 June)</w:t>
      </w:r>
    </w:p>
  </w:footnote>
  <w:footnote w:id="35">
    <w:p w:rsidR="00041340" w:rsidRPr="0070772D" w:rsidRDefault="00041340" w:rsidP="008E5D0F">
      <w:pPr>
        <w:pStyle w:val="NoSpacing"/>
        <w:ind w:left="284" w:hanging="284"/>
        <w:rPr>
          <w:rFonts w:ascii="Calibri" w:hAnsi="Calibri"/>
          <w:sz w:val="20"/>
          <w:szCs w:val="20"/>
          <w:lang w:val="en-CA"/>
        </w:rPr>
      </w:pPr>
      <w:r w:rsidRPr="0070772D">
        <w:rPr>
          <w:rStyle w:val="FootnoteReference"/>
          <w:rFonts w:ascii="Calibri" w:hAnsi="Calibri"/>
          <w:sz w:val="20"/>
          <w:szCs w:val="20"/>
        </w:rPr>
        <w:footnoteRef/>
      </w:r>
      <w:r w:rsidRPr="0070772D">
        <w:rPr>
          <w:rFonts w:ascii="Calibri" w:hAnsi="Calibri"/>
          <w:sz w:val="20"/>
          <w:szCs w:val="20"/>
        </w:rPr>
        <w:t xml:space="preserve"> </w:t>
      </w:r>
      <w:r>
        <w:rPr>
          <w:rFonts w:ascii="Calibri" w:hAnsi="Calibri"/>
          <w:sz w:val="20"/>
          <w:szCs w:val="20"/>
        </w:rPr>
        <w:tab/>
      </w:r>
      <w:r w:rsidRPr="0070772D">
        <w:rPr>
          <w:rFonts w:ascii="Calibri" w:hAnsi="Calibri"/>
          <w:sz w:val="20"/>
          <w:szCs w:val="20"/>
          <w:lang w:val="en-CA"/>
        </w:rPr>
        <w:t xml:space="preserve">NOHRED data only included candidates already enrolled or graduated by 2016, as the only figures available for 2017 were target projections. </w:t>
      </w:r>
    </w:p>
  </w:footnote>
  <w:footnote w:id="36">
    <w:p w:rsidR="00041340" w:rsidRPr="0070772D" w:rsidRDefault="00041340" w:rsidP="008E5D0F">
      <w:pPr>
        <w:pStyle w:val="FootnoteText"/>
        <w:ind w:left="284" w:hanging="284"/>
        <w:rPr>
          <w:rFonts w:ascii="Calibri" w:hAnsi="Calibri"/>
          <w:sz w:val="20"/>
          <w:szCs w:val="20"/>
          <w:lang w:val="en-CA"/>
        </w:rPr>
      </w:pPr>
      <w:r w:rsidRPr="0070772D">
        <w:rPr>
          <w:rStyle w:val="FootnoteReference"/>
          <w:rFonts w:ascii="Calibri" w:hAnsi="Calibri"/>
          <w:sz w:val="20"/>
          <w:szCs w:val="20"/>
        </w:rPr>
        <w:footnoteRef/>
      </w:r>
      <w:r w:rsidRPr="0070772D">
        <w:rPr>
          <w:rFonts w:ascii="Calibri" w:hAnsi="Calibri"/>
          <w:sz w:val="20"/>
          <w:szCs w:val="20"/>
        </w:rPr>
        <w:t xml:space="preserve"> </w:t>
      </w:r>
      <w:r>
        <w:rPr>
          <w:rFonts w:ascii="Calibri" w:hAnsi="Calibri"/>
          <w:sz w:val="20"/>
          <w:szCs w:val="20"/>
        </w:rPr>
        <w:tab/>
      </w:r>
      <w:r w:rsidRPr="0070772D">
        <w:rPr>
          <w:rFonts w:ascii="Calibri" w:hAnsi="Calibri"/>
          <w:sz w:val="20"/>
          <w:szCs w:val="20"/>
        </w:rPr>
        <w:t>(E Kamau 2017, 8 May)</w:t>
      </w:r>
    </w:p>
  </w:footnote>
  <w:footnote w:id="37">
    <w:p w:rsidR="00041340" w:rsidRPr="0070772D" w:rsidRDefault="00041340" w:rsidP="008E5D0F">
      <w:pPr>
        <w:pStyle w:val="FootnoteText"/>
        <w:ind w:left="284" w:hanging="284"/>
        <w:rPr>
          <w:rFonts w:ascii="Calibri" w:hAnsi="Calibri"/>
          <w:sz w:val="20"/>
          <w:szCs w:val="20"/>
          <w:lang w:val="en-CA"/>
        </w:rPr>
      </w:pPr>
      <w:r w:rsidRPr="0070772D">
        <w:rPr>
          <w:rStyle w:val="FootnoteReference"/>
          <w:rFonts w:ascii="Calibri" w:hAnsi="Calibri"/>
          <w:sz w:val="20"/>
          <w:szCs w:val="20"/>
        </w:rPr>
        <w:footnoteRef/>
      </w:r>
      <w:r w:rsidRPr="0070772D">
        <w:rPr>
          <w:rFonts w:ascii="Calibri" w:hAnsi="Calibri"/>
          <w:sz w:val="20"/>
          <w:szCs w:val="20"/>
        </w:rPr>
        <w:t xml:space="preserve"> </w:t>
      </w:r>
      <w:r>
        <w:rPr>
          <w:rFonts w:ascii="Calibri" w:hAnsi="Calibri"/>
          <w:sz w:val="20"/>
          <w:szCs w:val="20"/>
        </w:rPr>
        <w:tab/>
      </w:r>
      <w:r w:rsidRPr="0070772D">
        <w:rPr>
          <w:rFonts w:ascii="Calibri" w:hAnsi="Calibri"/>
          <w:sz w:val="20"/>
          <w:szCs w:val="20"/>
        </w:rPr>
        <w:t>(B Ramirez 2017, 10 May)</w:t>
      </w:r>
    </w:p>
  </w:footnote>
  <w:footnote w:id="38">
    <w:p w:rsidR="00041340" w:rsidRPr="0070772D" w:rsidRDefault="00041340" w:rsidP="008E5D0F">
      <w:pPr>
        <w:ind w:left="284" w:hanging="284"/>
        <w:rPr>
          <w:rFonts w:ascii="Calibri" w:hAnsi="Calibri"/>
          <w:sz w:val="20"/>
          <w:szCs w:val="20"/>
        </w:rPr>
      </w:pPr>
      <w:r w:rsidRPr="0070772D">
        <w:rPr>
          <w:rStyle w:val="FootnoteReference"/>
          <w:rFonts w:ascii="Calibri" w:hAnsi="Calibri"/>
          <w:sz w:val="20"/>
          <w:szCs w:val="20"/>
        </w:rPr>
        <w:footnoteRef/>
      </w:r>
      <w:r w:rsidRPr="0070772D">
        <w:rPr>
          <w:rFonts w:ascii="Calibri" w:hAnsi="Calibri"/>
          <w:sz w:val="20"/>
          <w:szCs w:val="20"/>
        </w:rPr>
        <w:t xml:space="preserve"> </w:t>
      </w:r>
      <w:r>
        <w:rPr>
          <w:rFonts w:ascii="Calibri" w:hAnsi="Calibri"/>
          <w:sz w:val="20"/>
          <w:szCs w:val="20"/>
        </w:rPr>
        <w:tab/>
      </w:r>
      <w:r w:rsidRPr="0070772D">
        <w:rPr>
          <w:rFonts w:ascii="Calibri" w:hAnsi="Calibri"/>
          <w:sz w:val="20"/>
          <w:szCs w:val="20"/>
        </w:rPr>
        <w:t>(M Bejarano 2017, 31 May), (C de Carvalho 2017, 5 June)</w:t>
      </w:r>
    </w:p>
  </w:footnote>
  <w:footnote w:id="39">
    <w:p w:rsidR="00041340" w:rsidRPr="0070772D" w:rsidRDefault="00041340" w:rsidP="008E5D0F">
      <w:pPr>
        <w:pStyle w:val="FootnoteText"/>
        <w:ind w:left="284" w:hanging="284"/>
        <w:rPr>
          <w:rFonts w:ascii="Calibri" w:hAnsi="Calibri"/>
          <w:sz w:val="20"/>
          <w:szCs w:val="20"/>
          <w:lang w:val="en-CA"/>
        </w:rPr>
      </w:pPr>
      <w:r w:rsidRPr="0070772D">
        <w:rPr>
          <w:rStyle w:val="FootnoteReference"/>
          <w:rFonts w:ascii="Calibri" w:hAnsi="Calibri"/>
          <w:sz w:val="20"/>
          <w:szCs w:val="20"/>
        </w:rPr>
        <w:footnoteRef/>
      </w:r>
      <w:r w:rsidRPr="0070772D">
        <w:rPr>
          <w:rFonts w:ascii="Calibri" w:hAnsi="Calibri"/>
          <w:sz w:val="20"/>
          <w:szCs w:val="20"/>
        </w:rPr>
        <w:t xml:space="preserve"> </w:t>
      </w:r>
      <w:r>
        <w:rPr>
          <w:rFonts w:ascii="Calibri" w:hAnsi="Calibri"/>
          <w:sz w:val="20"/>
          <w:szCs w:val="20"/>
        </w:rPr>
        <w:tab/>
      </w:r>
      <w:r w:rsidRPr="0070772D">
        <w:rPr>
          <w:rFonts w:ascii="Calibri" w:hAnsi="Calibri"/>
          <w:sz w:val="20"/>
          <w:szCs w:val="20"/>
        </w:rPr>
        <w:t xml:space="preserve">(E </w:t>
      </w:r>
      <w:proofErr w:type="spellStart"/>
      <w:r w:rsidRPr="0070772D">
        <w:rPr>
          <w:rFonts w:ascii="Calibri" w:hAnsi="Calibri"/>
          <w:sz w:val="20"/>
          <w:szCs w:val="20"/>
        </w:rPr>
        <w:t>Gillies</w:t>
      </w:r>
      <w:proofErr w:type="spellEnd"/>
      <w:r w:rsidRPr="0070772D">
        <w:rPr>
          <w:rFonts w:ascii="Calibri" w:hAnsi="Calibri"/>
          <w:sz w:val="20"/>
          <w:szCs w:val="20"/>
        </w:rPr>
        <w:t>, 16 June)</w:t>
      </w:r>
    </w:p>
  </w:footnote>
  <w:footnote w:id="40">
    <w:p w:rsidR="00041340" w:rsidRPr="0070772D" w:rsidRDefault="00041340" w:rsidP="008E5D0F">
      <w:pPr>
        <w:pStyle w:val="FootnoteText"/>
        <w:ind w:left="284" w:hanging="284"/>
        <w:rPr>
          <w:rFonts w:ascii="Calibri" w:hAnsi="Calibri"/>
          <w:sz w:val="20"/>
          <w:szCs w:val="20"/>
          <w:lang w:val="en-CA"/>
        </w:rPr>
      </w:pPr>
      <w:r w:rsidRPr="0070772D">
        <w:rPr>
          <w:rStyle w:val="FootnoteReference"/>
          <w:rFonts w:ascii="Calibri" w:hAnsi="Calibri"/>
          <w:sz w:val="20"/>
          <w:szCs w:val="20"/>
        </w:rPr>
        <w:footnoteRef/>
      </w:r>
      <w:r w:rsidRPr="0070772D">
        <w:rPr>
          <w:rFonts w:ascii="Calibri" w:hAnsi="Calibri"/>
          <w:sz w:val="20"/>
          <w:szCs w:val="20"/>
        </w:rPr>
        <w:t xml:space="preserve"> </w:t>
      </w:r>
      <w:r>
        <w:rPr>
          <w:rFonts w:ascii="Calibri" w:hAnsi="Calibri"/>
          <w:sz w:val="20"/>
          <w:szCs w:val="20"/>
        </w:rPr>
        <w:tab/>
      </w:r>
      <w:r w:rsidRPr="0070772D">
        <w:rPr>
          <w:rFonts w:ascii="Calibri" w:hAnsi="Calibri"/>
          <w:sz w:val="20"/>
          <w:szCs w:val="20"/>
        </w:rPr>
        <w:t>For the Training Fellowships in Public Health and Tropical Medicine, Wellcome Trust was unable to distinguish between Training Fellows in doctoral or postdoctoral positions, so these grantees were all logged as PhD grantees (n=26).</w:t>
      </w:r>
    </w:p>
  </w:footnote>
  <w:footnote w:id="41">
    <w:p w:rsidR="00041340" w:rsidRPr="0070772D" w:rsidRDefault="00041340" w:rsidP="008E5D0F">
      <w:pPr>
        <w:pStyle w:val="FootnoteText"/>
        <w:ind w:left="284" w:hanging="284"/>
        <w:rPr>
          <w:rFonts w:ascii="Calibri" w:hAnsi="Calibri"/>
          <w:sz w:val="20"/>
          <w:szCs w:val="20"/>
          <w:lang w:val="en-CA"/>
        </w:rPr>
      </w:pPr>
      <w:r w:rsidRPr="0070772D">
        <w:rPr>
          <w:rStyle w:val="FootnoteReference"/>
          <w:rFonts w:ascii="Calibri" w:hAnsi="Calibri"/>
          <w:sz w:val="20"/>
          <w:szCs w:val="20"/>
        </w:rPr>
        <w:footnoteRef/>
      </w:r>
      <w:r w:rsidRPr="0070772D">
        <w:rPr>
          <w:rFonts w:ascii="Calibri" w:hAnsi="Calibri"/>
          <w:sz w:val="20"/>
          <w:szCs w:val="20"/>
        </w:rPr>
        <w:t xml:space="preserve"> </w:t>
      </w:r>
      <w:r>
        <w:rPr>
          <w:rFonts w:ascii="Calibri" w:hAnsi="Calibri"/>
          <w:sz w:val="20"/>
          <w:szCs w:val="20"/>
        </w:rPr>
        <w:tab/>
      </w:r>
      <w:r w:rsidRPr="0070772D">
        <w:rPr>
          <w:rFonts w:ascii="Calibri" w:hAnsi="Calibri"/>
          <w:sz w:val="20"/>
          <w:szCs w:val="20"/>
          <w:lang w:val="en-CA"/>
        </w:rPr>
        <w:t>For the purpose of this report, information on CARTA was reported and analyzed separately from the other AIIs. It is presented individually.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40" w:rsidRPr="00E72042" w:rsidRDefault="00041340" w:rsidP="00E72042">
    <w:pPr>
      <w:pStyle w:val="Header"/>
      <w:pBdr>
        <w:bottom w:val="single" w:sz="4" w:space="1" w:color="auto"/>
      </w:pBdr>
      <w:ind w:right="220"/>
      <w:rPr>
        <w:rFonts w:ascii="Calibri" w:hAnsi="Calibri"/>
        <w:sz w:val="22"/>
        <w:szCs w:val="22"/>
        <w:lang w:val="en-GB"/>
      </w:rPr>
    </w:pPr>
    <w:r w:rsidRPr="00E72042">
      <w:rPr>
        <w:rFonts w:ascii="Calibri" w:hAnsi="Calibri"/>
        <w:sz w:val="22"/>
        <w:szCs w:val="22"/>
        <w:lang w:val="en-GB"/>
      </w:rPr>
      <w:t>Strengthening capacity in health research in sub-Saharan Africa</w:t>
    </w:r>
  </w:p>
  <w:p w:rsidR="00041340" w:rsidRDefault="00041340" w:rsidP="00E72042">
    <w:pPr>
      <w:pStyle w:val="Header"/>
    </w:pPr>
  </w:p>
  <w:p w:rsidR="00041340" w:rsidRPr="00E72042" w:rsidRDefault="00041340" w:rsidP="00E720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40" w:rsidRPr="00E72042" w:rsidRDefault="00041340" w:rsidP="00B02C83">
    <w:pPr>
      <w:pStyle w:val="Header"/>
      <w:jc w:val="right"/>
      <w:rPr>
        <w:rFonts w:ascii="Calibri" w:hAnsi="Calibri"/>
        <w:sz w:val="22"/>
        <w:szCs w:val="22"/>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40" w:rsidRPr="00455D17" w:rsidRDefault="00041340" w:rsidP="00455D1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40" w:rsidRPr="00E72042" w:rsidRDefault="00041340" w:rsidP="00B02C83">
    <w:pPr>
      <w:pStyle w:val="Header"/>
      <w:jc w:val="right"/>
      <w:rPr>
        <w:rFonts w:ascii="Calibri" w:hAnsi="Calibri"/>
        <w:sz w:val="22"/>
        <w:szCs w:val="22"/>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Word Work File L_235071390"/>
      </v:shape>
    </w:pict>
  </w:numPicBullet>
  <w:abstractNum w:abstractNumId="0">
    <w:nsid w:val="00CC4BAC"/>
    <w:multiLevelType w:val="hybridMultilevel"/>
    <w:tmpl w:val="93BC1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B053D2"/>
    <w:multiLevelType w:val="hybridMultilevel"/>
    <w:tmpl w:val="CD5A8B7E"/>
    <w:lvl w:ilvl="0" w:tplc="FF4CCA6C">
      <w:start w:val="1"/>
      <w:numFmt w:val="bullet"/>
      <w:lvlText w:val="-"/>
      <w:lvlJc w:val="left"/>
      <w:pPr>
        <w:ind w:left="363" w:hanging="360"/>
      </w:pPr>
      <w:rPr>
        <w:rFonts w:ascii="Times New Roman" w:hAnsi="Times New Roman" w:cs="Times New Roman" w:hint="default"/>
        <w:color w:val="B2B2B2"/>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
    <w:nsid w:val="0AE3451F"/>
    <w:multiLevelType w:val="multilevel"/>
    <w:tmpl w:val="DDEA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5655D7"/>
    <w:multiLevelType w:val="hybridMultilevel"/>
    <w:tmpl w:val="B8007A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F1F42E0"/>
    <w:multiLevelType w:val="hybridMultilevel"/>
    <w:tmpl w:val="F7BC70CE"/>
    <w:lvl w:ilvl="0" w:tplc="0CBABC78">
      <w:start w:val="29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0A79ED"/>
    <w:multiLevelType w:val="hybridMultilevel"/>
    <w:tmpl w:val="9336E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3F1C97"/>
    <w:multiLevelType w:val="multilevel"/>
    <w:tmpl w:val="F816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A144F4"/>
    <w:multiLevelType w:val="hybridMultilevel"/>
    <w:tmpl w:val="2596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29207D"/>
    <w:multiLevelType w:val="multilevel"/>
    <w:tmpl w:val="4816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B75212"/>
    <w:multiLevelType w:val="multilevel"/>
    <w:tmpl w:val="71A8A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90458F"/>
    <w:multiLevelType w:val="hybridMultilevel"/>
    <w:tmpl w:val="92DE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A8770E"/>
    <w:multiLevelType w:val="hybridMultilevel"/>
    <w:tmpl w:val="4686F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BC4F37"/>
    <w:multiLevelType w:val="hybridMultilevel"/>
    <w:tmpl w:val="7C72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D45DCC"/>
    <w:multiLevelType w:val="hybridMultilevel"/>
    <w:tmpl w:val="25C20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AB5A49"/>
    <w:multiLevelType w:val="multilevel"/>
    <w:tmpl w:val="BC6A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3E083B"/>
    <w:multiLevelType w:val="hybridMultilevel"/>
    <w:tmpl w:val="F096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5D3E4A"/>
    <w:multiLevelType w:val="hybridMultilevel"/>
    <w:tmpl w:val="B686A0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654C0"/>
    <w:multiLevelType w:val="hybridMultilevel"/>
    <w:tmpl w:val="EB326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0D2AF1"/>
    <w:multiLevelType w:val="hybridMultilevel"/>
    <w:tmpl w:val="17C685DA"/>
    <w:lvl w:ilvl="0" w:tplc="0CBABC78">
      <w:start w:val="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705081"/>
    <w:multiLevelType w:val="hybridMultilevel"/>
    <w:tmpl w:val="556461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488534B"/>
    <w:multiLevelType w:val="multilevel"/>
    <w:tmpl w:val="38E8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5FC1F3B"/>
    <w:multiLevelType w:val="hybridMultilevel"/>
    <w:tmpl w:val="90382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D61337"/>
    <w:multiLevelType w:val="hybridMultilevel"/>
    <w:tmpl w:val="C84EF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D26EEF"/>
    <w:multiLevelType w:val="hybridMultilevel"/>
    <w:tmpl w:val="50600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F66C3E"/>
    <w:multiLevelType w:val="hybridMultilevel"/>
    <w:tmpl w:val="EF869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0C227C"/>
    <w:multiLevelType w:val="multilevel"/>
    <w:tmpl w:val="5E20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3A77EC"/>
    <w:multiLevelType w:val="hybridMultilevel"/>
    <w:tmpl w:val="F26A4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181217"/>
    <w:multiLevelType w:val="hybridMultilevel"/>
    <w:tmpl w:val="2C4A7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4534A7"/>
    <w:multiLevelType w:val="hybridMultilevel"/>
    <w:tmpl w:val="A4E0A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2D72EA"/>
    <w:multiLevelType w:val="hybridMultilevel"/>
    <w:tmpl w:val="F12CEAF8"/>
    <w:lvl w:ilvl="0" w:tplc="1E642E70">
      <w:start w:val="1"/>
      <w:numFmt w:val="lowerLetter"/>
      <w:lvlText w:val="(%1)"/>
      <w:lvlJc w:val="left"/>
      <w:pPr>
        <w:ind w:left="720" w:hanging="360"/>
      </w:pPr>
      <w:rPr>
        <w:rFonts w:ascii="Calibri" w:eastAsiaTheme="minorHAns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484DD8"/>
    <w:multiLevelType w:val="multilevel"/>
    <w:tmpl w:val="5BAE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A95344"/>
    <w:multiLevelType w:val="hybridMultilevel"/>
    <w:tmpl w:val="44780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C05FBD"/>
    <w:multiLevelType w:val="multilevel"/>
    <w:tmpl w:val="58AE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5541D9A"/>
    <w:multiLevelType w:val="hybridMultilevel"/>
    <w:tmpl w:val="560A5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31257E"/>
    <w:multiLevelType w:val="hybridMultilevel"/>
    <w:tmpl w:val="2A74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F2136C"/>
    <w:multiLevelType w:val="hybridMultilevel"/>
    <w:tmpl w:val="B7688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232DE6"/>
    <w:multiLevelType w:val="hybridMultilevel"/>
    <w:tmpl w:val="FCBC6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36781C"/>
    <w:multiLevelType w:val="hybridMultilevel"/>
    <w:tmpl w:val="2E90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7D25EA"/>
    <w:multiLevelType w:val="multilevel"/>
    <w:tmpl w:val="8456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B6E6C02"/>
    <w:multiLevelType w:val="multilevel"/>
    <w:tmpl w:val="B060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F75906"/>
    <w:multiLevelType w:val="hybridMultilevel"/>
    <w:tmpl w:val="50F2D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915802"/>
    <w:multiLevelType w:val="hybridMultilevel"/>
    <w:tmpl w:val="02969E0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10"/>
  </w:num>
  <w:num w:numId="3">
    <w:abstractNumId w:val="26"/>
  </w:num>
  <w:num w:numId="4">
    <w:abstractNumId w:val="16"/>
  </w:num>
  <w:num w:numId="5">
    <w:abstractNumId w:val="41"/>
  </w:num>
  <w:num w:numId="6">
    <w:abstractNumId w:val="0"/>
  </w:num>
  <w:num w:numId="7">
    <w:abstractNumId w:val="36"/>
  </w:num>
  <w:num w:numId="8">
    <w:abstractNumId w:val="3"/>
  </w:num>
  <w:num w:numId="9">
    <w:abstractNumId w:val="24"/>
  </w:num>
  <w:num w:numId="10">
    <w:abstractNumId w:val="31"/>
  </w:num>
  <w:num w:numId="11">
    <w:abstractNumId w:val="39"/>
  </w:num>
  <w:num w:numId="12">
    <w:abstractNumId w:val="32"/>
  </w:num>
  <w:num w:numId="13">
    <w:abstractNumId w:val="37"/>
  </w:num>
  <w:num w:numId="14">
    <w:abstractNumId w:val="7"/>
  </w:num>
  <w:num w:numId="15">
    <w:abstractNumId w:val="35"/>
  </w:num>
  <w:num w:numId="16">
    <w:abstractNumId w:val="18"/>
  </w:num>
  <w:num w:numId="17">
    <w:abstractNumId w:val="4"/>
  </w:num>
  <w:num w:numId="18">
    <w:abstractNumId w:val="25"/>
  </w:num>
  <w:num w:numId="19">
    <w:abstractNumId w:val="2"/>
  </w:num>
  <w:num w:numId="20">
    <w:abstractNumId w:val="33"/>
  </w:num>
  <w:num w:numId="21">
    <w:abstractNumId w:val="11"/>
  </w:num>
  <w:num w:numId="22">
    <w:abstractNumId w:val="14"/>
  </w:num>
  <w:num w:numId="23">
    <w:abstractNumId w:val="13"/>
  </w:num>
  <w:num w:numId="24">
    <w:abstractNumId w:val="19"/>
  </w:num>
  <w:num w:numId="25">
    <w:abstractNumId w:val="23"/>
  </w:num>
  <w:num w:numId="26">
    <w:abstractNumId w:val="12"/>
  </w:num>
  <w:num w:numId="27">
    <w:abstractNumId w:val="8"/>
  </w:num>
  <w:num w:numId="28">
    <w:abstractNumId w:val="20"/>
  </w:num>
  <w:num w:numId="29">
    <w:abstractNumId w:val="34"/>
  </w:num>
  <w:num w:numId="30">
    <w:abstractNumId w:val="22"/>
  </w:num>
  <w:num w:numId="31">
    <w:abstractNumId w:val="5"/>
  </w:num>
  <w:num w:numId="32">
    <w:abstractNumId w:val="21"/>
  </w:num>
  <w:num w:numId="33">
    <w:abstractNumId w:val="15"/>
  </w:num>
  <w:num w:numId="34">
    <w:abstractNumId w:val="1"/>
  </w:num>
  <w:num w:numId="35">
    <w:abstractNumId w:val="40"/>
  </w:num>
  <w:num w:numId="36">
    <w:abstractNumId w:val="17"/>
  </w:num>
  <w:num w:numId="37">
    <w:abstractNumId w:val="27"/>
  </w:num>
  <w:num w:numId="38">
    <w:abstractNumId w:val="28"/>
  </w:num>
  <w:num w:numId="39">
    <w:abstractNumId w:val="29"/>
  </w:num>
  <w:num w:numId="40">
    <w:abstractNumId w:val="6"/>
  </w:num>
  <w:num w:numId="41">
    <w:abstractNumId w:val="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LM TDR&lt;/Style&gt;&lt;LeftDelim&gt;{&lt;/LeftDelim&gt;&lt;RightDelim&gt;}&lt;/RightDelim&gt;&lt;FontName&gt;Calibri&lt;/FontName&gt;&lt;FontSize&gt;11&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xewddx6wp0sgef5tqva9fnttd55f9a2dzt&quot;&gt;My EndNote Library&lt;record-ids&gt;&lt;item&gt;17&lt;/item&gt;&lt;item&gt;20&lt;/item&gt;&lt;item&gt;21&lt;/item&gt;&lt;item&gt;22&lt;/item&gt;&lt;item&gt;23&lt;/item&gt;&lt;item&gt;24&lt;/item&gt;&lt;item&gt;25&lt;/item&gt;&lt;item&gt;27&lt;/item&gt;&lt;item&gt;28&lt;/item&gt;&lt;item&gt;29&lt;/item&gt;&lt;item&gt;30&lt;/item&gt;&lt;item&gt;31&lt;/item&gt;&lt;item&gt;32&lt;/item&gt;&lt;item&gt;33&lt;/item&gt;&lt;/record-ids&gt;&lt;/item&gt;&lt;/Libraries&gt;"/>
  </w:docVars>
  <w:rsids>
    <w:rsidRoot w:val="00746FE1"/>
    <w:rsid w:val="0000208D"/>
    <w:rsid w:val="00002CC6"/>
    <w:rsid w:val="0000359B"/>
    <w:rsid w:val="000077E8"/>
    <w:rsid w:val="0001047F"/>
    <w:rsid w:val="0001262A"/>
    <w:rsid w:val="00013586"/>
    <w:rsid w:val="00015E9D"/>
    <w:rsid w:val="000168D5"/>
    <w:rsid w:val="00021027"/>
    <w:rsid w:val="00021BA9"/>
    <w:rsid w:val="00025818"/>
    <w:rsid w:val="00027321"/>
    <w:rsid w:val="000304EF"/>
    <w:rsid w:val="00030987"/>
    <w:rsid w:val="00032A6E"/>
    <w:rsid w:val="00033AC7"/>
    <w:rsid w:val="00034714"/>
    <w:rsid w:val="00034EA5"/>
    <w:rsid w:val="000355CB"/>
    <w:rsid w:val="00035846"/>
    <w:rsid w:val="00036303"/>
    <w:rsid w:val="00037C40"/>
    <w:rsid w:val="00040FDF"/>
    <w:rsid w:val="00041340"/>
    <w:rsid w:val="00041BA4"/>
    <w:rsid w:val="00041C5B"/>
    <w:rsid w:val="000442F9"/>
    <w:rsid w:val="00044645"/>
    <w:rsid w:val="0004513C"/>
    <w:rsid w:val="0005041A"/>
    <w:rsid w:val="00051C68"/>
    <w:rsid w:val="00052524"/>
    <w:rsid w:val="0005647E"/>
    <w:rsid w:val="000565ED"/>
    <w:rsid w:val="00056882"/>
    <w:rsid w:val="00060231"/>
    <w:rsid w:val="000610D1"/>
    <w:rsid w:val="0006127A"/>
    <w:rsid w:val="00062F3E"/>
    <w:rsid w:val="00067A84"/>
    <w:rsid w:val="00067BDC"/>
    <w:rsid w:val="00070D3E"/>
    <w:rsid w:val="00072D0E"/>
    <w:rsid w:val="0007485C"/>
    <w:rsid w:val="00076949"/>
    <w:rsid w:val="000810BE"/>
    <w:rsid w:val="000842DD"/>
    <w:rsid w:val="000849B9"/>
    <w:rsid w:val="00085B22"/>
    <w:rsid w:val="00086773"/>
    <w:rsid w:val="00087C02"/>
    <w:rsid w:val="00091095"/>
    <w:rsid w:val="00091752"/>
    <w:rsid w:val="00091C51"/>
    <w:rsid w:val="00092F36"/>
    <w:rsid w:val="000931A1"/>
    <w:rsid w:val="0009395D"/>
    <w:rsid w:val="000958AC"/>
    <w:rsid w:val="000975DA"/>
    <w:rsid w:val="000A0B90"/>
    <w:rsid w:val="000A169B"/>
    <w:rsid w:val="000B04A1"/>
    <w:rsid w:val="000B1823"/>
    <w:rsid w:val="000B434E"/>
    <w:rsid w:val="000B62B1"/>
    <w:rsid w:val="000C2785"/>
    <w:rsid w:val="000C414C"/>
    <w:rsid w:val="000C4DAE"/>
    <w:rsid w:val="000C6CC7"/>
    <w:rsid w:val="000D2920"/>
    <w:rsid w:val="000D7513"/>
    <w:rsid w:val="000D7B00"/>
    <w:rsid w:val="000E0B71"/>
    <w:rsid w:val="000E5E10"/>
    <w:rsid w:val="000E6E30"/>
    <w:rsid w:val="000E7E6D"/>
    <w:rsid w:val="000F1AC4"/>
    <w:rsid w:val="000F25BE"/>
    <w:rsid w:val="000F2C2B"/>
    <w:rsid w:val="000F2DF0"/>
    <w:rsid w:val="000F45FE"/>
    <w:rsid w:val="000F4874"/>
    <w:rsid w:val="000F50D1"/>
    <w:rsid w:val="001005C8"/>
    <w:rsid w:val="001010D0"/>
    <w:rsid w:val="00104131"/>
    <w:rsid w:val="00106158"/>
    <w:rsid w:val="00110E56"/>
    <w:rsid w:val="00110F50"/>
    <w:rsid w:val="00111903"/>
    <w:rsid w:val="001119AE"/>
    <w:rsid w:val="0011344F"/>
    <w:rsid w:val="00114742"/>
    <w:rsid w:val="0012086B"/>
    <w:rsid w:val="00122BB6"/>
    <w:rsid w:val="001233F4"/>
    <w:rsid w:val="001235BD"/>
    <w:rsid w:val="00123E01"/>
    <w:rsid w:val="00123FAD"/>
    <w:rsid w:val="0012508D"/>
    <w:rsid w:val="00127292"/>
    <w:rsid w:val="00134B16"/>
    <w:rsid w:val="0013522C"/>
    <w:rsid w:val="001443EF"/>
    <w:rsid w:val="00146446"/>
    <w:rsid w:val="00151575"/>
    <w:rsid w:val="00154CE5"/>
    <w:rsid w:val="00154D85"/>
    <w:rsid w:val="00156F6F"/>
    <w:rsid w:val="00163E42"/>
    <w:rsid w:val="0016551D"/>
    <w:rsid w:val="00166C60"/>
    <w:rsid w:val="00173630"/>
    <w:rsid w:val="0018094F"/>
    <w:rsid w:val="00183AB8"/>
    <w:rsid w:val="00184251"/>
    <w:rsid w:val="001853C4"/>
    <w:rsid w:val="00185515"/>
    <w:rsid w:val="00185E83"/>
    <w:rsid w:val="00187211"/>
    <w:rsid w:val="00191779"/>
    <w:rsid w:val="0019484B"/>
    <w:rsid w:val="00194E64"/>
    <w:rsid w:val="00196B2A"/>
    <w:rsid w:val="001A068F"/>
    <w:rsid w:val="001A6F46"/>
    <w:rsid w:val="001B1273"/>
    <w:rsid w:val="001B5D4F"/>
    <w:rsid w:val="001C0D58"/>
    <w:rsid w:val="001C36F1"/>
    <w:rsid w:val="001C3735"/>
    <w:rsid w:val="001C462E"/>
    <w:rsid w:val="001C519F"/>
    <w:rsid w:val="001C5502"/>
    <w:rsid w:val="001C6EDD"/>
    <w:rsid w:val="001D0ADC"/>
    <w:rsid w:val="001D3E6F"/>
    <w:rsid w:val="001D6A30"/>
    <w:rsid w:val="001E2BD7"/>
    <w:rsid w:val="001E49F0"/>
    <w:rsid w:val="001E4F74"/>
    <w:rsid w:val="001E5D99"/>
    <w:rsid w:val="001E679F"/>
    <w:rsid w:val="001E6CC5"/>
    <w:rsid w:val="001E78D9"/>
    <w:rsid w:val="001F0944"/>
    <w:rsid w:val="001F0A92"/>
    <w:rsid w:val="001F34D1"/>
    <w:rsid w:val="001F35BC"/>
    <w:rsid w:val="001F389A"/>
    <w:rsid w:val="001F60EB"/>
    <w:rsid w:val="0020167B"/>
    <w:rsid w:val="002055DE"/>
    <w:rsid w:val="0020674A"/>
    <w:rsid w:val="00207674"/>
    <w:rsid w:val="00211088"/>
    <w:rsid w:val="00213E4C"/>
    <w:rsid w:val="00214224"/>
    <w:rsid w:val="00216819"/>
    <w:rsid w:val="00217A8B"/>
    <w:rsid w:val="00220D6D"/>
    <w:rsid w:val="0022372E"/>
    <w:rsid w:val="00223967"/>
    <w:rsid w:val="0022487E"/>
    <w:rsid w:val="002249F8"/>
    <w:rsid w:val="00230A2A"/>
    <w:rsid w:val="00233BE0"/>
    <w:rsid w:val="002354CB"/>
    <w:rsid w:val="00235B80"/>
    <w:rsid w:val="00237E61"/>
    <w:rsid w:val="00241C16"/>
    <w:rsid w:val="00243CE9"/>
    <w:rsid w:val="00245490"/>
    <w:rsid w:val="00246D70"/>
    <w:rsid w:val="002500F8"/>
    <w:rsid w:val="002502C5"/>
    <w:rsid w:val="00252AE4"/>
    <w:rsid w:val="002534D3"/>
    <w:rsid w:val="0025433D"/>
    <w:rsid w:val="00255669"/>
    <w:rsid w:val="00260E28"/>
    <w:rsid w:val="002629B9"/>
    <w:rsid w:val="00262BFB"/>
    <w:rsid w:val="00264206"/>
    <w:rsid w:val="0026484E"/>
    <w:rsid w:val="00271B6B"/>
    <w:rsid w:val="002828FB"/>
    <w:rsid w:val="0028346D"/>
    <w:rsid w:val="00283935"/>
    <w:rsid w:val="00283AEF"/>
    <w:rsid w:val="002840D3"/>
    <w:rsid w:val="0028426F"/>
    <w:rsid w:val="00292D75"/>
    <w:rsid w:val="0029318C"/>
    <w:rsid w:val="002949BC"/>
    <w:rsid w:val="002971EA"/>
    <w:rsid w:val="00297A4B"/>
    <w:rsid w:val="002A042B"/>
    <w:rsid w:val="002A1A4E"/>
    <w:rsid w:val="002A2282"/>
    <w:rsid w:val="002A272B"/>
    <w:rsid w:val="002A5461"/>
    <w:rsid w:val="002A591C"/>
    <w:rsid w:val="002A6495"/>
    <w:rsid w:val="002B13F0"/>
    <w:rsid w:val="002B1512"/>
    <w:rsid w:val="002B3679"/>
    <w:rsid w:val="002B5575"/>
    <w:rsid w:val="002C13AB"/>
    <w:rsid w:val="002C220E"/>
    <w:rsid w:val="002D0007"/>
    <w:rsid w:val="002D0525"/>
    <w:rsid w:val="002D51B9"/>
    <w:rsid w:val="002E1680"/>
    <w:rsid w:val="002E2170"/>
    <w:rsid w:val="002E7E3F"/>
    <w:rsid w:val="002F06D4"/>
    <w:rsid w:val="002F1B24"/>
    <w:rsid w:val="002F45AE"/>
    <w:rsid w:val="002F5D18"/>
    <w:rsid w:val="002F6B01"/>
    <w:rsid w:val="003005C1"/>
    <w:rsid w:val="003101E3"/>
    <w:rsid w:val="00314288"/>
    <w:rsid w:val="003166A2"/>
    <w:rsid w:val="003170F6"/>
    <w:rsid w:val="00317C1E"/>
    <w:rsid w:val="003225A8"/>
    <w:rsid w:val="00323307"/>
    <w:rsid w:val="00325C04"/>
    <w:rsid w:val="00327ABF"/>
    <w:rsid w:val="00327DE1"/>
    <w:rsid w:val="00331E33"/>
    <w:rsid w:val="00332092"/>
    <w:rsid w:val="003337D7"/>
    <w:rsid w:val="00334B98"/>
    <w:rsid w:val="00334CC6"/>
    <w:rsid w:val="00335434"/>
    <w:rsid w:val="003418FC"/>
    <w:rsid w:val="003430C4"/>
    <w:rsid w:val="00343967"/>
    <w:rsid w:val="00346100"/>
    <w:rsid w:val="0035211B"/>
    <w:rsid w:val="00352605"/>
    <w:rsid w:val="003539B5"/>
    <w:rsid w:val="00357633"/>
    <w:rsid w:val="00363F3C"/>
    <w:rsid w:val="00367CA0"/>
    <w:rsid w:val="0037074F"/>
    <w:rsid w:val="00371693"/>
    <w:rsid w:val="0037217A"/>
    <w:rsid w:val="00372BC9"/>
    <w:rsid w:val="00372EB4"/>
    <w:rsid w:val="00375B84"/>
    <w:rsid w:val="00380157"/>
    <w:rsid w:val="00381D40"/>
    <w:rsid w:val="0038231A"/>
    <w:rsid w:val="00383438"/>
    <w:rsid w:val="0038443F"/>
    <w:rsid w:val="003862CA"/>
    <w:rsid w:val="003864F6"/>
    <w:rsid w:val="00387B86"/>
    <w:rsid w:val="00387C45"/>
    <w:rsid w:val="0039590A"/>
    <w:rsid w:val="003965C8"/>
    <w:rsid w:val="003A2BBD"/>
    <w:rsid w:val="003A2D78"/>
    <w:rsid w:val="003A62D8"/>
    <w:rsid w:val="003B3036"/>
    <w:rsid w:val="003B3939"/>
    <w:rsid w:val="003B4B80"/>
    <w:rsid w:val="003B5CE5"/>
    <w:rsid w:val="003B7EA8"/>
    <w:rsid w:val="003C0029"/>
    <w:rsid w:val="003C0345"/>
    <w:rsid w:val="003C0F8F"/>
    <w:rsid w:val="003C18C4"/>
    <w:rsid w:val="003C42C8"/>
    <w:rsid w:val="003C5A3A"/>
    <w:rsid w:val="003D4D07"/>
    <w:rsid w:val="003D50E0"/>
    <w:rsid w:val="003E26D8"/>
    <w:rsid w:val="003E6377"/>
    <w:rsid w:val="003E7367"/>
    <w:rsid w:val="003F06A9"/>
    <w:rsid w:val="003F0978"/>
    <w:rsid w:val="003F7485"/>
    <w:rsid w:val="00401178"/>
    <w:rsid w:val="0040154B"/>
    <w:rsid w:val="00402A4F"/>
    <w:rsid w:val="0040301B"/>
    <w:rsid w:val="004036D0"/>
    <w:rsid w:val="004038EC"/>
    <w:rsid w:val="004043F7"/>
    <w:rsid w:val="004053AC"/>
    <w:rsid w:val="00405D85"/>
    <w:rsid w:val="00406335"/>
    <w:rsid w:val="004122C6"/>
    <w:rsid w:val="0041436A"/>
    <w:rsid w:val="00415631"/>
    <w:rsid w:val="004165F4"/>
    <w:rsid w:val="004178EA"/>
    <w:rsid w:val="004200B3"/>
    <w:rsid w:val="0042010E"/>
    <w:rsid w:val="00420EC3"/>
    <w:rsid w:val="0042125E"/>
    <w:rsid w:val="0042128D"/>
    <w:rsid w:val="00427324"/>
    <w:rsid w:val="00430386"/>
    <w:rsid w:val="004304AA"/>
    <w:rsid w:val="00431418"/>
    <w:rsid w:val="00431A45"/>
    <w:rsid w:val="00432141"/>
    <w:rsid w:val="004321AC"/>
    <w:rsid w:val="00432576"/>
    <w:rsid w:val="004331C8"/>
    <w:rsid w:val="004345CB"/>
    <w:rsid w:val="00436BB7"/>
    <w:rsid w:val="00437C05"/>
    <w:rsid w:val="00443BFF"/>
    <w:rsid w:val="00443CA3"/>
    <w:rsid w:val="00446EB2"/>
    <w:rsid w:val="00447DE5"/>
    <w:rsid w:val="00447E68"/>
    <w:rsid w:val="004506E7"/>
    <w:rsid w:val="004516D6"/>
    <w:rsid w:val="00452984"/>
    <w:rsid w:val="004541F0"/>
    <w:rsid w:val="00455D17"/>
    <w:rsid w:val="00455F5A"/>
    <w:rsid w:val="00461566"/>
    <w:rsid w:val="004623B0"/>
    <w:rsid w:val="00464B45"/>
    <w:rsid w:val="00465E0B"/>
    <w:rsid w:val="00473C11"/>
    <w:rsid w:val="00474125"/>
    <w:rsid w:val="00476A40"/>
    <w:rsid w:val="00480FBB"/>
    <w:rsid w:val="00483ADF"/>
    <w:rsid w:val="00484B9A"/>
    <w:rsid w:val="00485B3F"/>
    <w:rsid w:val="00485D6B"/>
    <w:rsid w:val="00487637"/>
    <w:rsid w:val="00490BB2"/>
    <w:rsid w:val="00492633"/>
    <w:rsid w:val="00494EA0"/>
    <w:rsid w:val="004A04B2"/>
    <w:rsid w:val="004A07F1"/>
    <w:rsid w:val="004A09EF"/>
    <w:rsid w:val="004A1737"/>
    <w:rsid w:val="004A3527"/>
    <w:rsid w:val="004B1E11"/>
    <w:rsid w:val="004B3B7A"/>
    <w:rsid w:val="004B4F6A"/>
    <w:rsid w:val="004B6704"/>
    <w:rsid w:val="004C23FC"/>
    <w:rsid w:val="004C3823"/>
    <w:rsid w:val="004C39B5"/>
    <w:rsid w:val="004C6D0E"/>
    <w:rsid w:val="004C7548"/>
    <w:rsid w:val="004D2325"/>
    <w:rsid w:val="004D29D3"/>
    <w:rsid w:val="004D2CFB"/>
    <w:rsid w:val="004D440E"/>
    <w:rsid w:val="004D7BB0"/>
    <w:rsid w:val="004E042E"/>
    <w:rsid w:val="004E09D4"/>
    <w:rsid w:val="004E0CA6"/>
    <w:rsid w:val="004E3385"/>
    <w:rsid w:val="004E35C5"/>
    <w:rsid w:val="004F3039"/>
    <w:rsid w:val="004F3567"/>
    <w:rsid w:val="004F372A"/>
    <w:rsid w:val="004F61F4"/>
    <w:rsid w:val="004F6887"/>
    <w:rsid w:val="004F7997"/>
    <w:rsid w:val="00502100"/>
    <w:rsid w:val="005067C5"/>
    <w:rsid w:val="00512945"/>
    <w:rsid w:val="00513691"/>
    <w:rsid w:val="005145A8"/>
    <w:rsid w:val="00515A65"/>
    <w:rsid w:val="00516DC9"/>
    <w:rsid w:val="00520EE6"/>
    <w:rsid w:val="00525094"/>
    <w:rsid w:val="00526832"/>
    <w:rsid w:val="00526A55"/>
    <w:rsid w:val="005302A6"/>
    <w:rsid w:val="005302E0"/>
    <w:rsid w:val="005307CC"/>
    <w:rsid w:val="0053624A"/>
    <w:rsid w:val="00537344"/>
    <w:rsid w:val="005379A9"/>
    <w:rsid w:val="00540418"/>
    <w:rsid w:val="00541368"/>
    <w:rsid w:val="00541FBD"/>
    <w:rsid w:val="005423BA"/>
    <w:rsid w:val="00544213"/>
    <w:rsid w:val="00544AAE"/>
    <w:rsid w:val="00546058"/>
    <w:rsid w:val="00550932"/>
    <w:rsid w:val="005528AE"/>
    <w:rsid w:val="00555173"/>
    <w:rsid w:val="00557834"/>
    <w:rsid w:val="00562131"/>
    <w:rsid w:val="00562466"/>
    <w:rsid w:val="00562954"/>
    <w:rsid w:val="005657DC"/>
    <w:rsid w:val="00570B33"/>
    <w:rsid w:val="00575505"/>
    <w:rsid w:val="0057599F"/>
    <w:rsid w:val="005834AA"/>
    <w:rsid w:val="0058379F"/>
    <w:rsid w:val="005841E6"/>
    <w:rsid w:val="00584749"/>
    <w:rsid w:val="00585553"/>
    <w:rsid w:val="00585CDA"/>
    <w:rsid w:val="00586C41"/>
    <w:rsid w:val="0059338B"/>
    <w:rsid w:val="00593EBE"/>
    <w:rsid w:val="00594C3C"/>
    <w:rsid w:val="00596E73"/>
    <w:rsid w:val="005A240E"/>
    <w:rsid w:val="005A53ED"/>
    <w:rsid w:val="005A6706"/>
    <w:rsid w:val="005A7704"/>
    <w:rsid w:val="005A77F4"/>
    <w:rsid w:val="005A7DCE"/>
    <w:rsid w:val="005B0C4B"/>
    <w:rsid w:val="005B14AD"/>
    <w:rsid w:val="005B36F9"/>
    <w:rsid w:val="005C1F51"/>
    <w:rsid w:val="005C2D41"/>
    <w:rsid w:val="005C42D2"/>
    <w:rsid w:val="005C5C36"/>
    <w:rsid w:val="005D0B17"/>
    <w:rsid w:val="005D0CEE"/>
    <w:rsid w:val="005D1427"/>
    <w:rsid w:val="005D2475"/>
    <w:rsid w:val="005D580A"/>
    <w:rsid w:val="005E1715"/>
    <w:rsid w:val="005E17E0"/>
    <w:rsid w:val="005E52BB"/>
    <w:rsid w:val="005E5771"/>
    <w:rsid w:val="005E6443"/>
    <w:rsid w:val="005E651E"/>
    <w:rsid w:val="005E733E"/>
    <w:rsid w:val="005F2071"/>
    <w:rsid w:val="005F2B63"/>
    <w:rsid w:val="005F703A"/>
    <w:rsid w:val="00602E3C"/>
    <w:rsid w:val="00607755"/>
    <w:rsid w:val="006105DC"/>
    <w:rsid w:val="00610BFF"/>
    <w:rsid w:val="00616183"/>
    <w:rsid w:val="00620E22"/>
    <w:rsid w:val="00622FD8"/>
    <w:rsid w:val="00624122"/>
    <w:rsid w:val="0063017B"/>
    <w:rsid w:val="006331DF"/>
    <w:rsid w:val="00633437"/>
    <w:rsid w:val="00635280"/>
    <w:rsid w:val="00635AC5"/>
    <w:rsid w:val="00637C10"/>
    <w:rsid w:val="00641FB9"/>
    <w:rsid w:val="00642972"/>
    <w:rsid w:val="0064480C"/>
    <w:rsid w:val="0064497B"/>
    <w:rsid w:val="00645661"/>
    <w:rsid w:val="006465CF"/>
    <w:rsid w:val="00647768"/>
    <w:rsid w:val="00650759"/>
    <w:rsid w:val="006543CD"/>
    <w:rsid w:val="00656A1A"/>
    <w:rsid w:val="0066148A"/>
    <w:rsid w:val="00661FE5"/>
    <w:rsid w:val="0066411F"/>
    <w:rsid w:val="006642E4"/>
    <w:rsid w:val="00670E60"/>
    <w:rsid w:val="006737EB"/>
    <w:rsid w:val="006762C9"/>
    <w:rsid w:val="00681342"/>
    <w:rsid w:val="00683440"/>
    <w:rsid w:val="006842E4"/>
    <w:rsid w:val="0068592E"/>
    <w:rsid w:val="00687310"/>
    <w:rsid w:val="00694A62"/>
    <w:rsid w:val="00695A9F"/>
    <w:rsid w:val="00697991"/>
    <w:rsid w:val="006A408D"/>
    <w:rsid w:val="006A4551"/>
    <w:rsid w:val="006A516D"/>
    <w:rsid w:val="006A6449"/>
    <w:rsid w:val="006A6D85"/>
    <w:rsid w:val="006B1639"/>
    <w:rsid w:val="006B200F"/>
    <w:rsid w:val="006B3B28"/>
    <w:rsid w:val="006B4537"/>
    <w:rsid w:val="006B4D15"/>
    <w:rsid w:val="006B737B"/>
    <w:rsid w:val="006C3AC1"/>
    <w:rsid w:val="006C41CC"/>
    <w:rsid w:val="006C6123"/>
    <w:rsid w:val="006C7E88"/>
    <w:rsid w:val="006D2121"/>
    <w:rsid w:val="006D38E7"/>
    <w:rsid w:val="006D3F08"/>
    <w:rsid w:val="006D4E51"/>
    <w:rsid w:val="006D739F"/>
    <w:rsid w:val="006D743A"/>
    <w:rsid w:val="006D77FD"/>
    <w:rsid w:val="006E17FD"/>
    <w:rsid w:val="006E1A27"/>
    <w:rsid w:val="006E1F1C"/>
    <w:rsid w:val="006F2E0D"/>
    <w:rsid w:val="006F3EF7"/>
    <w:rsid w:val="006F78A8"/>
    <w:rsid w:val="006F7CE1"/>
    <w:rsid w:val="00700EDD"/>
    <w:rsid w:val="00702B04"/>
    <w:rsid w:val="00704269"/>
    <w:rsid w:val="00705403"/>
    <w:rsid w:val="00705D77"/>
    <w:rsid w:val="007068F2"/>
    <w:rsid w:val="00706923"/>
    <w:rsid w:val="0070772D"/>
    <w:rsid w:val="00710C4A"/>
    <w:rsid w:val="007110D9"/>
    <w:rsid w:val="00712132"/>
    <w:rsid w:val="00712F48"/>
    <w:rsid w:val="00712FC0"/>
    <w:rsid w:val="00715031"/>
    <w:rsid w:val="007175CD"/>
    <w:rsid w:val="00720099"/>
    <w:rsid w:val="00721C35"/>
    <w:rsid w:val="00730EB0"/>
    <w:rsid w:val="007314D8"/>
    <w:rsid w:val="00731FB5"/>
    <w:rsid w:val="00733788"/>
    <w:rsid w:val="00733BC6"/>
    <w:rsid w:val="00734D4F"/>
    <w:rsid w:val="0074213C"/>
    <w:rsid w:val="00743A9D"/>
    <w:rsid w:val="00744BCA"/>
    <w:rsid w:val="00745EC9"/>
    <w:rsid w:val="007460E1"/>
    <w:rsid w:val="00746FE1"/>
    <w:rsid w:val="0075201F"/>
    <w:rsid w:val="007543A1"/>
    <w:rsid w:val="00760A5C"/>
    <w:rsid w:val="00760BA8"/>
    <w:rsid w:val="0076425C"/>
    <w:rsid w:val="00764822"/>
    <w:rsid w:val="00764DFC"/>
    <w:rsid w:val="00765D63"/>
    <w:rsid w:val="00766D4C"/>
    <w:rsid w:val="00766DE5"/>
    <w:rsid w:val="00767B57"/>
    <w:rsid w:val="00774621"/>
    <w:rsid w:val="0077623B"/>
    <w:rsid w:val="00780487"/>
    <w:rsid w:val="00780681"/>
    <w:rsid w:val="00782BB3"/>
    <w:rsid w:val="007845C2"/>
    <w:rsid w:val="00784698"/>
    <w:rsid w:val="00785629"/>
    <w:rsid w:val="00786DDF"/>
    <w:rsid w:val="00792F5C"/>
    <w:rsid w:val="00794120"/>
    <w:rsid w:val="007A080D"/>
    <w:rsid w:val="007A4842"/>
    <w:rsid w:val="007A6694"/>
    <w:rsid w:val="007A76E6"/>
    <w:rsid w:val="007A7FF8"/>
    <w:rsid w:val="007B02CC"/>
    <w:rsid w:val="007B158F"/>
    <w:rsid w:val="007B2C6F"/>
    <w:rsid w:val="007B34BE"/>
    <w:rsid w:val="007B44FC"/>
    <w:rsid w:val="007B66A6"/>
    <w:rsid w:val="007B6D5D"/>
    <w:rsid w:val="007B7215"/>
    <w:rsid w:val="007C0B87"/>
    <w:rsid w:val="007C1C15"/>
    <w:rsid w:val="007C33FF"/>
    <w:rsid w:val="007C7933"/>
    <w:rsid w:val="007D1D11"/>
    <w:rsid w:val="007D239A"/>
    <w:rsid w:val="007D2882"/>
    <w:rsid w:val="007D4F5C"/>
    <w:rsid w:val="007D7101"/>
    <w:rsid w:val="007D7282"/>
    <w:rsid w:val="007D7F2D"/>
    <w:rsid w:val="007E11E1"/>
    <w:rsid w:val="007E3EF2"/>
    <w:rsid w:val="007E41F8"/>
    <w:rsid w:val="007E4446"/>
    <w:rsid w:val="007E668E"/>
    <w:rsid w:val="007E6808"/>
    <w:rsid w:val="007F3078"/>
    <w:rsid w:val="007F3E3F"/>
    <w:rsid w:val="007F4507"/>
    <w:rsid w:val="007F5517"/>
    <w:rsid w:val="007F5DEC"/>
    <w:rsid w:val="007F630B"/>
    <w:rsid w:val="008001E5"/>
    <w:rsid w:val="0080196C"/>
    <w:rsid w:val="008027B8"/>
    <w:rsid w:val="0080426A"/>
    <w:rsid w:val="008046BD"/>
    <w:rsid w:val="00805D13"/>
    <w:rsid w:val="00806309"/>
    <w:rsid w:val="00807E20"/>
    <w:rsid w:val="008104FF"/>
    <w:rsid w:val="00811674"/>
    <w:rsid w:val="008146E4"/>
    <w:rsid w:val="008146F5"/>
    <w:rsid w:val="00815DA0"/>
    <w:rsid w:val="00816371"/>
    <w:rsid w:val="00820603"/>
    <w:rsid w:val="008207AE"/>
    <w:rsid w:val="00821A91"/>
    <w:rsid w:val="00822670"/>
    <w:rsid w:val="008233A7"/>
    <w:rsid w:val="0082407C"/>
    <w:rsid w:val="008243E7"/>
    <w:rsid w:val="008249FB"/>
    <w:rsid w:val="008254A7"/>
    <w:rsid w:val="0083391D"/>
    <w:rsid w:val="008339B3"/>
    <w:rsid w:val="008353EB"/>
    <w:rsid w:val="0083611E"/>
    <w:rsid w:val="0083693F"/>
    <w:rsid w:val="008374E9"/>
    <w:rsid w:val="008441A1"/>
    <w:rsid w:val="0084486D"/>
    <w:rsid w:val="00844942"/>
    <w:rsid w:val="00847245"/>
    <w:rsid w:val="008509E8"/>
    <w:rsid w:val="0085291F"/>
    <w:rsid w:val="00853E9E"/>
    <w:rsid w:val="0085687A"/>
    <w:rsid w:val="008579A8"/>
    <w:rsid w:val="00860A6B"/>
    <w:rsid w:val="00862325"/>
    <w:rsid w:val="008628D2"/>
    <w:rsid w:val="008628ED"/>
    <w:rsid w:val="008700F4"/>
    <w:rsid w:val="008730B7"/>
    <w:rsid w:val="008736ED"/>
    <w:rsid w:val="00875DE1"/>
    <w:rsid w:val="00876957"/>
    <w:rsid w:val="008774E3"/>
    <w:rsid w:val="0088024B"/>
    <w:rsid w:val="008820EE"/>
    <w:rsid w:val="00883C84"/>
    <w:rsid w:val="00884080"/>
    <w:rsid w:val="008857D2"/>
    <w:rsid w:val="0088607E"/>
    <w:rsid w:val="00886772"/>
    <w:rsid w:val="008875D2"/>
    <w:rsid w:val="0089007C"/>
    <w:rsid w:val="00890EC2"/>
    <w:rsid w:val="00892EC7"/>
    <w:rsid w:val="00893A33"/>
    <w:rsid w:val="0089638A"/>
    <w:rsid w:val="00897DBD"/>
    <w:rsid w:val="008A2488"/>
    <w:rsid w:val="008A3CE0"/>
    <w:rsid w:val="008A59C0"/>
    <w:rsid w:val="008A796E"/>
    <w:rsid w:val="008A7DB8"/>
    <w:rsid w:val="008B3CB7"/>
    <w:rsid w:val="008B433B"/>
    <w:rsid w:val="008B466F"/>
    <w:rsid w:val="008B4B55"/>
    <w:rsid w:val="008B5570"/>
    <w:rsid w:val="008B59AC"/>
    <w:rsid w:val="008B6107"/>
    <w:rsid w:val="008B6A84"/>
    <w:rsid w:val="008C09DF"/>
    <w:rsid w:val="008C5691"/>
    <w:rsid w:val="008C7095"/>
    <w:rsid w:val="008C78E0"/>
    <w:rsid w:val="008D1BF7"/>
    <w:rsid w:val="008D29A6"/>
    <w:rsid w:val="008D38C6"/>
    <w:rsid w:val="008D5D6C"/>
    <w:rsid w:val="008E0B4B"/>
    <w:rsid w:val="008E2749"/>
    <w:rsid w:val="008E368D"/>
    <w:rsid w:val="008E4157"/>
    <w:rsid w:val="008E521A"/>
    <w:rsid w:val="008E5D0F"/>
    <w:rsid w:val="008E656C"/>
    <w:rsid w:val="008F6469"/>
    <w:rsid w:val="008F722E"/>
    <w:rsid w:val="008F7561"/>
    <w:rsid w:val="00903D4F"/>
    <w:rsid w:val="00904369"/>
    <w:rsid w:val="00911173"/>
    <w:rsid w:val="00911548"/>
    <w:rsid w:val="00912D2E"/>
    <w:rsid w:val="00914BE7"/>
    <w:rsid w:val="00916274"/>
    <w:rsid w:val="00921BBF"/>
    <w:rsid w:val="00922B2D"/>
    <w:rsid w:val="00925CC6"/>
    <w:rsid w:val="009266B9"/>
    <w:rsid w:val="0092758A"/>
    <w:rsid w:val="0093194D"/>
    <w:rsid w:val="00931C29"/>
    <w:rsid w:val="00934920"/>
    <w:rsid w:val="009356CD"/>
    <w:rsid w:val="0093695C"/>
    <w:rsid w:val="0095230A"/>
    <w:rsid w:val="00954CD0"/>
    <w:rsid w:val="0095533C"/>
    <w:rsid w:val="00956154"/>
    <w:rsid w:val="009575F2"/>
    <w:rsid w:val="00957D3D"/>
    <w:rsid w:val="0096684C"/>
    <w:rsid w:val="00970A4A"/>
    <w:rsid w:val="00971E43"/>
    <w:rsid w:val="00975594"/>
    <w:rsid w:val="00975D72"/>
    <w:rsid w:val="00976050"/>
    <w:rsid w:val="009776F2"/>
    <w:rsid w:val="00990740"/>
    <w:rsid w:val="00991BED"/>
    <w:rsid w:val="00991E78"/>
    <w:rsid w:val="009928E6"/>
    <w:rsid w:val="00994D1F"/>
    <w:rsid w:val="00994E42"/>
    <w:rsid w:val="009956F8"/>
    <w:rsid w:val="00996DC3"/>
    <w:rsid w:val="009A03C3"/>
    <w:rsid w:val="009A0B24"/>
    <w:rsid w:val="009A1340"/>
    <w:rsid w:val="009A2380"/>
    <w:rsid w:val="009A3268"/>
    <w:rsid w:val="009A6BB5"/>
    <w:rsid w:val="009A74A1"/>
    <w:rsid w:val="009A7934"/>
    <w:rsid w:val="009A7FA2"/>
    <w:rsid w:val="009B0537"/>
    <w:rsid w:val="009B17A9"/>
    <w:rsid w:val="009B1B88"/>
    <w:rsid w:val="009C25F9"/>
    <w:rsid w:val="009C2984"/>
    <w:rsid w:val="009C2D2A"/>
    <w:rsid w:val="009C33D3"/>
    <w:rsid w:val="009C3431"/>
    <w:rsid w:val="009C6031"/>
    <w:rsid w:val="009C63D8"/>
    <w:rsid w:val="009C7B6A"/>
    <w:rsid w:val="009D0EAA"/>
    <w:rsid w:val="009D3D72"/>
    <w:rsid w:val="009E3B61"/>
    <w:rsid w:val="009E41F1"/>
    <w:rsid w:val="009F039D"/>
    <w:rsid w:val="009F0814"/>
    <w:rsid w:val="009F159C"/>
    <w:rsid w:val="009F1B1E"/>
    <w:rsid w:val="009F2431"/>
    <w:rsid w:val="00A01199"/>
    <w:rsid w:val="00A05C33"/>
    <w:rsid w:val="00A05C66"/>
    <w:rsid w:val="00A05E2D"/>
    <w:rsid w:val="00A068D1"/>
    <w:rsid w:val="00A06DA2"/>
    <w:rsid w:val="00A1194E"/>
    <w:rsid w:val="00A14245"/>
    <w:rsid w:val="00A15719"/>
    <w:rsid w:val="00A2431F"/>
    <w:rsid w:val="00A26A5B"/>
    <w:rsid w:val="00A26E84"/>
    <w:rsid w:val="00A27017"/>
    <w:rsid w:val="00A30228"/>
    <w:rsid w:val="00A31291"/>
    <w:rsid w:val="00A3195C"/>
    <w:rsid w:val="00A369FA"/>
    <w:rsid w:val="00A42096"/>
    <w:rsid w:val="00A4325C"/>
    <w:rsid w:val="00A439FD"/>
    <w:rsid w:val="00A44473"/>
    <w:rsid w:val="00A45767"/>
    <w:rsid w:val="00A47808"/>
    <w:rsid w:val="00A54383"/>
    <w:rsid w:val="00A54557"/>
    <w:rsid w:val="00A60D10"/>
    <w:rsid w:val="00A626BE"/>
    <w:rsid w:val="00A62CC5"/>
    <w:rsid w:val="00A63169"/>
    <w:rsid w:val="00A64273"/>
    <w:rsid w:val="00A65662"/>
    <w:rsid w:val="00A675F7"/>
    <w:rsid w:val="00A710AF"/>
    <w:rsid w:val="00A71930"/>
    <w:rsid w:val="00A72B73"/>
    <w:rsid w:val="00A73914"/>
    <w:rsid w:val="00A76627"/>
    <w:rsid w:val="00A768E7"/>
    <w:rsid w:val="00A76F02"/>
    <w:rsid w:val="00A81397"/>
    <w:rsid w:val="00A81753"/>
    <w:rsid w:val="00A81FFA"/>
    <w:rsid w:val="00A84554"/>
    <w:rsid w:val="00A96891"/>
    <w:rsid w:val="00A9725E"/>
    <w:rsid w:val="00AA07CF"/>
    <w:rsid w:val="00AA30F3"/>
    <w:rsid w:val="00AA55AC"/>
    <w:rsid w:val="00AA70DE"/>
    <w:rsid w:val="00AA71B5"/>
    <w:rsid w:val="00AA7A70"/>
    <w:rsid w:val="00AA7BF5"/>
    <w:rsid w:val="00AB5E03"/>
    <w:rsid w:val="00AB7BC8"/>
    <w:rsid w:val="00AC777A"/>
    <w:rsid w:val="00AC7DF0"/>
    <w:rsid w:val="00AD1550"/>
    <w:rsid w:val="00AD1638"/>
    <w:rsid w:val="00AD5B2A"/>
    <w:rsid w:val="00AD5B94"/>
    <w:rsid w:val="00AE1E25"/>
    <w:rsid w:val="00AE3036"/>
    <w:rsid w:val="00AE41ED"/>
    <w:rsid w:val="00AE4424"/>
    <w:rsid w:val="00AE775E"/>
    <w:rsid w:val="00AF0136"/>
    <w:rsid w:val="00AF0FA4"/>
    <w:rsid w:val="00AF135C"/>
    <w:rsid w:val="00AF1F0E"/>
    <w:rsid w:val="00AF2581"/>
    <w:rsid w:val="00AF6BCA"/>
    <w:rsid w:val="00B02C83"/>
    <w:rsid w:val="00B03A22"/>
    <w:rsid w:val="00B05CA0"/>
    <w:rsid w:val="00B0796C"/>
    <w:rsid w:val="00B10CFC"/>
    <w:rsid w:val="00B13DD2"/>
    <w:rsid w:val="00B1465B"/>
    <w:rsid w:val="00B219F9"/>
    <w:rsid w:val="00B22132"/>
    <w:rsid w:val="00B24849"/>
    <w:rsid w:val="00B30015"/>
    <w:rsid w:val="00B3066F"/>
    <w:rsid w:val="00B344FC"/>
    <w:rsid w:val="00B36769"/>
    <w:rsid w:val="00B36882"/>
    <w:rsid w:val="00B3762C"/>
    <w:rsid w:val="00B4202D"/>
    <w:rsid w:val="00B42091"/>
    <w:rsid w:val="00B45C45"/>
    <w:rsid w:val="00B45CDB"/>
    <w:rsid w:val="00B47048"/>
    <w:rsid w:val="00B54A64"/>
    <w:rsid w:val="00B55A1E"/>
    <w:rsid w:val="00B56208"/>
    <w:rsid w:val="00B56D89"/>
    <w:rsid w:val="00B56E81"/>
    <w:rsid w:val="00B57072"/>
    <w:rsid w:val="00B6350A"/>
    <w:rsid w:val="00B63C5E"/>
    <w:rsid w:val="00B640A3"/>
    <w:rsid w:val="00B64D9C"/>
    <w:rsid w:val="00B659EE"/>
    <w:rsid w:val="00B67EB5"/>
    <w:rsid w:val="00B71B7E"/>
    <w:rsid w:val="00B72336"/>
    <w:rsid w:val="00B72365"/>
    <w:rsid w:val="00B72FC4"/>
    <w:rsid w:val="00B732D4"/>
    <w:rsid w:val="00B73427"/>
    <w:rsid w:val="00B748B7"/>
    <w:rsid w:val="00B766FE"/>
    <w:rsid w:val="00B76A76"/>
    <w:rsid w:val="00B76E1D"/>
    <w:rsid w:val="00B80DEF"/>
    <w:rsid w:val="00B83E63"/>
    <w:rsid w:val="00B86A09"/>
    <w:rsid w:val="00B90595"/>
    <w:rsid w:val="00B92F8F"/>
    <w:rsid w:val="00B9353F"/>
    <w:rsid w:val="00B93906"/>
    <w:rsid w:val="00B94C1A"/>
    <w:rsid w:val="00B96163"/>
    <w:rsid w:val="00B964DC"/>
    <w:rsid w:val="00B96EA7"/>
    <w:rsid w:val="00BA0316"/>
    <w:rsid w:val="00BA040E"/>
    <w:rsid w:val="00BA5CF1"/>
    <w:rsid w:val="00BA5D12"/>
    <w:rsid w:val="00BB09DF"/>
    <w:rsid w:val="00BB253B"/>
    <w:rsid w:val="00BB3A8F"/>
    <w:rsid w:val="00BB3B1E"/>
    <w:rsid w:val="00BB4E51"/>
    <w:rsid w:val="00BB5957"/>
    <w:rsid w:val="00BB5BB8"/>
    <w:rsid w:val="00BB7B32"/>
    <w:rsid w:val="00BC228E"/>
    <w:rsid w:val="00BC3411"/>
    <w:rsid w:val="00BC5F20"/>
    <w:rsid w:val="00BC7641"/>
    <w:rsid w:val="00BD479E"/>
    <w:rsid w:val="00BD68B1"/>
    <w:rsid w:val="00BD7A88"/>
    <w:rsid w:val="00BE016A"/>
    <w:rsid w:val="00BE2ACF"/>
    <w:rsid w:val="00BE5054"/>
    <w:rsid w:val="00BE72A0"/>
    <w:rsid w:val="00BF01AB"/>
    <w:rsid w:val="00BF25DF"/>
    <w:rsid w:val="00BF67CA"/>
    <w:rsid w:val="00C00FAE"/>
    <w:rsid w:val="00C02682"/>
    <w:rsid w:val="00C0724E"/>
    <w:rsid w:val="00C07892"/>
    <w:rsid w:val="00C159C2"/>
    <w:rsid w:val="00C15A4E"/>
    <w:rsid w:val="00C15C73"/>
    <w:rsid w:val="00C16FB3"/>
    <w:rsid w:val="00C21072"/>
    <w:rsid w:val="00C210EE"/>
    <w:rsid w:val="00C225EE"/>
    <w:rsid w:val="00C25693"/>
    <w:rsid w:val="00C261B6"/>
    <w:rsid w:val="00C312CB"/>
    <w:rsid w:val="00C313F3"/>
    <w:rsid w:val="00C31990"/>
    <w:rsid w:val="00C31B5D"/>
    <w:rsid w:val="00C339A0"/>
    <w:rsid w:val="00C342C8"/>
    <w:rsid w:val="00C36525"/>
    <w:rsid w:val="00C421F5"/>
    <w:rsid w:val="00C43FE2"/>
    <w:rsid w:val="00C461AB"/>
    <w:rsid w:val="00C46EFA"/>
    <w:rsid w:val="00C471C2"/>
    <w:rsid w:val="00C4777C"/>
    <w:rsid w:val="00C5085E"/>
    <w:rsid w:val="00C53391"/>
    <w:rsid w:val="00C538D7"/>
    <w:rsid w:val="00C543DB"/>
    <w:rsid w:val="00C557A1"/>
    <w:rsid w:val="00C55A60"/>
    <w:rsid w:val="00C61146"/>
    <w:rsid w:val="00C6140D"/>
    <w:rsid w:val="00C61C33"/>
    <w:rsid w:val="00C639E3"/>
    <w:rsid w:val="00C75680"/>
    <w:rsid w:val="00C77D10"/>
    <w:rsid w:val="00C77E78"/>
    <w:rsid w:val="00C83DF4"/>
    <w:rsid w:val="00C87077"/>
    <w:rsid w:val="00C92657"/>
    <w:rsid w:val="00C95A5A"/>
    <w:rsid w:val="00C97B78"/>
    <w:rsid w:val="00CA247D"/>
    <w:rsid w:val="00CA55D9"/>
    <w:rsid w:val="00CB0438"/>
    <w:rsid w:val="00CB086A"/>
    <w:rsid w:val="00CB2A55"/>
    <w:rsid w:val="00CB3DB1"/>
    <w:rsid w:val="00CB4AB3"/>
    <w:rsid w:val="00CB7126"/>
    <w:rsid w:val="00CB71EB"/>
    <w:rsid w:val="00CC1609"/>
    <w:rsid w:val="00CC1846"/>
    <w:rsid w:val="00CC28A8"/>
    <w:rsid w:val="00CC33E5"/>
    <w:rsid w:val="00CC713A"/>
    <w:rsid w:val="00CC766B"/>
    <w:rsid w:val="00CD07D9"/>
    <w:rsid w:val="00CD562C"/>
    <w:rsid w:val="00CD5B09"/>
    <w:rsid w:val="00CE173A"/>
    <w:rsid w:val="00CE2B1F"/>
    <w:rsid w:val="00CE3822"/>
    <w:rsid w:val="00CE3D3C"/>
    <w:rsid w:val="00CE783A"/>
    <w:rsid w:val="00CF22CA"/>
    <w:rsid w:val="00CF258D"/>
    <w:rsid w:val="00CF3655"/>
    <w:rsid w:val="00CF3E43"/>
    <w:rsid w:val="00D026E7"/>
    <w:rsid w:val="00D12FE9"/>
    <w:rsid w:val="00D13293"/>
    <w:rsid w:val="00D2750E"/>
    <w:rsid w:val="00D300E4"/>
    <w:rsid w:val="00D34220"/>
    <w:rsid w:val="00D35233"/>
    <w:rsid w:val="00D4188C"/>
    <w:rsid w:val="00D41BB1"/>
    <w:rsid w:val="00D44521"/>
    <w:rsid w:val="00D4664C"/>
    <w:rsid w:val="00D47CE0"/>
    <w:rsid w:val="00D514CA"/>
    <w:rsid w:val="00D53904"/>
    <w:rsid w:val="00D563FD"/>
    <w:rsid w:val="00D615B2"/>
    <w:rsid w:val="00D63DE1"/>
    <w:rsid w:val="00D64C70"/>
    <w:rsid w:val="00D676B0"/>
    <w:rsid w:val="00D70C1E"/>
    <w:rsid w:val="00D70CD5"/>
    <w:rsid w:val="00D74E6D"/>
    <w:rsid w:val="00D75DF1"/>
    <w:rsid w:val="00D77285"/>
    <w:rsid w:val="00D777EF"/>
    <w:rsid w:val="00D81110"/>
    <w:rsid w:val="00D83588"/>
    <w:rsid w:val="00D85B9B"/>
    <w:rsid w:val="00D941A8"/>
    <w:rsid w:val="00D9440B"/>
    <w:rsid w:val="00D969F6"/>
    <w:rsid w:val="00D96C67"/>
    <w:rsid w:val="00DA077D"/>
    <w:rsid w:val="00DA0EB7"/>
    <w:rsid w:val="00DA2B1C"/>
    <w:rsid w:val="00DA614B"/>
    <w:rsid w:val="00DA68C9"/>
    <w:rsid w:val="00DB041C"/>
    <w:rsid w:val="00DB5320"/>
    <w:rsid w:val="00DC2ABC"/>
    <w:rsid w:val="00DC50D4"/>
    <w:rsid w:val="00DC6661"/>
    <w:rsid w:val="00DC7374"/>
    <w:rsid w:val="00DD1C43"/>
    <w:rsid w:val="00DD479D"/>
    <w:rsid w:val="00DD58C1"/>
    <w:rsid w:val="00DD5F07"/>
    <w:rsid w:val="00DD5F5F"/>
    <w:rsid w:val="00DD774C"/>
    <w:rsid w:val="00DD7D67"/>
    <w:rsid w:val="00DE04BA"/>
    <w:rsid w:val="00DE1422"/>
    <w:rsid w:val="00DE328C"/>
    <w:rsid w:val="00DE3B08"/>
    <w:rsid w:val="00DE43C9"/>
    <w:rsid w:val="00DE43F7"/>
    <w:rsid w:val="00DE58D3"/>
    <w:rsid w:val="00DE6123"/>
    <w:rsid w:val="00DF1C91"/>
    <w:rsid w:val="00DF1F63"/>
    <w:rsid w:val="00DF3261"/>
    <w:rsid w:val="00DF57C5"/>
    <w:rsid w:val="00E001FC"/>
    <w:rsid w:val="00E00BA4"/>
    <w:rsid w:val="00E00D76"/>
    <w:rsid w:val="00E03FAA"/>
    <w:rsid w:val="00E054C1"/>
    <w:rsid w:val="00E05561"/>
    <w:rsid w:val="00E0648B"/>
    <w:rsid w:val="00E077E2"/>
    <w:rsid w:val="00E12334"/>
    <w:rsid w:val="00E146AE"/>
    <w:rsid w:val="00E14B9F"/>
    <w:rsid w:val="00E17F19"/>
    <w:rsid w:val="00E2078D"/>
    <w:rsid w:val="00E23954"/>
    <w:rsid w:val="00E25BE3"/>
    <w:rsid w:val="00E3287A"/>
    <w:rsid w:val="00E32B97"/>
    <w:rsid w:val="00E32DFF"/>
    <w:rsid w:val="00E335F8"/>
    <w:rsid w:val="00E33A47"/>
    <w:rsid w:val="00E33DC6"/>
    <w:rsid w:val="00E3612F"/>
    <w:rsid w:val="00E400C4"/>
    <w:rsid w:val="00E41953"/>
    <w:rsid w:val="00E447CD"/>
    <w:rsid w:val="00E45AAC"/>
    <w:rsid w:val="00E5243A"/>
    <w:rsid w:val="00E5250F"/>
    <w:rsid w:val="00E5384A"/>
    <w:rsid w:val="00E653F9"/>
    <w:rsid w:val="00E658D0"/>
    <w:rsid w:val="00E66028"/>
    <w:rsid w:val="00E665A6"/>
    <w:rsid w:val="00E72042"/>
    <w:rsid w:val="00E817BE"/>
    <w:rsid w:val="00E822E2"/>
    <w:rsid w:val="00E833A7"/>
    <w:rsid w:val="00E8489C"/>
    <w:rsid w:val="00E857FA"/>
    <w:rsid w:val="00E87AA7"/>
    <w:rsid w:val="00E921A2"/>
    <w:rsid w:val="00E962DB"/>
    <w:rsid w:val="00E975D9"/>
    <w:rsid w:val="00E9780A"/>
    <w:rsid w:val="00EA054F"/>
    <w:rsid w:val="00EA20DE"/>
    <w:rsid w:val="00EA3CC8"/>
    <w:rsid w:val="00EB0FE6"/>
    <w:rsid w:val="00EB3B81"/>
    <w:rsid w:val="00EB42B5"/>
    <w:rsid w:val="00EB542C"/>
    <w:rsid w:val="00EB5B18"/>
    <w:rsid w:val="00EB76BC"/>
    <w:rsid w:val="00EB7A77"/>
    <w:rsid w:val="00EC2A8F"/>
    <w:rsid w:val="00EC4378"/>
    <w:rsid w:val="00EC64D5"/>
    <w:rsid w:val="00EC6B64"/>
    <w:rsid w:val="00ED0200"/>
    <w:rsid w:val="00ED1141"/>
    <w:rsid w:val="00ED1A93"/>
    <w:rsid w:val="00ED53ED"/>
    <w:rsid w:val="00ED57F0"/>
    <w:rsid w:val="00ED7A2A"/>
    <w:rsid w:val="00EE4843"/>
    <w:rsid w:val="00EE4F89"/>
    <w:rsid w:val="00EE7E34"/>
    <w:rsid w:val="00EF50CB"/>
    <w:rsid w:val="00EF5361"/>
    <w:rsid w:val="00EF54B8"/>
    <w:rsid w:val="00F00254"/>
    <w:rsid w:val="00F01B8D"/>
    <w:rsid w:val="00F01DDB"/>
    <w:rsid w:val="00F04D1B"/>
    <w:rsid w:val="00F0532A"/>
    <w:rsid w:val="00F05810"/>
    <w:rsid w:val="00F07423"/>
    <w:rsid w:val="00F0773C"/>
    <w:rsid w:val="00F07765"/>
    <w:rsid w:val="00F103EC"/>
    <w:rsid w:val="00F11A7A"/>
    <w:rsid w:val="00F11A99"/>
    <w:rsid w:val="00F13473"/>
    <w:rsid w:val="00F14149"/>
    <w:rsid w:val="00F152E1"/>
    <w:rsid w:val="00F15F73"/>
    <w:rsid w:val="00F178D4"/>
    <w:rsid w:val="00F2125C"/>
    <w:rsid w:val="00F23768"/>
    <w:rsid w:val="00F25619"/>
    <w:rsid w:val="00F27E28"/>
    <w:rsid w:val="00F30DBB"/>
    <w:rsid w:val="00F30EF2"/>
    <w:rsid w:val="00F320D4"/>
    <w:rsid w:val="00F32F3D"/>
    <w:rsid w:val="00F35A13"/>
    <w:rsid w:val="00F36488"/>
    <w:rsid w:val="00F43107"/>
    <w:rsid w:val="00F449C8"/>
    <w:rsid w:val="00F44D7A"/>
    <w:rsid w:val="00F4601F"/>
    <w:rsid w:val="00F50B15"/>
    <w:rsid w:val="00F51889"/>
    <w:rsid w:val="00F552C9"/>
    <w:rsid w:val="00F60E5D"/>
    <w:rsid w:val="00F63010"/>
    <w:rsid w:val="00F631C4"/>
    <w:rsid w:val="00F63AB6"/>
    <w:rsid w:val="00F63BA5"/>
    <w:rsid w:val="00F66462"/>
    <w:rsid w:val="00F66DAB"/>
    <w:rsid w:val="00F67C5B"/>
    <w:rsid w:val="00F67CA0"/>
    <w:rsid w:val="00F74134"/>
    <w:rsid w:val="00F759E6"/>
    <w:rsid w:val="00F77B6F"/>
    <w:rsid w:val="00F8046E"/>
    <w:rsid w:val="00F8093A"/>
    <w:rsid w:val="00F81D5D"/>
    <w:rsid w:val="00F8382F"/>
    <w:rsid w:val="00F83CF1"/>
    <w:rsid w:val="00F845F1"/>
    <w:rsid w:val="00F85F86"/>
    <w:rsid w:val="00F877DE"/>
    <w:rsid w:val="00F9308A"/>
    <w:rsid w:val="00F94532"/>
    <w:rsid w:val="00F9764C"/>
    <w:rsid w:val="00FA2013"/>
    <w:rsid w:val="00FA4ECC"/>
    <w:rsid w:val="00FA5529"/>
    <w:rsid w:val="00FA6771"/>
    <w:rsid w:val="00FB51DE"/>
    <w:rsid w:val="00FB5EA9"/>
    <w:rsid w:val="00FC0198"/>
    <w:rsid w:val="00FC0322"/>
    <w:rsid w:val="00FC274F"/>
    <w:rsid w:val="00FC6FE9"/>
    <w:rsid w:val="00FD237D"/>
    <w:rsid w:val="00FD3302"/>
    <w:rsid w:val="00FD450B"/>
    <w:rsid w:val="00FD67E8"/>
    <w:rsid w:val="00FD6846"/>
    <w:rsid w:val="00FD6E8E"/>
    <w:rsid w:val="00FE3D9A"/>
    <w:rsid w:val="00FE42D9"/>
    <w:rsid w:val="00FE5406"/>
    <w:rsid w:val="00FE64E6"/>
    <w:rsid w:val="00FE6DF4"/>
    <w:rsid w:val="00FF2767"/>
    <w:rsid w:val="00FF382C"/>
    <w:rsid w:val="00FF785D"/>
    <w:rsid w:val="00FF7D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7B67B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163"/>
    <w:rPr>
      <w:rFonts w:ascii="Times New Roman" w:hAnsi="Times New Roman" w:cs="Times New Roman"/>
    </w:rPr>
  </w:style>
  <w:style w:type="paragraph" w:styleId="Heading1">
    <w:name w:val="heading 1"/>
    <w:basedOn w:val="Normal"/>
    <w:next w:val="Normal"/>
    <w:link w:val="Heading1Char"/>
    <w:uiPriority w:val="9"/>
    <w:qFormat/>
    <w:rsid w:val="003A62D8"/>
    <w:pPr>
      <w:keepNext/>
      <w:keepLines/>
      <w:spacing w:before="480" w:after="480"/>
      <w:outlineLvl w:val="0"/>
    </w:pPr>
    <w:rPr>
      <w:rFonts w:ascii="Calibri" w:eastAsiaTheme="majorEastAsia" w:hAnsi="Calibri"/>
      <w:b/>
      <w:bCs/>
      <w:sz w:val="22"/>
      <w:szCs w:val="22"/>
      <w:lang w:val="en-GB"/>
    </w:rPr>
  </w:style>
  <w:style w:type="paragraph" w:styleId="Heading2">
    <w:name w:val="heading 2"/>
    <w:basedOn w:val="Normal"/>
    <w:next w:val="Normal"/>
    <w:link w:val="Heading2Char"/>
    <w:uiPriority w:val="9"/>
    <w:unhideWhenUsed/>
    <w:qFormat/>
    <w:rsid w:val="0076425C"/>
    <w:pPr>
      <w:keepNext/>
      <w:keepLines/>
      <w:spacing w:before="240" w:after="240"/>
      <w:jc w:val="both"/>
      <w:outlineLvl w:val="1"/>
    </w:pPr>
    <w:rPr>
      <w:rFonts w:ascii="Calibri" w:eastAsiaTheme="majorEastAsia" w:hAnsi="Calibri"/>
      <w:i/>
      <w:color w:val="000000" w:themeColor="text1"/>
      <w:szCs w:val="22"/>
      <w:lang w:val="en-GB"/>
    </w:rPr>
  </w:style>
  <w:style w:type="paragraph" w:styleId="Heading3">
    <w:name w:val="heading 3"/>
    <w:basedOn w:val="Normal"/>
    <w:link w:val="Heading3Char"/>
    <w:uiPriority w:val="9"/>
    <w:qFormat/>
    <w:rsid w:val="0076425C"/>
    <w:pPr>
      <w:spacing w:after="120"/>
      <w:jc w:val="both"/>
      <w:outlineLvl w:val="2"/>
    </w:pPr>
    <w:rPr>
      <w:rFonts w:ascii="Calibri" w:hAnsi="Calibri"/>
      <w:bCs/>
      <w:i/>
      <w:szCs w:val="22"/>
      <w:lang w:val="en-GB"/>
    </w:rPr>
  </w:style>
  <w:style w:type="paragraph" w:styleId="Heading4">
    <w:name w:val="heading 4"/>
    <w:basedOn w:val="Normal"/>
    <w:next w:val="Normal"/>
    <w:link w:val="Heading4Char"/>
    <w:uiPriority w:val="9"/>
    <w:unhideWhenUsed/>
    <w:qFormat/>
    <w:rsid w:val="006A408D"/>
    <w:pPr>
      <w:keepNext/>
      <w:keepLines/>
      <w:spacing w:before="40"/>
      <w:outlineLvl w:val="3"/>
    </w:pPr>
    <w:rPr>
      <w:rFonts w:eastAsiaTheme="majorEastAsia" w:cstheme="majorBidi"/>
      <w:i/>
      <w:iCs/>
      <w:color w:val="000000" w:themeColor="text1"/>
      <w:sz w:val="22"/>
      <w:szCs w:val="22"/>
    </w:rPr>
  </w:style>
  <w:style w:type="paragraph" w:styleId="Heading5">
    <w:name w:val="heading 5"/>
    <w:basedOn w:val="Normal"/>
    <w:next w:val="Normal"/>
    <w:link w:val="Heading5Char"/>
    <w:uiPriority w:val="9"/>
    <w:unhideWhenUsed/>
    <w:qFormat/>
    <w:rsid w:val="006A408D"/>
    <w:pPr>
      <w:outlineLvl w:val="4"/>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0F50"/>
  </w:style>
  <w:style w:type="character" w:customStyle="1" w:styleId="FootnoteTextChar">
    <w:name w:val="Footnote Text Char"/>
    <w:basedOn w:val="DefaultParagraphFont"/>
    <w:link w:val="FootnoteText"/>
    <w:uiPriority w:val="99"/>
    <w:rsid w:val="00110F50"/>
  </w:style>
  <w:style w:type="character" w:styleId="FootnoteReference">
    <w:name w:val="footnote reference"/>
    <w:basedOn w:val="DefaultParagraphFont"/>
    <w:uiPriority w:val="99"/>
    <w:unhideWhenUsed/>
    <w:rsid w:val="00110F50"/>
    <w:rPr>
      <w:vertAlign w:val="superscript"/>
    </w:rPr>
  </w:style>
  <w:style w:type="character" w:styleId="CommentReference">
    <w:name w:val="annotation reference"/>
    <w:basedOn w:val="DefaultParagraphFont"/>
    <w:uiPriority w:val="99"/>
    <w:semiHidden/>
    <w:unhideWhenUsed/>
    <w:rsid w:val="008736ED"/>
    <w:rPr>
      <w:sz w:val="18"/>
      <w:szCs w:val="18"/>
    </w:rPr>
  </w:style>
  <w:style w:type="paragraph" w:styleId="CommentText">
    <w:name w:val="annotation text"/>
    <w:basedOn w:val="Normal"/>
    <w:link w:val="CommentTextChar"/>
    <w:uiPriority w:val="99"/>
    <w:unhideWhenUsed/>
    <w:rsid w:val="008736ED"/>
  </w:style>
  <w:style w:type="character" w:customStyle="1" w:styleId="CommentTextChar">
    <w:name w:val="Comment Text Char"/>
    <w:basedOn w:val="DefaultParagraphFont"/>
    <w:link w:val="CommentText"/>
    <w:uiPriority w:val="99"/>
    <w:rsid w:val="008736ED"/>
  </w:style>
  <w:style w:type="paragraph" w:styleId="CommentSubject">
    <w:name w:val="annotation subject"/>
    <w:basedOn w:val="CommentText"/>
    <w:next w:val="CommentText"/>
    <w:link w:val="CommentSubjectChar"/>
    <w:uiPriority w:val="99"/>
    <w:semiHidden/>
    <w:unhideWhenUsed/>
    <w:rsid w:val="008736ED"/>
    <w:rPr>
      <w:b/>
      <w:bCs/>
      <w:sz w:val="20"/>
      <w:szCs w:val="20"/>
    </w:rPr>
  </w:style>
  <w:style w:type="character" w:customStyle="1" w:styleId="CommentSubjectChar">
    <w:name w:val="Comment Subject Char"/>
    <w:basedOn w:val="CommentTextChar"/>
    <w:link w:val="CommentSubject"/>
    <w:uiPriority w:val="99"/>
    <w:semiHidden/>
    <w:rsid w:val="008736ED"/>
    <w:rPr>
      <w:b/>
      <w:bCs/>
      <w:sz w:val="20"/>
      <w:szCs w:val="20"/>
    </w:rPr>
  </w:style>
  <w:style w:type="paragraph" w:styleId="BalloonText">
    <w:name w:val="Balloon Text"/>
    <w:basedOn w:val="Normal"/>
    <w:link w:val="BalloonTextChar"/>
    <w:uiPriority w:val="99"/>
    <w:semiHidden/>
    <w:unhideWhenUsed/>
    <w:rsid w:val="008736ED"/>
    <w:rPr>
      <w:sz w:val="18"/>
      <w:szCs w:val="18"/>
    </w:rPr>
  </w:style>
  <w:style w:type="character" w:customStyle="1" w:styleId="BalloonTextChar">
    <w:name w:val="Balloon Text Char"/>
    <w:basedOn w:val="DefaultParagraphFont"/>
    <w:link w:val="BalloonText"/>
    <w:uiPriority w:val="99"/>
    <w:semiHidden/>
    <w:rsid w:val="008736ED"/>
    <w:rPr>
      <w:rFonts w:ascii="Times New Roman" w:hAnsi="Times New Roman" w:cs="Times New Roman"/>
      <w:sz w:val="18"/>
      <w:szCs w:val="18"/>
    </w:rPr>
  </w:style>
  <w:style w:type="character" w:styleId="Hyperlink">
    <w:name w:val="Hyperlink"/>
    <w:basedOn w:val="DefaultParagraphFont"/>
    <w:uiPriority w:val="99"/>
    <w:unhideWhenUsed/>
    <w:rsid w:val="00D026E7"/>
    <w:rPr>
      <w:color w:val="0563C1" w:themeColor="hyperlink"/>
      <w:u w:val="single"/>
    </w:rPr>
  </w:style>
  <w:style w:type="paragraph" w:styleId="NormalWeb">
    <w:name w:val="Normal (Web)"/>
    <w:basedOn w:val="Normal"/>
    <w:uiPriority w:val="99"/>
    <w:unhideWhenUsed/>
    <w:rsid w:val="00235B80"/>
    <w:pPr>
      <w:spacing w:before="100" w:beforeAutospacing="1" w:after="100" w:afterAutospacing="1"/>
    </w:pPr>
    <w:rPr>
      <w:rFonts w:eastAsiaTheme="minorEastAsia"/>
    </w:rPr>
  </w:style>
  <w:style w:type="paragraph" w:styleId="ListParagraph">
    <w:name w:val="List Paragraph"/>
    <w:basedOn w:val="Normal"/>
    <w:uiPriority w:val="34"/>
    <w:qFormat/>
    <w:rsid w:val="00334B98"/>
    <w:pPr>
      <w:ind w:left="720"/>
      <w:contextualSpacing/>
    </w:pPr>
  </w:style>
  <w:style w:type="character" w:styleId="Emphasis">
    <w:name w:val="Emphasis"/>
    <w:basedOn w:val="DefaultParagraphFont"/>
    <w:uiPriority w:val="20"/>
    <w:qFormat/>
    <w:rsid w:val="00334B98"/>
    <w:rPr>
      <w:i/>
      <w:iCs/>
    </w:rPr>
  </w:style>
  <w:style w:type="character" w:customStyle="1" w:styleId="Heading3Char">
    <w:name w:val="Heading 3 Char"/>
    <w:basedOn w:val="DefaultParagraphFont"/>
    <w:link w:val="Heading3"/>
    <w:uiPriority w:val="9"/>
    <w:rsid w:val="0076425C"/>
    <w:rPr>
      <w:rFonts w:ascii="Calibri" w:hAnsi="Calibri" w:cs="Times New Roman"/>
      <w:bCs/>
      <w:i/>
      <w:szCs w:val="22"/>
      <w:lang w:val="en-GB"/>
    </w:rPr>
  </w:style>
  <w:style w:type="character" w:styleId="FollowedHyperlink">
    <w:name w:val="FollowedHyperlink"/>
    <w:basedOn w:val="DefaultParagraphFont"/>
    <w:uiPriority w:val="99"/>
    <w:semiHidden/>
    <w:unhideWhenUsed/>
    <w:rsid w:val="00C02682"/>
    <w:rPr>
      <w:color w:val="954F72" w:themeColor="followedHyperlink"/>
      <w:u w:val="single"/>
    </w:rPr>
  </w:style>
  <w:style w:type="paragraph" w:customStyle="1" w:styleId="m7341858633917663534msolistparagraph">
    <w:name w:val="m_7341858633917663534msolistparagraph"/>
    <w:basedOn w:val="Normal"/>
    <w:rsid w:val="00F66DAB"/>
    <w:pPr>
      <w:spacing w:before="100" w:beforeAutospacing="1" w:after="100" w:afterAutospacing="1"/>
    </w:pPr>
  </w:style>
  <w:style w:type="paragraph" w:customStyle="1" w:styleId="m-8229636733945283974msolistparagraph">
    <w:name w:val="m_-8229636733945283974msolistparagraph"/>
    <w:basedOn w:val="Normal"/>
    <w:rsid w:val="00C46EFA"/>
    <w:pPr>
      <w:spacing w:before="100" w:beforeAutospacing="1" w:after="100" w:afterAutospacing="1"/>
    </w:pPr>
  </w:style>
  <w:style w:type="character" w:customStyle="1" w:styleId="Heading1Char">
    <w:name w:val="Heading 1 Char"/>
    <w:basedOn w:val="DefaultParagraphFont"/>
    <w:link w:val="Heading1"/>
    <w:uiPriority w:val="9"/>
    <w:rsid w:val="003A62D8"/>
    <w:rPr>
      <w:rFonts w:ascii="Calibri" w:eastAsiaTheme="majorEastAsia" w:hAnsi="Calibri" w:cs="Times New Roman"/>
      <w:b/>
      <w:bCs/>
      <w:sz w:val="22"/>
      <w:szCs w:val="22"/>
      <w:lang w:val="en-GB"/>
    </w:rPr>
  </w:style>
  <w:style w:type="character" w:customStyle="1" w:styleId="Heading2Char">
    <w:name w:val="Heading 2 Char"/>
    <w:basedOn w:val="DefaultParagraphFont"/>
    <w:link w:val="Heading2"/>
    <w:uiPriority w:val="9"/>
    <w:rsid w:val="0076425C"/>
    <w:rPr>
      <w:rFonts w:ascii="Calibri" w:eastAsiaTheme="majorEastAsia" w:hAnsi="Calibri" w:cs="Times New Roman"/>
      <w:i/>
      <w:color w:val="000000" w:themeColor="text1"/>
      <w:szCs w:val="22"/>
      <w:lang w:val="en-GB"/>
    </w:rPr>
  </w:style>
  <w:style w:type="character" w:customStyle="1" w:styleId="Heading4Char">
    <w:name w:val="Heading 4 Char"/>
    <w:basedOn w:val="DefaultParagraphFont"/>
    <w:link w:val="Heading4"/>
    <w:uiPriority w:val="9"/>
    <w:rsid w:val="006A408D"/>
    <w:rPr>
      <w:rFonts w:ascii="Times" w:eastAsiaTheme="majorEastAsia" w:hAnsi="Times" w:cstheme="majorBidi"/>
      <w:i/>
      <w:iCs/>
      <w:color w:val="000000" w:themeColor="text1"/>
      <w:sz w:val="22"/>
      <w:szCs w:val="22"/>
    </w:rPr>
  </w:style>
  <w:style w:type="paragraph" w:styleId="NoSpacing">
    <w:name w:val="No Spacing"/>
    <w:basedOn w:val="Normal"/>
    <w:link w:val="NoSpacingChar"/>
    <w:uiPriority w:val="1"/>
    <w:qFormat/>
    <w:rsid w:val="006A408D"/>
  </w:style>
  <w:style w:type="character" w:styleId="Strong">
    <w:name w:val="Strong"/>
    <w:basedOn w:val="DefaultParagraphFont"/>
    <w:uiPriority w:val="22"/>
    <w:qFormat/>
    <w:rsid w:val="004B6704"/>
    <w:rPr>
      <w:b/>
      <w:bCs/>
    </w:rPr>
  </w:style>
  <w:style w:type="character" w:customStyle="1" w:styleId="ref-lnk">
    <w:name w:val="ref-lnk"/>
    <w:basedOn w:val="DefaultParagraphFont"/>
    <w:rsid w:val="00B96EA7"/>
  </w:style>
  <w:style w:type="character" w:customStyle="1" w:styleId="ref-overlay">
    <w:name w:val="ref-overlay"/>
    <w:basedOn w:val="DefaultParagraphFont"/>
    <w:rsid w:val="00B96EA7"/>
  </w:style>
  <w:style w:type="character" w:customStyle="1" w:styleId="hlfld-contribauthor">
    <w:name w:val="hlfld-contribauthor"/>
    <w:basedOn w:val="DefaultParagraphFont"/>
    <w:rsid w:val="00B96EA7"/>
  </w:style>
  <w:style w:type="character" w:customStyle="1" w:styleId="nlmgiven-names">
    <w:name w:val="nlm_given-names"/>
    <w:basedOn w:val="DefaultParagraphFont"/>
    <w:rsid w:val="00B96EA7"/>
  </w:style>
  <w:style w:type="character" w:customStyle="1" w:styleId="nlmarticle-title">
    <w:name w:val="nlm_article-title"/>
    <w:basedOn w:val="DefaultParagraphFont"/>
    <w:rsid w:val="00B96EA7"/>
  </w:style>
  <w:style w:type="character" w:customStyle="1" w:styleId="nlmyear">
    <w:name w:val="nlm_year"/>
    <w:basedOn w:val="DefaultParagraphFont"/>
    <w:rsid w:val="00B96EA7"/>
  </w:style>
  <w:style w:type="character" w:customStyle="1" w:styleId="nlmfpage">
    <w:name w:val="nlm_fpage"/>
    <w:basedOn w:val="DefaultParagraphFont"/>
    <w:rsid w:val="00B96EA7"/>
  </w:style>
  <w:style w:type="character" w:customStyle="1" w:styleId="nlmlpage">
    <w:name w:val="nlm_lpage"/>
    <w:basedOn w:val="DefaultParagraphFont"/>
    <w:rsid w:val="00B96EA7"/>
  </w:style>
  <w:style w:type="character" w:customStyle="1" w:styleId="ref-links">
    <w:name w:val="ref-links"/>
    <w:basedOn w:val="DefaultParagraphFont"/>
    <w:rsid w:val="00B96EA7"/>
  </w:style>
  <w:style w:type="character" w:customStyle="1" w:styleId="googlescholar-container">
    <w:name w:val="googlescholar-container"/>
    <w:basedOn w:val="DefaultParagraphFont"/>
    <w:rsid w:val="00B96EA7"/>
  </w:style>
  <w:style w:type="paragraph" w:customStyle="1" w:styleId="p1">
    <w:name w:val="p1"/>
    <w:basedOn w:val="Normal"/>
    <w:rsid w:val="00FA4ECC"/>
    <w:rPr>
      <w:rFonts w:ascii="Helvetica Neue" w:hAnsi="Helvetica Neue"/>
      <w:color w:val="454545"/>
      <w:sz w:val="18"/>
      <w:szCs w:val="18"/>
    </w:rPr>
  </w:style>
  <w:style w:type="paragraph" w:customStyle="1" w:styleId="p2">
    <w:name w:val="p2"/>
    <w:basedOn w:val="Normal"/>
    <w:rsid w:val="00FA4ECC"/>
    <w:rPr>
      <w:rFonts w:ascii="Helvetica Neue" w:hAnsi="Helvetica Neue"/>
      <w:color w:val="454545"/>
      <w:sz w:val="18"/>
      <w:szCs w:val="18"/>
    </w:rPr>
  </w:style>
  <w:style w:type="character" w:customStyle="1" w:styleId="apple-converted-space">
    <w:name w:val="apple-converted-space"/>
    <w:basedOn w:val="DefaultParagraphFont"/>
    <w:rsid w:val="00FA4ECC"/>
  </w:style>
  <w:style w:type="character" w:customStyle="1" w:styleId="highlight">
    <w:name w:val="highlight"/>
    <w:basedOn w:val="DefaultParagraphFont"/>
    <w:rsid w:val="00860A6B"/>
  </w:style>
  <w:style w:type="table" w:styleId="TableGrid">
    <w:name w:val="Table Grid"/>
    <w:basedOn w:val="TableNormal"/>
    <w:uiPriority w:val="39"/>
    <w:rsid w:val="001061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B13F0"/>
    <w:pPr>
      <w:tabs>
        <w:tab w:val="center" w:pos="4680"/>
        <w:tab w:val="right" w:pos="9360"/>
      </w:tabs>
    </w:pPr>
  </w:style>
  <w:style w:type="character" w:customStyle="1" w:styleId="HeaderChar">
    <w:name w:val="Header Char"/>
    <w:basedOn w:val="DefaultParagraphFont"/>
    <w:link w:val="Header"/>
    <w:uiPriority w:val="99"/>
    <w:rsid w:val="002B13F0"/>
  </w:style>
  <w:style w:type="paragraph" w:styleId="Footer">
    <w:name w:val="footer"/>
    <w:basedOn w:val="Normal"/>
    <w:link w:val="FooterChar"/>
    <w:uiPriority w:val="99"/>
    <w:unhideWhenUsed/>
    <w:rsid w:val="002B13F0"/>
    <w:pPr>
      <w:tabs>
        <w:tab w:val="center" w:pos="4680"/>
        <w:tab w:val="right" w:pos="9360"/>
      </w:tabs>
    </w:pPr>
  </w:style>
  <w:style w:type="character" w:customStyle="1" w:styleId="FooterChar">
    <w:name w:val="Footer Char"/>
    <w:basedOn w:val="DefaultParagraphFont"/>
    <w:link w:val="Footer"/>
    <w:uiPriority w:val="99"/>
    <w:rsid w:val="002B13F0"/>
  </w:style>
  <w:style w:type="character" w:customStyle="1" w:styleId="NoSpacingChar">
    <w:name w:val="No Spacing Char"/>
    <w:basedOn w:val="DefaultParagraphFont"/>
    <w:link w:val="NoSpacing"/>
    <w:uiPriority w:val="1"/>
    <w:rsid w:val="006A408D"/>
    <w:rPr>
      <w:rFonts w:ascii="Times" w:hAnsi="Times" w:cs="Times New Roman"/>
    </w:rPr>
  </w:style>
  <w:style w:type="paragraph" w:styleId="TOCHeading">
    <w:name w:val="TOC Heading"/>
    <w:basedOn w:val="Heading1"/>
    <w:next w:val="Normal"/>
    <w:uiPriority w:val="39"/>
    <w:unhideWhenUsed/>
    <w:qFormat/>
    <w:rsid w:val="009A74A1"/>
    <w:pPr>
      <w:spacing w:line="276" w:lineRule="auto"/>
      <w:outlineLvl w:val="9"/>
    </w:pPr>
    <w:rPr>
      <w:b w:val="0"/>
      <w:bCs w:val="0"/>
      <w:sz w:val="28"/>
      <w:szCs w:val="28"/>
    </w:rPr>
  </w:style>
  <w:style w:type="paragraph" w:styleId="TOC1">
    <w:name w:val="toc 1"/>
    <w:basedOn w:val="Normal"/>
    <w:next w:val="Normal"/>
    <w:autoRedefine/>
    <w:uiPriority w:val="39"/>
    <w:unhideWhenUsed/>
    <w:rsid w:val="00447E68"/>
    <w:pPr>
      <w:spacing w:before="180" w:after="120"/>
    </w:pPr>
    <w:rPr>
      <w:rFonts w:ascii="Calibri" w:hAnsi="Calibri"/>
      <w:bCs/>
      <w:color w:val="548DD4"/>
    </w:rPr>
  </w:style>
  <w:style w:type="paragraph" w:styleId="TOC2">
    <w:name w:val="toc 2"/>
    <w:basedOn w:val="Normal"/>
    <w:next w:val="Normal"/>
    <w:autoRedefine/>
    <w:uiPriority w:val="39"/>
    <w:unhideWhenUsed/>
    <w:rsid w:val="00447E68"/>
    <w:pPr>
      <w:spacing w:before="60" w:after="60"/>
    </w:pPr>
    <w:rPr>
      <w:rFonts w:ascii="Calibri" w:hAnsi="Calibri"/>
      <w:color w:val="000000" w:themeColor="text1"/>
      <w:sz w:val="22"/>
      <w:szCs w:val="22"/>
    </w:rPr>
  </w:style>
  <w:style w:type="paragraph" w:styleId="TOC3">
    <w:name w:val="toc 3"/>
    <w:basedOn w:val="Normal"/>
    <w:next w:val="Normal"/>
    <w:autoRedefine/>
    <w:uiPriority w:val="39"/>
    <w:unhideWhenUsed/>
    <w:rsid w:val="00447E68"/>
    <w:pPr>
      <w:spacing w:before="20" w:after="20"/>
      <w:ind w:left="284"/>
    </w:pPr>
    <w:rPr>
      <w:rFonts w:ascii="Calibri" w:hAnsi="Calibri"/>
      <w:i/>
      <w:iCs/>
      <w:sz w:val="21"/>
      <w:szCs w:val="22"/>
    </w:rPr>
  </w:style>
  <w:style w:type="paragraph" w:styleId="TOC4">
    <w:name w:val="toc 4"/>
    <w:basedOn w:val="Normal"/>
    <w:next w:val="Normal"/>
    <w:autoRedefine/>
    <w:uiPriority w:val="39"/>
    <w:unhideWhenUsed/>
    <w:rsid w:val="009A74A1"/>
    <w:pPr>
      <w:pBdr>
        <w:between w:val="double" w:sz="6" w:space="0" w:color="auto"/>
      </w:pBdr>
      <w:ind w:left="480"/>
    </w:pPr>
    <w:rPr>
      <w:sz w:val="20"/>
      <w:szCs w:val="20"/>
    </w:rPr>
  </w:style>
  <w:style w:type="paragraph" w:styleId="TOC5">
    <w:name w:val="toc 5"/>
    <w:basedOn w:val="Normal"/>
    <w:next w:val="Normal"/>
    <w:autoRedefine/>
    <w:uiPriority w:val="39"/>
    <w:unhideWhenUsed/>
    <w:rsid w:val="009A74A1"/>
    <w:pPr>
      <w:pBdr>
        <w:between w:val="double" w:sz="6" w:space="0" w:color="auto"/>
      </w:pBdr>
      <w:ind w:left="720"/>
    </w:pPr>
    <w:rPr>
      <w:sz w:val="20"/>
      <w:szCs w:val="20"/>
    </w:rPr>
  </w:style>
  <w:style w:type="paragraph" w:styleId="TOC6">
    <w:name w:val="toc 6"/>
    <w:basedOn w:val="Normal"/>
    <w:next w:val="Normal"/>
    <w:autoRedefine/>
    <w:uiPriority w:val="39"/>
    <w:unhideWhenUsed/>
    <w:rsid w:val="009A74A1"/>
    <w:pPr>
      <w:pBdr>
        <w:between w:val="double" w:sz="6" w:space="0" w:color="auto"/>
      </w:pBdr>
      <w:ind w:left="960"/>
    </w:pPr>
    <w:rPr>
      <w:sz w:val="20"/>
      <w:szCs w:val="20"/>
    </w:rPr>
  </w:style>
  <w:style w:type="paragraph" w:styleId="TOC7">
    <w:name w:val="toc 7"/>
    <w:basedOn w:val="Normal"/>
    <w:next w:val="Normal"/>
    <w:autoRedefine/>
    <w:uiPriority w:val="39"/>
    <w:unhideWhenUsed/>
    <w:rsid w:val="009A74A1"/>
    <w:pPr>
      <w:pBdr>
        <w:between w:val="double" w:sz="6" w:space="0" w:color="auto"/>
      </w:pBdr>
      <w:ind w:left="1200"/>
    </w:pPr>
    <w:rPr>
      <w:sz w:val="20"/>
      <w:szCs w:val="20"/>
    </w:rPr>
  </w:style>
  <w:style w:type="paragraph" w:styleId="TOC8">
    <w:name w:val="toc 8"/>
    <w:basedOn w:val="Normal"/>
    <w:next w:val="Normal"/>
    <w:autoRedefine/>
    <w:uiPriority w:val="39"/>
    <w:unhideWhenUsed/>
    <w:rsid w:val="009A74A1"/>
    <w:pPr>
      <w:pBdr>
        <w:between w:val="double" w:sz="6" w:space="0" w:color="auto"/>
      </w:pBdr>
      <w:ind w:left="1440"/>
    </w:pPr>
    <w:rPr>
      <w:sz w:val="20"/>
      <w:szCs w:val="20"/>
    </w:rPr>
  </w:style>
  <w:style w:type="paragraph" w:styleId="TOC9">
    <w:name w:val="toc 9"/>
    <w:basedOn w:val="Normal"/>
    <w:next w:val="Normal"/>
    <w:autoRedefine/>
    <w:uiPriority w:val="39"/>
    <w:unhideWhenUsed/>
    <w:rsid w:val="009A74A1"/>
    <w:pPr>
      <w:pBdr>
        <w:between w:val="double" w:sz="6" w:space="0" w:color="auto"/>
      </w:pBdr>
      <w:ind w:left="1680"/>
    </w:pPr>
    <w:rPr>
      <w:sz w:val="20"/>
      <w:szCs w:val="20"/>
    </w:rPr>
  </w:style>
  <w:style w:type="paragraph" w:styleId="Title">
    <w:name w:val="Title"/>
    <w:basedOn w:val="NoSpacing"/>
    <w:next w:val="Normal"/>
    <w:link w:val="TitleChar"/>
    <w:uiPriority w:val="10"/>
    <w:qFormat/>
    <w:rsid w:val="006A408D"/>
    <w:pPr>
      <w:framePr w:hSpace="187" w:wrap="around" w:hAnchor="margin" w:xAlign="center" w:y="2881"/>
    </w:pPr>
    <w:rPr>
      <w:sz w:val="52"/>
    </w:rPr>
  </w:style>
  <w:style w:type="character" w:customStyle="1" w:styleId="TitleChar">
    <w:name w:val="Title Char"/>
    <w:basedOn w:val="DefaultParagraphFont"/>
    <w:link w:val="Title"/>
    <w:uiPriority w:val="10"/>
    <w:rsid w:val="006A408D"/>
    <w:rPr>
      <w:rFonts w:ascii="Times New Roman" w:hAnsi="Times New Roman" w:cs="Times New Roman"/>
      <w:sz w:val="52"/>
    </w:rPr>
  </w:style>
  <w:style w:type="character" w:customStyle="1" w:styleId="apple-tab-span">
    <w:name w:val="apple-tab-span"/>
    <w:basedOn w:val="DefaultParagraphFont"/>
    <w:rsid w:val="00FD450B"/>
  </w:style>
  <w:style w:type="character" w:customStyle="1" w:styleId="Heading5Char">
    <w:name w:val="Heading 5 Char"/>
    <w:basedOn w:val="DefaultParagraphFont"/>
    <w:link w:val="Heading5"/>
    <w:uiPriority w:val="9"/>
    <w:rsid w:val="006A408D"/>
    <w:rPr>
      <w:rFonts w:ascii="Times" w:hAnsi="Times" w:cs="Times New Roman"/>
      <w:noProof/>
    </w:rPr>
  </w:style>
  <w:style w:type="character" w:styleId="PageNumber">
    <w:name w:val="page number"/>
    <w:basedOn w:val="DefaultParagraphFont"/>
    <w:uiPriority w:val="99"/>
    <w:semiHidden/>
    <w:unhideWhenUsed/>
    <w:rsid w:val="00602E3C"/>
  </w:style>
  <w:style w:type="paragraph" w:styleId="Revision">
    <w:name w:val="Revision"/>
    <w:hidden/>
    <w:uiPriority w:val="99"/>
    <w:semiHidden/>
    <w:rsid w:val="00485D6B"/>
    <w:rPr>
      <w:rFonts w:ascii="Times" w:hAnsi="Times" w:cs="Times New Roman"/>
    </w:rPr>
  </w:style>
  <w:style w:type="paragraph" w:customStyle="1" w:styleId="EndNoteBibliographyTitle">
    <w:name w:val="EndNote Bibliography Title"/>
    <w:basedOn w:val="Normal"/>
    <w:rsid w:val="0095533C"/>
    <w:pPr>
      <w:jc w:val="center"/>
    </w:pPr>
    <w:rPr>
      <w:rFonts w:ascii="Calibri" w:hAnsi="Calibri"/>
      <w:sz w:val="22"/>
    </w:rPr>
  </w:style>
  <w:style w:type="paragraph" w:customStyle="1" w:styleId="EndNoteBibliography">
    <w:name w:val="EndNote Bibliography"/>
    <w:basedOn w:val="Normal"/>
    <w:rsid w:val="0095533C"/>
    <w:rPr>
      <w:rFonts w:ascii="Calibri" w:hAnsi="Calibri"/>
      <w:sz w:val="22"/>
    </w:rPr>
  </w:style>
  <w:style w:type="paragraph" w:styleId="PlainText">
    <w:name w:val="Plain Text"/>
    <w:basedOn w:val="Normal"/>
    <w:link w:val="PlainTextChar"/>
    <w:uiPriority w:val="99"/>
    <w:unhideWhenUsed/>
    <w:rsid w:val="0038231A"/>
    <w:rPr>
      <w:rFonts w:ascii="Calibri" w:eastAsiaTheme="minorEastAsia" w:hAnsi="Calibri" w:cs="Consolas"/>
      <w:sz w:val="22"/>
      <w:szCs w:val="21"/>
      <w:lang w:val="en-GB" w:eastAsia="zh-CN"/>
    </w:rPr>
  </w:style>
  <w:style w:type="character" w:customStyle="1" w:styleId="PlainTextChar">
    <w:name w:val="Plain Text Char"/>
    <w:basedOn w:val="DefaultParagraphFont"/>
    <w:link w:val="PlainText"/>
    <w:uiPriority w:val="99"/>
    <w:rsid w:val="0038231A"/>
    <w:rPr>
      <w:rFonts w:ascii="Calibri" w:eastAsiaTheme="minorEastAsia" w:hAnsi="Calibri" w:cs="Consolas"/>
      <w:sz w:val="22"/>
      <w:szCs w:val="21"/>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163"/>
    <w:rPr>
      <w:rFonts w:ascii="Times New Roman" w:hAnsi="Times New Roman" w:cs="Times New Roman"/>
    </w:rPr>
  </w:style>
  <w:style w:type="paragraph" w:styleId="Heading1">
    <w:name w:val="heading 1"/>
    <w:basedOn w:val="Normal"/>
    <w:next w:val="Normal"/>
    <w:link w:val="Heading1Char"/>
    <w:uiPriority w:val="9"/>
    <w:qFormat/>
    <w:rsid w:val="003A62D8"/>
    <w:pPr>
      <w:keepNext/>
      <w:keepLines/>
      <w:spacing w:before="480" w:after="480"/>
      <w:outlineLvl w:val="0"/>
    </w:pPr>
    <w:rPr>
      <w:rFonts w:ascii="Calibri" w:eastAsiaTheme="majorEastAsia" w:hAnsi="Calibri"/>
      <w:b/>
      <w:bCs/>
      <w:sz w:val="22"/>
      <w:szCs w:val="22"/>
      <w:lang w:val="en-GB"/>
    </w:rPr>
  </w:style>
  <w:style w:type="paragraph" w:styleId="Heading2">
    <w:name w:val="heading 2"/>
    <w:basedOn w:val="Normal"/>
    <w:next w:val="Normal"/>
    <w:link w:val="Heading2Char"/>
    <w:uiPriority w:val="9"/>
    <w:unhideWhenUsed/>
    <w:qFormat/>
    <w:rsid w:val="0076425C"/>
    <w:pPr>
      <w:keepNext/>
      <w:keepLines/>
      <w:spacing w:before="240" w:after="240"/>
      <w:jc w:val="both"/>
      <w:outlineLvl w:val="1"/>
    </w:pPr>
    <w:rPr>
      <w:rFonts w:ascii="Calibri" w:eastAsiaTheme="majorEastAsia" w:hAnsi="Calibri"/>
      <w:i/>
      <w:color w:val="000000" w:themeColor="text1"/>
      <w:szCs w:val="22"/>
      <w:lang w:val="en-GB"/>
    </w:rPr>
  </w:style>
  <w:style w:type="paragraph" w:styleId="Heading3">
    <w:name w:val="heading 3"/>
    <w:basedOn w:val="Normal"/>
    <w:link w:val="Heading3Char"/>
    <w:uiPriority w:val="9"/>
    <w:qFormat/>
    <w:rsid w:val="0076425C"/>
    <w:pPr>
      <w:spacing w:after="120"/>
      <w:jc w:val="both"/>
      <w:outlineLvl w:val="2"/>
    </w:pPr>
    <w:rPr>
      <w:rFonts w:ascii="Calibri" w:hAnsi="Calibri"/>
      <w:bCs/>
      <w:i/>
      <w:szCs w:val="22"/>
      <w:lang w:val="en-GB"/>
    </w:rPr>
  </w:style>
  <w:style w:type="paragraph" w:styleId="Heading4">
    <w:name w:val="heading 4"/>
    <w:basedOn w:val="Normal"/>
    <w:next w:val="Normal"/>
    <w:link w:val="Heading4Char"/>
    <w:uiPriority w:val="9"/>
    <w:unhideWhenUsed/>
    <w:qFormat/>
    <w:rsid w:val="006A408D"/>
    <w:pPr>
      <w:keepNext/>
      <w:keepLines/>
      <w:spacing w:before="40"/>
      <w:outlineLvl w:val="3"/>
    </w:pPr>
    <w:rPr>
      <w:rFonts w:eastAsiaTheme="majorEastAsia" w:cstheme="majorBidi"/>
      <w:i/>
      <w:iCs/>
      <w:color w:val="000000" w:themeColor="text1"/>
      <w:sz w:val="22"/>
      <w:szCs w:val="22"/>
    </w:rPr>
  </w:style>
  <w:style w:type="paragraph" w:styleId="Heading5">
    <w:name w:val="heading 5"/>
    <w:basedOn w:val="Normal"/>
    <w:next w:val="Normal"/>
    <w:link w:val="Heading5Char"/>
    <w:uiPriority w:val="9"/>
    <w:unhideWhenUsed/>
    <w:qFormat/>
    <w:rsid w:val="006A408D"/>
    <w:pPr>
      <w:outlineLvl w:val="4"/>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0F50"/>
  </w:style>
  <w:style w:type="character" w:customStyle="1" w:styleId="FootnoteTextChar">
    <w:name w:val="Footnote Text Char"/>
    <w:basedOn w:val="DefaultParagraphFont"/>
    <w:link w:val="FootnoteText"/>
    <w:uiPriority w:val="99"/>
    <w:rsid w:val="00110F50"/>
  </w:style>
  <w:style w:type="character" w:styleId="FootnoteReference">
    <w:name w:val="footnote reference"/>
    <w:basedOn w:val="DefaultParagraphFont"/>
    <w:uiPriority w:val="99"/>
    <w:unhideWhenUsed/>
    <w:rsid w:val="00110F50"/>
    <w:rPr>
      <w:vertAlign w:val="superscript"/>
    </w:rPr>
  </w:style>
  <w:style w:type="character" w:styleId="CommentReference">
    <w:name w:val="annotation reference"/>
    <w:basedOn w:val="DefaultParagraphFont"/>
    <w:uiPriority w:val="99"/>
    <w:semiHidden/>
    <w:unhideWhenUsed/>
    <w:rsid w:val="008736ED"/>
    <w:rPr>
      <w:sz w:val="18"/>
      <w:szCs w:val="18"/>
    </w:rPr>
  </w:style>
  <w:style w:type="paragraph" w:styleId="CommentText">
    <w:name w:val="annotation text"/>
    <w:basedOn w:val="Normal"/>
    <w:link w:val="CommentTextChar"/>
    <w:uiPriority w:val="99"/>
    <w:unhideWhenUsed/>
    <w:rsid w:val="008736ED"/>
  </w:style>
  <w:style w:type="character" w:customStyle="1" w:styleId="CommentTextChar">
    <w:name w:val="Comment Text Char"/>
    <w:basedOn w:val="DefaultParagraphFont"/>
    <w:link w:val="CommentText"/>
    <w:uiPriority w:val="99"/>
    <w:rsid w:val="008736ED"/>
  </w:style>
  <w:style w:type="paragraph" w:styleId="CommentSubject">
    <w:name w:val="annotation subject"/>
    <w:basedOn w:val="CommentText"/>
    <w:next w:val="CommentText"/>
    <w:link w:val="CommentSubjectChar"/>
    <w:uiPriority w:val="99"/>
    <w:semiHidden/>
    <w:unhideWhenUsed/>
    <w:rsid w:val="008736ED"/>
    <w:rPr>
      <w:b/>
      <w:bCs/>
      <w:sz w:val="20"/>
      <w:szCs w:val="20"/>
    </w:rPr>
  </w:style>
  <w:style w:type="character" w:customStyle="1" w:styleId="CommentSubjectChar">
    <w:name w:val="Comment Subject Char"/>
    <w:basedOn w:val="CommentTextChar"/>
    <w:link w:val="CommentSubject"/>
    <w:uiPriority w:val="99"/>
    <w:semiHidden/>
    <w:rsid w:val="008736ED"/>
    <w:rPr>
      <w:b/>
      <w:bCs/>
      <w:sz w:val="20"/>
      <w:szCs w:val="20"/>
    </w:rPr>
  </w:style>
  <w:style w:type="paragraph" w:styleId="BalloonText">
    <w:name w:val="Balloon Text"/>
    <w:basedOn w:val="Normal"/>
    <w:link w:val="BalloonTextChar"/>
    <w:uiPriority w:val="99"/>
    <w:semiHidden/>
    <w:unhideWhenUsed/>
    <w:rsid w:val="008736ED"/>
    <w:rPr>
      <w:sz w:val="18"/>
      <w:szCs w:val="18"/>
    </w:rPr>
  </w:style>
  <w:style w:type="character" w:customStyle="1" w:styleId="BalloonTextChar">
    <w:name w:val="Balloon Text Char"/>
    <w:basedOn w:val="DefaultParagraphFont"/>
    <w:link w:val="BalloonText"/>
    <w:uiPriority w:val="99"/>
    <w:semiHidden/>
    <w:rsid w:val="008736ED"/>
    <w:rPr>
      <w:rFonts w:ascii="Times New Roman" w:hAnsi="Times New Roman" w:cs="Times New Roman"/>
      <w:sz w:val="18"/>
      <w:szCs w:val="18"/>
    </w:rPr>
  </w:style>
  <w:style w:type="character" w:styleId="Hyperlink">
    <w:name w:val="Hyperlink"/>
    <w:basedOn w:val="DefaultParagraphFont"/>
    <w:uiPriority w:val="99"/>
    <w:unhideWhenUsed/>
    <w:rsid w:val="00D026E7"/>
    <w:rPr>
      <w:color w:val="0563C1" w:themeColor="hyperlink"/>
      <w:u w:val="single"/>
    </w:rPr>
  </w:style>
  <w:style w:type="paragraph" w:styleId="NormalWeb">
    <w:name w:val="Normal (Web)"/>
    <w:basedOn w:val="Normal"/>
    <w:uiPriority w:val="99"/>
    <w:unhideWhenUsed/>
    <w:rsid w:val="00235B80"/>
    <w:pPr>
      <w:spacing w:before="100" w:beforeAutospacing="1" w:after="100" w:afterAutospacing="1"/>
    </w:pPr>
    <w:rPr>
      <w:rFonts w:eastAsiaTheme="minorEastAsia"/>
    </w:rPr>
  </w:style>
  <w:style w:type="paragraph" w:styleId="ListParagraph">
    <w:name w:val="List Paragraph"/>
    <w:basedOn w:val="Normal"/>
    <w:uiPriority w:val="34"/>
    <w:qFormat/>
    <w:rsid w:val="00334B98"/>
    <w:pPr>
      <w:ind w:left="720"/>
      <w:contextualSpacing/>
    </w:pPr>
  </w:style>
  <w:style w:type="character" w:styleId="Emphasis">
    <w:name w:val="Emphasis"/>
    <w:basedOn w:val="DefaultParagraphFont"/>
    <w:uiPriority w:val="20"/>
    <w:qFormat/>
    <w:rsid w:val="00334B98"/>
    <w:rPr>
      <w:i/>
      <w:iCs/>
    </w:rPr>
  </w:style>
  <w:style w:type="character" w:customStyle="1" w:styleId="Heading3Char">
    <w:name w:val="Heading 3 Char"/>
    <w:basedOn w:val="DefaultParagraphFont"/>
    <w:link w:val="Heading3"/>
    <w:uiPriority w:val="9"/>
    <w:rsid w:val="0076425C"/>
    <w:rPr>
      <w:rFonts w:ascii="Calibri" w:hAnsi="Calibri" w:cs="Times New Roman"/>
      <w:bCs/>
      <w:i/>
      <w:szCs w:val="22"/>
      <w:lang w:val="en-GB"/>
    </w:rPr>
  </w:style>
  <w:style w:type="character" w:styleId="FollowedHyperlink">
    <w:name w:val="FollowedHyperlink"/>
    <w:basedOn w:val="DefaultParagraphFont"/>
    <w:uiPriority w:val="99"/>
    <w:semiHidden/>
    <w:unhideWhenUsed/>
    <w:rsid w:val="00C02682"/>
    <w:rPr>
      <w:color w:val="954F72" w:themeColor="followedHyperlink"/>
      <w:u w:val="single"/>
    </w:rPr>
  </w:style>
  <w:style w:type="paragraph" w:customStyle="1" w:styleId="m7341858633917663534msolistparagraph">
    <w:name w:val="m_7341858633917663534msolistparagraph"/>
    <w:basedOn w:val="Normal"/>
    <w:rsid w:val="00F66DAB"/>
    <w:pPr>
      <w:spacing w:before="100" w:beforeAutospacing="1" w:after="100" w:afterAutospacing="1"/>
    </w:pPr>
  </w:style>
  <w:style w:type="paragraph" w:customStyle="1" w:styleId="m-8229636733945283974msolistparagraph">
    <w:name w:val="m_-8229636733945283974msolistparagraph"/>
    <w:basedOn w:val="Normal"/>
    <w:rsid w:val="00C46EFA"/>
    <w:pPr>
      <w:spacing w:before="100" w:beforeAutospacing="1" w:after="100" w:afterAutospacing="1"/>
    </w:pPr>
  </w:style>
  <w:style w:type="character" w:customStyle="1" w:styleId="Heading1Char">
    <w:name w:val="Heading 1 Char"/>
    <w:basedOn w:val="DefaultParagraphFont"/>
    <w:link w:val="Heading1"/>
    <w:uiPriority w:val="9"/>
    <w:rsid w:val="003A62D8"/>
    <w:rPr>
      <w:rFonts w:ascii="Calibri" w:eastAsiaTheme="majorEastAsia" w:hAnsi="Calibri" w:cs="Times New Roman"/>
      <w:b/>
      <w:bCs/>
      <w:sz w:val="22"/>
      <w:szCs w:val="22"/>
      <w:lang w:val="en-GB"/>
    </w:rPr>
  </w:style>
  <w:style w:type="character" w:customStyle="1" w:styleId="Heading2Char">
    <w:name w:val="Heading 2 Char"/>
    <w:basedOn w:val="DefaultParagraphFont"/>
    <w:link w:val="Heading2"/>
    <w:uiPriority w:val="9"/>
    <w:rsid w:val="0076425C"/>
    <w:rPr>
      <w:rFonts w:ascii="Calibri" w:eastAsiaTheme="majorEastAsia" w:hAnsi="Calibri" w:cs="Times New Roman"/>
      <w:i/>
      <w:color w:val="000000" w:themeColor="text1"/>
      <w:szCs w:val="22"/>
      <w:lang w:val="en-GB"/>
    </w:rPr>
  </w:style>
  <w:style w:type="character" w:customStyle="1" w:styleId="Heading4Char">
    <w:name w:val="Heading 4 Char"/>
    <w:basedOn w:val="DefaultParagraphFont"/>
    <w:link w:val="Heading4"/>
    <w:uiPriority w:val="9"/>
    <w:rsid w:val="006A408D"/>
    <w:rPr>
      <w:rFonts w:ascii="Times" w:eastAsiaTheme="majorEastAsia" w:hAnsi="Times" w:cstheme="majorBidi"/>
      <w:i/>
      <w:iCs/>
      <w:color w:val="000000" w:themeColor="text1"/>
      <w:sz w:val="22"/>
      <w:szCs w:val="22"/>
    </w:rPr>
  </w:style>
  <w:style w:type="paragraph" w:styleId="NoSpacing">
    <w:name w:val="No Spacing"/>
    <w:basedOn w:val="Normal"/>
    <w:link w:val="NoSpacingChar"/>
    <w:uiPriority w:val="1"/>
    <w:qFormat/>
    <w:rsid w:val="006A408D"/>
  </w:style>
  <w:style w:type="character" w:styleId="Strong">
    <w:name w:val="Strong"/>
    <w:basedOn w:val="DefaultParagraphFont"/>
    <w:uiPriority w:val="22"/>
    <w:qFormat/>
    <w:rsid w:val="004B6704"/>
    <w:rPr>
      <w:b/>
      <w:bCs/>
    </w:rPr>
  </w:style>
  <w:style w:type="character" w:customStyle="1" w:styleId="ref-lnk">
    <w:name w:val="ref-lnk"/>
    <w:basedOn w:val="DefaultParagraphFont"/>
    <w:rsid w:val="00B96EA7"/>
  </w:style>
  <w:style w:type="character" w:customStyle="1" w:styleId="ref-overlay">
    <w:name w:val="ref-overlay"/>
    <w:basedOn w:val="DefaultParagraphFont"/>
    <w:rsid w:val="00B96EA7"/>
  </w:style>
  <w:style w:type="character" w:customStyle="1" w:styleId="hlfld-contribauthor">
    <w:name w:val="hlfld-contribauthor"/>
    <w:basedOn w:val="DefaultParagraphFont"/>
    <w:rsid w:val="00B96EA7"/>
  </w:style>
  <w:style w:type="character" w:customStyle="1" w:styleId="nlmgiven-names">
    <w:name w:val="nlm_given-names"/>
    <w:basedOn w:val="DefaultParagraphFont"/>
    <w:rsid w:val="00B96EA7"/>
  </w:style>
  <w:style w:type="character" w:customStyle="1" w:styleId="nlmarticle-title">
    <w:name w:val="nlm_article-title"/>
    <w:basedOn w:val="DefaultParagraphFont"/>
    <w:rsid w:val="00B96EA7"/>
  </w:style>
  <w:style w:type="character" w:customStyle="1" w:styleId="nlmyear">
    <w:name w:val="nlm_year"/>
    <w:basedOn w:val="DefaultParagraphFont"/>
    <w:rsid w:val="00B96EA7"/>
  </w:style>
  <w:style w:type="character" w:customStyle="1" w:styleId="nlmfpage">
    <w:name w:val="nlm_fpage"/>
    <w:basedOn w:val="DefaultParagraphFont"/>
    <w:rsid w:val="00B96EA7"/>
  </w:style>
  <w:style w:type="character" w:customStyle="1" w:styleId="nlmlpage">
    <w:name w:val="nlm_lpage"/>
    <w:basedOn w:val="DefaultParagraphFont"/>
    <w:rsid w:val="00B96EA7"/>
  </w:style>
  <w:style w:type="character" w:customStyle="1" w:styleId="ref-links">
    <w:name w:val="ref-links"/>
    <w:basedOn w:val="DefaultParagraphFont"/>
    <w:rsid w:val="00B96EA7"/>
  </w:style>
  <w:style w:type="character" w:customStyle="1" w:styleId="googlescholar-container">
    <w:name w:val="googlescholar-container"/>
    <w:basedOn w:val="DefaultParagraphFont"/>
    <w:rsid w:val="00B96EA7"/>
  </w:style>
  <w:style w:type="paragraph" w:customStyle="1" w:styleId="p1">
    <w:name w:val="p1"/>
    <w:basedOn w:val="Normal"/>
    <w:rsid w:val="00FA4ECC"/>
    <w:rPr>
      <w:rFonts w:ascii="Helvetica Neue" w:hAnsi="Helvetica Neue"/>
      <w:color w:val="454545"/>
      <w:sz w:val="18"/>
      <w:szCs w:val="18"/>
    </w:rPr>
  </w:style>
  <w:style w:type="paragraph" w:customStyle="1" w:styleId="p2">
    <w:name w:val="p2"/>
    <w:basedOn w:val="Normal"/>
    <w:rsid w:val="00FA4ECC"/>
    <w:rPr>
      <w:rFonts w:ascii="Helvetica Neue" w:hAnsi="Helvetica Neue"/>
      <w:color w:val="454545"/>
      <w:sz w:val="18"/>
      <w:szCs w:val="18"/>
    </w:rPr>
  </w:style>
  <w:style w:type="character" w:customStyle="1" w:styleId="apple-converted-space">
    <w:name w:val="apple-converted-space"/>
    <w:basedOn w:val="DefaultParagraphFont"/>
    <w:rsid w:val="00FA4ECC"/>
  </w:style>
  <w:style w:type="character" w:customStyle="1" w:styleId="highlight">
    <w:name w:val="highlight"/>
    <w:basedOn w:val="DefaultParagraphFont"/>
    <w:rsid w:val="00860A6B"/>
  </w:style>
  <w:style w:type="table" w:styleId="TableGrid">
    <w:name w:val="Table Grid"/>
    <w:basedOn w:val="TableNormal"/>
    <w:uiPriority w:val="39"/>
    <w:rsid w:val="001061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B13F0"/>
    <w:pPr>
      <w:tabs>
        <w:tab w:val="center" w:pos="4680"/>
        <w:tab w:val="right" w:pos="9360"/>
      </w:tabs>
    </w:pPr>
  </w:style>
  <w:style w:type="character" w:customStyle="1" w:styleId="HeaderChar">
    <w:name w:val="Header Char"/>
    <w:basedOn w:val="DefaultParagraphFont"/>
    <w:link w:val="Header"/>
    <w:uiPriority w:val="99"/>
    <w:rsid w:val="002B13F0"/>
  </w:style>
  <w:style w:type="paragraph" w:styleId="Footer">
    <w:name w:val="footer"/>
    <w:basedOn w:val="Normal"/>
    <w:link w:val="FooterChar"/>
    <w:uiPriority w:val="99"/>
    <w:unhideWhenUsed/>
    <w:rsid w:val="002B13F0"/>
    <w:pPr>
      <w:tabs>
        <w:tab w:val="center" w:pos="4680"/>
        <w:tab w:val="right" w:pos="9360"/>
      </w:tabs>
    </w:pPr>
  </w:style>
  <w:style w:type="character" w:customStyle="1" w:styleId="FooterChar">
    <w:name w:val="Footer Char"/>
    <w:basedOn w:val="DefaultParagraphFont"/>
    <w:link w:val="Footer"/>
    <w:uiPriority w:val="99"/>
    <w:rsid w:val="002B13F0"/>
  </w:style>
  <w:style w:type="character" w:customStyle="1" w:styleId="NoSpacingChar">
    <w:name w:val="No Spacing Char"/>
    <w:basedOn w:val="DefaultParagraphFont"/>
    <w:link w:val="NoSpacing"/>
    <w:uiPriority w:val="1"/>
    <w:rsid w:val="006A408D"/>
    <w:rPr>
      <w:rFonts w:ascii="Times" w:hAnsi="Times" w:cs="Times New Roman"/>
    </w:rPr>
  </w:style>
  <w:style w:type="paragraph" w:styleId="TOCHeading">
    <w:name w:val="TOC Heading"/>
    <w:basedOn w:val="Heading1"/>
    <w:next w:val="Normal"/>
    <w:uiPriority w:val="39"/>
    <w:unhideWhenUsed/>
    <w:qFormat/>
    <w:rsid w:val="009A74A1"/>
    <w:pPr>
      <w:spacing w:line="276" w:lineRule="auto"/>
      <w:outlineLvl w:val="9"/>
    </w:pPr>
    <w:rPr>
      <w:b w:val="0"/>
      <w:bCs w:val="0"/>
      <w:sz w:val="28"/>
      <w:szCs w:val="28"/>
    </w:rPr>
  </w:style>
  <w:style w:type="paragraph" w:styleId="TOC1">
    <w:name w:val="toc 1"/>
    <w:basedOn w:val="Normal"/>
    <w:next w:val="Normal"/>
    <w:autoRedefine/>
    <w:uiPriority w:val="39"/>
    <w:unhideWhenUsed/>
    <w:rsid w:val="00447E68"/>
    <w:pPr>
      <w:spacing w:before="180" w:after="120"/>
    </w:pPr>
    <w:rPr>
      <w:rFonts w:ascii="Calibri" w:hAnsi="Calibri"/>
      <w:bCs/>
      <w:color w:val="548DD4"/>
    </w:rPr>
  </w:style>
  <w:style w:type="paragraph" w:styleId="TOC2">
    <w:name w:val="toc 2"/>
    <w:basedOn w:val="Normal"/>
    <w:next w:val="Normal"/>
    <w:autoRedefine/>
    <w:uiPriority w:val="39"/>
    <w:unhideWhenUsed/>
    <w:rsid w:val="00447E68"/>
    <w:pPr>
      <w:spacing w:before="60" w:after="60"/>
    </w:pPr>
    <w:rPr>
      <w:rFonts w:ascii="Calibri" w:hAnsi="Calibri"/>
      <w:color w:val="000000" w:themeColor="text1"/>
      <w:sz w:val="22"/>
      <w:szCs w:val="22"/>
    </w:rPr>
  </w:style>
  <w:style w:type="paragraph" w:styleId="TOC3">
    <w:name w:val="toc 3"/>
    <w:basedOn w:val="Normal"/>
    <w:next w:val="Normal"/>
    <w:autoRedefine/>
    <w:uiPriority w:val="39"/>
    <w:unhideWhenUsed/>
    <w:rsid w:val="00447E68"/>
    <w:pPr>
      <w:spacing w:before="20" w:after="20"/>
      <w:ind w:left="284"/>
    </w:pPr>
    <w:rPr>
      <w:rFonts w:ascii="Calibri" w:hAnsi="Calibri"/>
      <w:i/>
      <w:iCs/>
      <w:sz w:val="21"/>
      <w:szCs w:val="22"/>
    </w:rPr>
  </w:style>
  <w:style w:type="paragraph" w:styleId="TOC4">
    <w:name w:val="toc 4"/>
    <w:basedOn w:val="Normal"/>
    <w:next w:val="Normal"/>
    <w:autoRedefine/>
    <w:uiPriority w:val="39"/>
    <w:unhideWhenUsed/>
    <w:rsid w:val="009A74A1"/>
    <w:pPr>
      <w:pBdr>
        <w:between w:val="double" w:sz="6" w:space="0" w:color="auto"/>
      </w:pBdr>
      <w:ind w:left="480"/>
    </w:pPr>
    <w:rPr>
      <w:sz w:val="20"/>
      <w:szCs w:val="20"/>
    </w:rPr>
  </w:style>
  <w:style w:type="paragraph" w:styleId="TOC5">
    <w:name w:val="toc 5"/>
    <w:basedOn w:val="Normal"/>
    <w:next w:val="Normal"/>
    <w:autoRedefine/>
    <w:uiPriority w:val="39"/>
    <w:unhideWhenUsed/>
    <w:rsid w:val="009A74A1"/>
    <w:pPr>
      <w:pBdr>
        <w:between w:val="double" w:sz="6" w:space="0" w:color="auto"/>
      </w:pBdr>
      <w:ind w:left="720"/>
    </w:pPr>
    <w:rPr>
      <w:sz w:val="20"/>
      <w:szCs w:val="20"/>
    </w:rPr>
  </w:style>
  <w:style w:type="paragraph" w:styleId="TOC6">
    <w:name w:val="toc 6"/>
    <w:basedOn w:val="Normal"/>
    <w:next w:val="Normal"/>
    <w:autoRedefine/>
    <w:uiPriority w:val="39"/>
    <w:unhideWhenUsed/>
    <w:rsid w:val="009A74A1"/>
    <w:pPr>
      <w:pBdr>
        <w:between w:val="double" w:sz="6" w:space="0" w:color="auto"/>
      </w:pBdr>
      <w:ind w:left="960"/>
    </w:pPr>
    <w:rPr>
      <w:sz w:val="20"/>
      <w:szCs w:val="20"/>
    </w:rPr>
  </w:style>
  <w:style w:type="paragraph" w:styleId="TOC7">
    <w:name w:val="toc 7"/>
    <w:basedOn w:val="Normal"/>
    <w:next w:val="Normal"/>
    <w:autoRedefine/>
    <w:uiPriority w:val="39"/>
    <w:unhideWhenUsed/>
    <w:rsid w:val="009A74A1"/>
    <w:pPr>
      <w:pBdr>
        <w:between w:val="double" w:sz="6" w:space="0" w:color="auto"/>
      </w:pBdr>
      <w:ind w:left="1200"/>
    </w:pPr>
    <w:rPr>
      <w:sz w:val="20"/>
      <w:szCs w:val="20"/>
    </w:rPr>
  </w:style>
  <w:style w:type="paragraph" w:styleId="TOC8">
    <w:name w:val="toc 8"/>
    <w:basedOn w:val="Normal"/>
    <w:next w:val="Normal"/>
    <w:autoRedefine/>
    <w:uiPriority w:val="39"/>
    <w:unhideWhenUsed/>
    <w:rsid w:val="009A74A1"/>
    <w:pPr>
      <w:pBdr>
        <w:between w:val="double" w:sz="6" w:space="0" w:color="auto"/>
      </w:pBdr>
      <w:ind w:left="1440"/>
    </w:pPr>
    <w:rPr>
      <w:sz w:val="20"/>
      <w:szCs w:val="20"/>
    </w:rPr>
  </w:style>
  <w:style w:type="paragraph" w:styleId="TOC9">
    <w:name w:val="toc 9"/>
    <w:basedOn w:val="Normal"/>
    <w:next w:val="Normal"/>
    <w:autoRedefine/>
    <w:uiPriority w:val="39"/>
    <w:unhideWhenUsed/>
    <w:rsid w:val="009A74A1"/>
    <w:pPr>
      <w:pBdr>
        <w:between w:val="double" w:sz="6" w:space="0" w:color="auto"/>
      </w:pBdr>
      <w:ind w:left="1680"/>
    </w:pPr>
    <w:rPr>
      <w:sz w:val="20"/>
      <w:szCs w:val="20"/>
    </w:rPr>
  </w:style>
  <w:style w:type="paragraph" w:styleId="Title">
    <w:name w:val="Title"/>
    <w:basedOn w:val="NoSpacing"/>
    <w:next w:val="Normal"/>
    <w:link w:val="TitleChar"/>
    <w:uiPriority w:val="10"/>
    <w:qFormat/>
    <w:rsid w:val="006A408D"/>
    <w:pPr>
      <w:framePr w:hSpace="187" w:wrap="around" w:hAnchor="margin" w:xAlign="center" w:y="2881"/>
    </w:pPr>
    <w:rPr>
      <w:sz w:val="52"/>
    </w:rPr>
  </w:style>
  <w:style w:type="character" w:customStyle="1" w:styleId="TitleChar">
    <w:name w:val="Title Char"/>
    <w:basedOn w:val="DefaultParagraphFont"/>
    <w:link w:val="Title"/>
    <w:uiPriority w:val="10"/>
    <w:rsid w:val="006A408D"/>
    <w:rPr>
      <w:rFonts w:ascii="Times New Roman" w:hAnsi="Times New Roman" w:cs="Times New Roman"/>
      <w:sz w:val="52"/>
    </w:rPr>
  </w:style>
  <w:style w:type="character" w:customStyle="1" w:styleId="apple-tab-span">
    <w:name w:val="apple-tab-span"/>
    <w:basedOn w:val="DefaultParagraphFont"/>
    <w:rsid w:val="00FD450B"/>
  </w:style>
  <w:style w:type="character" w:customStyle="1" w:styleId="Heading5Char">
    <w:name w:val="Heading 5 Char"/>
    <w:basedOn w:val="DefaultParagraphFont"/>
    <w:link w:val="Heading5"/>
    <w:uiPriority w:val="9"/>
    <w:rsid w:val="006A408D"/>
    <w:rPr>
      <w:rFonts w:ascii="Times" w:hAnsi="Times" w:cs="Times New Roman"/>
      <w:noProof/>
    </w:rPr>
  </w:style>
  <w:style w:type="character" w:styleId="PageNumber">
    <w:name w:val="page number"/>
    <w:basedOn w:val="DefaultParagraphFont"/>
    <w:uiPriority w:val="99"/>
    <w:semiHidden/>
    <w:unhideWhenUsed/>
    <w:rsid w:val="00602E3C"/>
  </w:style>
  <w:style w:type="paragraph" w:styleId="Revision">
    <w:name w:val="Revision"/>
    <w:hidden/>
    <w:uiPriority w:val="99"/>
    <w:semiHidden/>
    <w:rsid w:val="00485D6B"/>
    <w:rPr>
      <w:rFonts w:ascii="Times" w:hAnsi="Times" w:cs="Times New Roman"/>
    </w:rPr>
  </w:style>
  <w:style w:type="paragraph" w:customStyle="1" w:styleId="EndNoteBibliographyTitle">
    <w:name w:val="EndNote Bibliography Title"/>
    <w:basedOn w:val="Normal"/>
    <w:rsid w:val="0095533C"/>
    <w:pPr>
      <w:jc w:val="center"/>
    </w:pPr>
    <w:rPr>
      <w:rFonts w:ascii="Calibri" w:hAnsi="Calibri"/>
      <w:sz w:val="22"/>
    </w:rPr>
  </w:style>
  <w:style w:type="paragraph" w:customStyle="1" w:styleId="EndNoteBibliography">
    <w:name w:val="EndNote Bibliography"/>
    <w:basedOn w:val="Normal"/>
    <w:rsid w:val="0095533C"/>
    <w:rPr>
      <w:rFonts w:ascii="Calibri" w:hAnsi="Calibri"/>
      <w:sz w:val="22"/>
    </w:rPr>
  </w:style>
  <w:style w:type="paragraph" w:styleId="PlainText">
    <w:name w:val="Plain Text"/>
    <w:basedOn w:val="Normal"/>
    <w:link w:val="PlainTextChar"/>
    <w:uiPriority w:val="99"/>
    <w:unhideWhenUsed/>
    <w:rsid w:val="0038231A"/>
    <w:rPr>
      <w:rFonts w:ascii="Calibri" w:eastAsiaTheme="minorEastAsia" w:hAnsi="Calibri" w:cs="Consolas"/>
      <w:sz w:val="22"/>
      <w:szCs w:val="21"/>
      <w:lang w:val="en-GB" w:eastAsia="zh-CN"/>
    </w:rPr>
  </w:style>
  <w:style w:type="character" w:customStyle="1" w:styleId="PlainTextChar">
    <w:name w:val="Plain Text Char"/>
    <w:basedOn w:val="DefaultParagraphFont"/>
    <w:link w:val="PlainText"/>
    <w:uiPriority w:val="99"/>
    <w:rsid w:val="0038231A"/>
    <w:rPr>
      <w:rFonts w:ascii="Calibri" w:eastAsiaTheme="minorEastAsia" w:hAnsi="Calibri" w:cs="Consolas"/>
      <w:sz w:val="22"/>
      <w:szCs w:val="21"/>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7373">
      <w:bodyDiv w:val="1"/>
      <w:marLeft w:val="0"/>
      <w:marRight w:val="0"/>
      <w:marTop w:val="0"/>
      <w:marBottom w:val="0"/>
      <w:divBdr>
        <w:top w:val="none" w:sz="0" w:space="0" w:color="auto"/>
        <w:left w:val="none" w:sz="0" w:space="0" w:color="auto"/>
        <w:bottom w:val="none" w:sz="0" w:space="0" w:color="auto"/>
        <w:right w:val="none" w:sz="0" w:space="0" w:color="auto"/>
      </w:divBdr>
    </w:div>
    <w:div w:id="19085213">
      <w:bodyDiv w:val="1"/>
      <w:marLeft w:val="0"/>
      <w:marRight w:val="0"/>
      <w:marTop w:val="0"/>
      <w:marBottom w:val="0"/>
      <w:divBdr>
        <w:top w:val="none" w:sz="0" w:space="0" w:color="auto"/>
        <w:left w:val="none" w:sz="0" w:space="0" w:color="auto"/>
        <w:bottom w:val="none" w:sz="0" w:space="0" w:color="auto"/>
        <w:right w:val="none" w:sz="0" w:space="0" w:color="auto"/>
      </w:divBdr>
    </w:div>
    <w:div w:id="29570822">
      <w:bodyDiv w:val="1"/>
      <w:marLeft w:val="0"/>
      <w:marRight w:val="0"/>
      <w:marTop w:val="0"/>
      <w:marBottom w:val="0"/>
      <w:divBdr>
        <w:top w:val="none" w:sz="0" w:space="0" w:color="auto"/>
        <w:left w:val="none" w:sz="0" w:space="0" w:color="auto"/>
        <w:bottom w:val="none" w:sz="0" w:space="0" w:color="auto"/>
        <w:right w:val="none" w:sz="0" w:space="0" w:color="auto"/>
      </w:divBdr>
    </w:div>
    <w:div w:id="32120198">
      <w:bodyDiv w:val="1"/>
      <w:marLeft w:val="0"/>
      <w:marRight w:val="0"/>
      <w:marTop w:val="0"/>
      <w:marBottom w:val="0"/>
      <w:divBdr>
        <w:top w:val="none" w:sz="0" w:space="0" w:color="auto"/>
        <w:left w:val="none" w:sz="0" w:space="0" w:color="auto"/>
        <w:bottom w:val="none" w:sz="0" w:space="0" w:color="auto"/>
        <w:right w:val="none" w:sz="0" w:space="0" w:color="auto"/>
      </w:divBdr>
    </w:div>
    <w:div w:id="39861879">
      <w:bodyDiv w:val="1"/>
      <w:marLeft w:val="0"/>
      <w:marRight w:val="0"/>
      <w:marTop w:val="0"/>
      <w:marBottom w:val="0"/>
      <w:divBdr>
        <w:top w:val="none" w:sz="0" w:space="0" w:color="auto"/>
        <w:left w:val="none" w:sz="0" w:space="0" w:color="auto"/>
        <w:bottom w:val="none" w:sz="0" w:space="0" w:color="auto"/>
        <w:right w:val="none" w:sz="0" w:space="0" w:color="auto"/>
      </w:divBdr>
    </w:div>
    <w:div w:id="46030062">
      <w:bodyDiv w:val="1"/>
      <w:marLeft w:val="0"/>
      <w:marRight w:val="0"/>
      <w:marTop w:val="0"/>
      <w:marBottom w:val="0"/>
      <w:divBdr>
        <w:top w:val="none" w:sz="0" w:space="0" w:color="auto"/>
        <w:left w:val="none" w:sz="0" w:space="0" w:color="auto"/>
        <w:bottom w:val="none" w:sz="0" w:space="0" w:color="auto"/>
        <w:right w:val="none" w:sz="0" w:space="0" w:color="auto"/>
      </w:divBdr>
    </w:div>
    <w:div w:id="64425951">
      <w:bodyDiv w:val="1"/>
      <w:marLeft w:val="0"/>
      <w:marRight w:val="0"/>
      <w:marTop w:val="0"/>
      <w:marBottom w:val="0"/>
      <w:divBdr>
        <w:top w:val="none" w:sz="0" w:space="0" w:color="auto"/>
        <w:left w:val="none" w:sz="0" w:space="0" w:color="auto"/>
        <w:bottom w:val="none" w:sz="0" w:space="0" w:color="auto"/>
        <w:right w:val="none" w:sz="0" w:space="0" w:color="auto"/>
      </w:divBdr>
    </w:div>
    <w:div w:id="71396321">
      <w:bodyDiv w:val="1"/>
      <w:marLeft w:val="0"/>
      <w:marRight w:val="0"/>
      <w:marTop w:val="0"/>
      <w:marBottom w:val="0"/>
      <w:divBdr>
        <w:top w:val="none" w:sz="0" w:space="0" w:color="auto"/>
        <w:left w:val="none" w:sz="0" w:space="0" w:color="auto"/>
        <w:bottom w:val="none" w:sz="0" w:space="0" w:color="auto"/>
        <w:right w:val="none" w:sz="0" w:space="0" w:color="auto"/>
      </w:divBdr>
    </w:div>
    <w:div w:id="102506279">
      <w:bodyDiv w:val="1"/>
      <w:marLeft w:val="0"/>
      <w:marRight w:val="0"/>
      <w:marTop w:val="0"/>
      <w:marBottom w:val="0"/>
      <w:divBdr>
        <w:top w:val="none" w:sz="0" w:space="0" w:color="auto"/>
        <w:left w:val="none" w:sz="0" w:space="0" w:color="auto"/>
        <w:bottom w:val="none" w:sz="0" w:space="0" w:color="auto"/>
        <w:right w:val="none" w:sz="0" w:space="0" w:color="auto"/>
      </w:divBdr>
    </w:div>
    <w:div w:id="134950811">
      <w:bodyDiv w:val="1"/>
      <w:marLeft w:val="0"/>
      <w:marRight w:val="0"/>
      <w:marTop w:val="0"/>
      <w:marBottom w:val="0"/>
      <w:divBdr>
        <w:top w:val="none" w:sz="0" w:space="0" w:color="auto"/>
        <w:left w:val="none" w:sz="0" w:space="0" w:color="auto"/>
        <w:bottom w:val="none" w:sz="0" w:space="0" w:color="auto"/>
        <w:right w:val="none" w:sz="0" w:space="0" w:color="auto"/>
      </w:divBdr>
    </w:div>
    <w:div w:id="135415261">
      <w:bodyDiv w:val="1"/>
      <w:marLeft w:val="0"/>
      <w:marRight w:val="0"/>
      <w:marTop w:val="0"/>
      <w:marBottom w:val="0"/>
      <w:divBdr>
        <w:top w:val="none" w:sz="0" w:space="0" w:color="auto"/>
        <w:left w:val="none" w:sz="0" w:space="0" w:color="auto"/>
        <w:bottom w:val="none" w:sz="0" w:space="0" w:color="auto"/>
        <w:right w:val="none" w:sz="0" w:space="0" w:color="auto"/>
      </w:divBdr>
    </w:div>
    <w:div w:id="175123734">
      <w:bodyDiv w:val="1"/>
      <w:marLeft w:val="0"/>
      <w:marRight w:val="0"/>
      <w:marTop w:val="0"/>
      <w:marBottom w:val="0"/>
      <w:divBdr>
        <w:top w:val="none" w:sz="0" w:space="0" w:color="auto"/>
        <w:left w:val="none" w:sz="0" w:space="0" w:color="auto"/>
        <w:bottom w:val="none" w:sz="0" w:space="0" w:color="auto"/>
        <w:right w:val="none" w:sz="0" w:space="0" w:color="auto"/>
      </w:divBdr>
    </w:div>
    <w:div w:id="192307300">
      <w:bodyDiv w:val="1"/>
      <w:marLeft w:val="0"/>
      <w:marRight w:val="0"/>
      <w:marTop w:val="0"/>
      <w:marBottom w:val="0"/>
      <w:divBdr>
        <w:top w:val="none" w:sz="0" w:space="0" w:color="auto"/>
        <w:left w:val="none" w:sz="0" w:space="0" w:color="auto"/>
        <w:bottom w:val="none" w:sz="0" w:space="0" w:color="auto"/>
        <w:right w:val="none" w:sz="0" w:space="0" w:color="auto"/>
      </w:divBdr>
    </w:div>
    <w:div w:id="205409028">
      <w:bodyDiv w:val="1"/>
      <w:marLeft w:val="0"/>
      <w:marRight w:val="0"/>
      <w:marTop w:val="0"/>
      <w:marBottom w:val="0"/>
      <w:divBdr>
        <w:top w:val="none" w:sz="0" w:space="0" w:color="auto"/>
        <w:left w:val="none" w:sz="0" w:space="0" w:color="auto"/>
        <w:bottom w:val="none" w:sz="0" w:space="0" w:color="auto"/>
        <w:right w:val="none" w:sz="0" w:space="0" w:color="auto"/>
      </w:divBdr>
    </w:div>
    <w:div w:id="213272183">
      <w:bodyDiv w:val="1"/>
      <w:marLeft w:val="0"/>
      <w:marRight w:val="0"/>
      <w:marTop w:val="0"/>
      <w:marBottom w:val="0"/>
      <w:divBdr>
        <w:top w:val="none" w:sz="0" w:space="0" w:color="auto"/>
        <w:left w:val="none" w:sz="0" w:space="0" w:color="auto"/>
        <w:bottom w:val="none" w:sz="0" w:space="0" w:color="auto"/>
        <w:right w:val="none" w:sz="0" w:space="0" w:color="auto"/>
      </w:divBdr>
    </w:div>
    <w:div w:id="221065206">
      <w:bodyDiv w:val="1"/>
      <w:marLeft w:val="0"/>
      <w:marRight w:val="0"/>
      <w:marTop w:val="0"/>
      <w:marBottom w:val="0"/>
      <w:divBdr>
        <w:top w:val="none" w:sz="0" w:space="0" w:color="auto"/>
        <w:left w:val="none" w:sz="0" w:space="0" w:color="auto"/>
        <w:bottom w:val="none" w:sz="0" w:space="0" w:color="auto"/>
        <w:right w:val="none" w:sz="0" w:space="0" w:color="auto"/>
      </w:divBdr>
    </w:div>
    <w:div w:id="226380216">
      <w:bodyDiv w:val="1"/>
      <w:marLeft w:val="0"/>
      <w:marRight w:val="0"/>
      <w:marTop w:val="0"/>
      <w:marBottom w:val="0"/>
      <w:divBdr>
        <w:top w:val="none" w:sz="0" w:space="0" w:color="auto"/>
        <w:left w:val="none" w:sz="0" w:space="0" w:color="auto"/>
        <w:bottom w:val="none" w:sz="0" w:space="0" w:color="auto"/>
        <w:right w:val="none" w:sz="0" w:space="0" w:color="auto"/>
      </w:divBdr>
    </w:div>
    <w:div w:id="227690469">
      <w:bodyDiv w:val="1"/>
      <w:marLeft w:val="0"/>
      <w:marRight w:val="0"/>
      <w:marTop w:val="0"/>
      <w:marBottom w:val="0"/>
      <w:divBdr>
        <w:top w:val="none" w:sz="0" w:space="0" w:color="auto"/>
        <w:left w:val="none" w:sz="0" w:space="0" w:color="auto"/>
        <w:bottom w:val="none" w:sz="0" w:space="0" w:color="auto"/>
        <w:right w:val="none" w:sz="0" w:space="0" w:color="auto"/>
      </w:divBdr>
    </w:div>
    <w:div w:id="229510895">
      <w:bodyDiv w:val="1"/>
      <w:marLeft w:val="0"/>
      <w:marRight w:val="0"/>
      <w:marTop w:val="0"/>
      <w:marBottom w:val="0"/>
      <w:divBdr>
        <w:top w:val="none" w:sz="0" w:space="0" w:color="auto"/>
        <w:left w:val="none" w:sz="0" w:space="0" w:color="auto"/>
        <w:bottom w:val="none" w:sz="0" w:space="0" w:color="auto"/>
        <w:right w:val="none" w:sz="0" w:space="0" w:color="auto"/>
      </w:divBdr>
    </w:div>
    <w:div w:id="238752664">
      <w:bodyDiv w:val="1"/>
      <w:marLeft w:val="0"/>
      <w:marRight w:val="0"/>
      <w:marTop w:val="0"/>
      <w:marBottom w:val="0"/>
      <w:divBdr>
        <w:top w:val="none" w:sz="0" w:space="0" w:color="auto"/>
        <w:left w:val="none" w:sz="0" w:space="0" w:color="auto"/>
        <w:bottom w:val="none" w:sz="0" w:space="0" w:color="auto"/>
        <w:right w:val="none" w:sz="0" w:space="0" w:color="auto"/>
      </w:divBdr>
    </w:div>
    <w:div w:id="249393897">
      <w:bodyDiv w:val="1"/>
      <w:marLeft w:val="0"/>
      <w:marRight w:val="0"/>
      <w:marTop w:val="0"/>
      <w:marBottom w:val="0"/>
      <w:divBdr>
        <w:top w:val="none" w:sz="0" w:space="0" w:color="auto"/>
        <w:left w:val="none" w:sz="0" w:space="0" w:color="auto"/>
        <w:bottom w:val="none" w:sz="0" w:space="0" w:color="auto"/>
        <w:right w:val="none" w:sz="0" w:space="0" w:color="auto"/>
      </w:divBdr>
    </w:div>
    <w:div w:id="264776908">
      <w:bodyDiv w:val="1"/>
      <w:marLeft w:val="0"/>
      <w:marRight w:val="0"/>
      <w:marTop w:val="0"/>
      <w:marBottom w:val="0"/>
      <w:divBdr>
        <w:top w:val="none" w:sz="0" w:space="0" w:color="auto"/>
        <w:left w:val="none" w:sz="0" w:space="0" w:color="auto"/>
        <w:bottom w:val="none" w:sz="0" w:space="0" w:color="auto"/>
        <w:right w:val="none" w:sz="0" w:space="0" w:color="auto"/>
      </w:divBdr>
    </w:div>
    <w:div w:id="269748007">
      <w:bodyDiv w:val="1"/>
      <w:marLeft w:val="0"/>
      <w:marRight w:val="0"/>
      <w:marTop w:val="0"/>
      <w:marBottom w:val="0"/>
      <w:divBdr>
        <w:top w:val="none" w:sz="0" w:space="0" w:color="auto"/>
        <w:left w:val="none" w:sz="0" w:space="0" w:color="auto"/>
        <w:bottom w:val="none" w:sz="0" w:space="0" w:color="auto"/>
        <w:right w:val="none" w:sz="0" w:space="0" w:color="auto"/>
      </w:divBdr>
    </w:div>
    <w:div w:id="279728916">
      <w:bodyDiv w:val="1"/>
      <w:marLeft w:val="0"/>
      <w:marRight w:val="0"/>
      <w:marTop w:val="0"/>
      <w:marBottom w:val="0"/>
      <w:divBdr>
        <w:top w:val="none" w:sz="0" w:space="0" w:color="auto"/>
        <w:left w:val="none" w:sz="0" w:space="0" w:color="auto"/>
        <w:bottom w:val="none" w:sz="0" w:space="0" w:color="auto"/>
        <w:right w:val="none" w:sz="0" w:space="0" w:color="auto"/>
      </w:divBdr>
    </w:div>
    <w:div w:id="282081620">
      <w:bodyDiv w:val="1"/>
      <w:marLeft w:val="0"/>
      <w:marRight w:val="0"/>
      <w:marTop w:val="0"/>
      <w:marBottom w:val="0"/>
      <w:divBdr>
        <w:top w:val="none" w:sz="0" w:space="0" w:color="auto"/>
        <w:left w:val="none" w:sz="0" w:space="0" w:color="auto"/>
        <w:bottom w:val="none" w:sz="0" w:space="0" w:color="auto"/>
        <w:right w:val="none" w:sz="0" w:space="0" w:color="auto"/>
      </w:divBdr>
    </w:div>
    <w:div w:id="295843386">
      <w:bodyDiv w:val="1"/>
      <w:marLeft w:val="0"/>
      <w:marRight w:val="0"/>
      <w:marTop w:val="0"/>
      <w:marBottom w:val="0"/>
      <w:divBdr>
        <w:top w:val="none" w:sz="0" w:space="0" w:color="auto"/>
        <w:left w:val="none" w:sz="0" w:space="0" w:color="auto"/>
        <w:bottom w:val="none" w:sz="0" w:space="0" w:color="auto"/>
        <w:right w:val="none" w:sz="0" w:space="0" w:color="auto"/>
      </w:divBdr>
    </w:div>
    <w:div w:id="340277529">
      <w:bodyDiv w:val="1"/>
      <w:marLeft w:val="0"/>
      <w:marRight w:val="0"/>
      <w:marTop w:val="0"/>
      <w:marBottom w:val="0"/>
      <w:divBdr>
        <w:top w:val="none" w:sz="0" w:space="0" w:color="auto"/>
        <w:left w:val="none" w:sz="0" w:space="0" w:color="auto"/>
        <w:bottom w:val="none" w:sz="0" w:space="0" w:color="auto"/>
        <w:right w:val="none" w:sz="0" w:space="0" w:color="auto"/>
      </w:divBdr>
    </w:div>
    <w:div w:id="346056547">
      <w:bodyDiv w:val="1"/>
      <w:marLeft w:val="0"/>
      <w:marRight w:val="0"/>
      <w:marTop w:val="0"/>
      <w:marBottom w:val="0"/>
      <w:divBdr>
        <w:top w:val="none" w:sz="0" w:space="0" w:color="auto"/>
        <w:left w:val="none" w:sz="0" w:space="0" w:color="auto"/>
        <w:bottom w:val="none" w:sz="0" w:space="0" w:color="auto"/>
        <w:right w:val="none" w:sz="0" w:space="0" w:color="auto"/>
      </w:divBdr>
    </w:div>
    <w:div w:id="390925850">
      <w:bodyDiv w:val="1"/>
      <w:marLeft w:val="0"/>
      <w:marRight w:val="0"/>
      <w:marTop w:val="0"/>
      <w:marBottom w:val="0"/>
      <w:divBdr>
        <w:top w:val="none" w:sz="0" w:space="0" w:color="auto"/>
        <w:left w:val="none" w:sz="0" w:space="0" w:color="auto"/>
        <w:bottom w:val="none" w:sz="0" w:space="0" w:color="auto"/>
        <w:right w:val="none" w:sz="0" w:space="0" w:color="auto"/>
      </w:divBdr>
    </w:div>
    <w:div w:id="417018205">
      <w:bodyDiv w:val="1"/>
      <w:marLeft w:val="0"/>
      <w:marRight w:val="0"/>
      <w:marTop w:val="0"/>
      <w:marBottom w:val="0"/>
      <w:divBdr>
        <w:top w:val="none" w:sz="0" w:space="0" w:color="auto"/>
        <w:left w:val="none" w:sz="0" w:space="0" w:color="auto"/>
        <w:bottom w:val="none" w:sz="0" w:space="0" w:color="auto"/>
        <w:right w:val="none" w:sz="0" w:space="0" w:color="auto"/>
      </w:divBdr>
    </w:div>
    <w:div w:id="418522774">
      <w:bodyDiv w:val="1"/>
      <w:marLeft w:val="0"/>
      <w:marRight w:val="0"/>
      <w:marTop w:val="0"/>
      <w:marBottom w:val="0"/>
      <w:divBdr>
        <w:top w:val="none" w:sz="0" w:space="0" w:color="auto"/>
        <w:left w:val="none" w:sz="0" w:space="0" w:color="auto"/>
        <w:bottom w:val="none" w:sz="0" w:space="0" w:color="auto"/>
        <w:right w:val="none" w:sz="0" w:space="0" w:color="auto"/>
      </w:divBdr>
    </w:div>
    <w:div w:id="438574881">
      <w:bodyDiv w:val="1"/>
      <w:marLeft w:val="0"/>
      <w:marRight w:val="0"/>
      <w:marTop w:val="0"/>
      <w:marBottom w:val="0"/>
      <w:divBdr>
        <w:top w:val="none" w:sz="0" w:space="0" w:color="auto"/>
        <w:left w:val="none" w:sz="0" w:space="0" w:color="auto"/>
        <w:bottom w:val="none" w:sz="0" w:space="0" w:color="auto"/>
        <w:right w:val="none" w:sz="0" w:space="0" w:color="auto"/>
      </w:divBdr>
    </w:div>
    <w:div w:id="463276228">
      <w:bodyDiv w:val="1"/>
      <w:marLeft w:val="0"/>
      <w:marRight w:val="0"/>
      <w:marTop w:val="0"/>
      <w:marBottom w:val="0"/>
      <w:divBdr>
        <w:top w:val="none" w:sz="0" w:space="0" w:color="auto"/>
        <w:left w:val="none" w:sz="0" w:space="0" w:color="auto"/>
        <w:bottom w:val="none" w:sz="0" w:space="0" w:color="auto"/>
        <w:right w:val="none" w:sz="0" w:space="0" w:color="auto"/>
      </w:divBdr>
    </w:div>
    <w:div w:id="481579789">
      <w:bodyDiv w:val="1"/>
      <w:marLeft w:val="0"/>
      <w:marRight w:val="0"/>
      <w:marTop w:val="0"/>
      <w:marBottom w:val="0"/>
      <w:divBdr>
        <w:top w:val="none" w:sz="0" w:space="0" w:color="auto"/>
        <w:left w:val="none" w:sz="0" w:space="0" w:color="auto"/>
        <w:bottom w:val="none" w:sz="0" w:space="0" w:color="auto"/>
        <w:right w:val="none" w:sz="0" w:space="0" w:color="auto"/>
      </w:divBdr>
    </w:div>
    <w:div w:id="484123386">
      <w:bodyDiv w:val="1"/>
      <w:marLeft w:val="0"/>
      <w:marRight w:val="0"/>
      <w:marTop w:val="0"/>
      <w:marBottom w:val="0"/>
      <w:divBdr>
        <w:top w:val="none" w:sz="0" w:space="0" w:color="auto"/>
        <w:left w:val="none" w:sz="0" w:space="0" w:color="auto"/>
        <w:bottom w:val="none" w:sz="0" w:space="0" w:color="auto"/>
        <w:right w:val="none" w:sz="0" w:space="0" w:color="auto"/>
      </w:divBdr>
    </w:div>
    <w:div w:id="508446687">
      <w:bodyDiv w:val="1"/>
      <w:marLeft w:val="0"/>
      <w:marRight w:val="0"/>
      <w:marTop w:val="0"/>
      <w:marBottom w:val="0"/>
      <w:divBdr>
        <w:top w:val="none" w:sz="0" w:space="0" w:color="auto"/>
        <w:left w:val="none" w:sz="0" w:space="0" w:color="auto"/>
        <w:bottom w:val="none" w:sz="0" w:space="0" w:color="auto"/>
        <w:right w:val="none" w:sz="0" w:space="0" w:color="auto"/>
      </w:divBdr>
    </w:div>
    <w:div w:id="526795236">
      <w:bodyDiv w:val="1"/>
      <w:marLeft w:val="0"/>
      <w:marRight w:val="0"/>
      <w:marTop w:val="0"/>
      <w:marBottom w:val="0"/>
      <w:divBdr>
        <w:top w:val="none" w:sz="0" w:space="0" w:color="auto"/>
        <w:left w:val="none" w:sz="0" w:space="0" w:color="auto"/>
        <w:bottom w:val="none" w:sz="0" w:space="0" w:color="auto"/>
        <w:right w:val="none" w:sz="0" w:space="0" w:color="auto"/>
      </w:divBdr>
    </w:div>
    <w:div w:id="530535364">
      <w:bodyDiv w:val="1"/>
      <w:marLeft w:val="0"/>
      <w:marRight w:val="0"/>
      <w:marTop w:val="0"/>
      <w:marBottom w:val="0"/>
      <w:divBdr>
        <w:top w:val="none" w:sz="0" w:space="0" w:color="auto"/>
        <w:left w:val="none" w:sz="0" w:space="0" w:color="auto"/>
        <w:bottom w:val="none" w:sz="0" w:space="0" w:color="auto"/>
        <w:right w:val="none" w:sz="0" w:space="0" w:color="auto"/>
      </w:divBdr>
    </w:div>
    <w:div w:id="548536566">
      <w:bodyDiv w:val="1"/>
      <w:marLeft w:val="0"/>
      <w:marRight w:val="0"/>
      <w:marTop w:val="0"/>
      <w:marBottom w:val="0"/>
      <w:divBdr>
        <w:top w:val="none" w:sz="0" w:space="0" w:color="auto"/>
        <w:left w:val="none" w:sz="0" w:space="0" w:color="auto"/>
        <w:bottom w:val="none" w:sz="0" w:space="0" w:color="auto"/>
        <w:right w:val="none" w:sz="0" w:space="0" w:color="auto"/>
      </w:divBdr>
    </w:div>
    <w:div w:id="574045566">
      <w:bodyDiv w:val="1"/>
      <w:marLeft w:val="0"/>
      <w:marRight w:val="0"/>
      <w:marTop w:val="0"/>
      <w:marBottom w:val="0"/>
      <w:divBdr>
        <w:top w:val="none" w:sz="0" w:space="0" w:color="auto"/>
        <w:left w:val="none" w:sz="0" w:space="0" w:color="auto"/>
        <w:bottom w:val="none" w:sz="0" w:space="0" w:color="auto"/>
        <w:right w:val="none" w:sz="0" w:space="0" w:color="auto"/>
      </w:divBdr>
    </w:div>
    <w:div w:id="579560855">
      <w:bodyDiv w:val="1"/>
      <w:marLeft w:val="0"/>
      <w:marRight w:val="0"/>
      <w:marTop w:val="0"/>
      <w:marBottom w:val="0"/>
      <w:divBdr>
        <w:top w:val="none" w:sz="0" w:space="0" w:color="auto"/>
        <w:left w:val="none" w:sz="0" w:space="0" w:color="auto"/>
        <w:bottom w:val="none" w:sz="0" w:space="0" w:color="auto"/>
        <w:right w:val="none" w:sz="0" w:space="0" w:color="auto"/>
      </w:divBdr>
    </w:div>
    <w:div w:id="585962155">
      <w:bodyDiv w:val="1"/>
      <w:marLeft w:val="0"/>
      <w:marRight w:val="0"/>
      <w:marTop w:val="0"/>
      <w:marBottom w:val="0"/>
      <w:divBdr>
        <w:top w:val="none" w:sz="0" w:space="0" w:color="auto"/>
        <w:left w:val="none" w:sz="0" w:space="0" w:color="auto"/>
        <w:bottom w:val="none" w:sz="0" w:space="0" w:color="auto"/>
        <w:right w:val="none" w:sz="0" w:space="0" w:color="auto"/>
      </w:divBdr>
    </w:div>
    <w:div w:id="596794949">
      <w:bodyDiv w:val="1"/>
      <w:marLeft w:val="0"/>
      <w:marRight w:val="0"/>
      <w:marTop w:val="0"/>
      <w:marBottom w:val="0"/>
      <w:divBdr>
        <w:top w:val="none" w:sz="0" w:space="0" w:color="auto"/>
        <w:left w:val="none" w:sz="0" w:space="0" w:color="auto"/>
        <w:bottom w:val="none" w:sz="0" w:space="0" w:color="auto"/>
        <w:right w:val="none" w:sz="0" w:space="0" w:color="auto"/>
      </w:divBdr>
    </w:div>
    <w:div w:id="597563520">
      <w:bodyDiv w:val="1"/>
      <w:marLeft w:val="0"/>
      <w:marRight w:val="0"/>
      <w:marTop w:val="0"/>
      <w:marBottom w:val="0"/>
      <w:divBdr>
        <w:top w:val="none" w:sz="0" w:space="0" w:color="auto"/>
        <w:left w:val="none" w:sz="0" w:space="0" w:color="auto"/>
        <w:bottom w:val="none" w:sz="0" w:space="0" w:color="auto"/>
        <w:right w:val="none" w:sz="0" w:space="0" w:color="auto"/>
      </w:divBdr>
    </w:div>
    <w:div w:id="606078833">
      <w:bodyDiv w:val="1"/>
      <w:marLeft w:val="0"/>
      <w:marRight w:val="0"/>
      <w:marTop w:val="0"/>
      <w:marBottom w:val="0"/>
      <w:divBdr>
        <w:top w:val="none" w:sz="0" w:space="0" w:color="auto"/>
        <w:left w:val="none" w:sz="0" w:space="0" w:color="auto"/>
        <w:bottom w:val="none" w:sz="0" w:space="0" w:color="auto"/>
        <w:right w:val="none" w:sz="0" w:space="0" w:color="auto"/>
      </w:divBdr>
    </w:div>
    <w:div w:id="629097042">
      <w:bodyDiv w:val="1"/>
      <w:marLeft w:val="0"/>
      <w:marRight w:val="0"/>
      <w:marTop w:val="0"/>
      <w:marBottom w:val="0"/>
      <w:divBdr>
        <w:top w:val="none" w:sz="0" w:space="0" w:color="auto"/>
        <w:left w:val="none" w:sz="0" w:space="0" w:color="auto"/>
        <w:bottom w:val="none" w:sz="0" w:space="0" w:color="auto"/>
        <w:right w:val="none" w:sz="0" w:space="0" w:color="auto"/>
      </w:divBdr>
    </w:div>
    <w:div w:id="634218401">
      <w:bodyDiv w:val="1"/>
      <w:marLeft w:val="0"/>
      <w:marRight w:val="0"/>
      <w:marTop w:val="0"/>
      <w:marBottom w:val="0"/>
      <w:divBdr>
        <w:top w:val="none" w:sz="0" w:space="0" w:color="auto"/>
        <w:left w:val="none" w:sz="0" w:space="0" w:color="auto"/>
        <w:bottom w:val="none" w:sz="0" w:space="0" w:color="auto"/>
        <w:right w:val="none" w:sz="0" w:space="0" w:color="auto"/>
      </w:divBdr>
    </w:div>
    <w:div w:id="636033650">
      <w:bodyDiv w:val="1"/>
      <w:marLeft w:val="0"/>
      <w:marRight w:val="0"/>
      <w:marTop w:val="0"/>
      <w:marBottom w:val="0"/>
      <w:divBdr>
        <w:top w:val="none" w:sz="0" w:space="0" w:color="auto"/>
        <w:left w:val="none" w:sz="0" w:space="0" w:color="auto"/>
        <w:bottom w:val="none" w:sz="0" w:space="0" w:color="auto"/>
        <w:right w:val="none" w:sz="0" w:space="0" w:color="auto"/>
      </w:divBdr>
    </w:div>
    <w:div w:id="639925525">
      <w:bodyDiv w:val="1"/>
      <w:marLeft w:val="0"/>
      <w:marRight w:val="0"/>
      <w:marTop w:val="0"/>
      <w:marBottom w:val="0"/>
      <w:divBdr>
        <w:top w:val="none" w:sz="0" w:space="0" w:color="auto"/>
        <w:left w:val="none" w:sz="0" w:space="0" w:color="auto"/>
        <w:bottom w:val="none" w:sz="0" w:space="0" w:color="auto"/>
        <w:right w:val="none" w:sz="0" w:space="0" w:color="auto"/>
      </w:divBdr>
    </w:div>
    <w:div w:id="641424786">
      <w:bodyDiv w:val="1"/>
      <w:marLeft w:val="0"/>
      <w:marRight w:val="0"/>
      <w:marTop w:val="0"/>
      <w:marBottom w:val="0"/>
      <w:divBdr>
        <w:top w:val="none" w:sz="0" w:space="0" w:color="auto"/>
        <w:left w:val="none" w:sz="0" w:space="0" w:color="auto"/>
        <w:bottom w:val="none" w:sz="0" w:space="0" w:color="auto"/>
        <w:right w:val="none" w:sz="0" w:space="0" w:color="auto"/>
      </w:divBdr>
    </w:div>
    <w:div w:id="654332900">
      <w:bodyDiv w:val="1"/>
      <w:marLeft w:val="0"/>
      <w:marRight w:val="0"/>
      <w:marTop w:val="0"/>
      <w:marBottom w:val="0"/>
      <w:divBdr>
        <w:top w:val="none" w:sz="0" w:space="0" w:color="auto"/>
        <w:left w:val="none" w:sz="0" w:space="0" w:color="auto"/>
        <w:bottom w:val="none" w:sz="0" w:space="0" w:color="auto"/>
        <w:right w:val="none" w:sz="0" w:space="0" w:color="auto"/>
      </w:divBdr>
    </w:div>
    <w:div w:id="662590474">
      <w:bodyDiv w:val="1"/>
      <w:marLeft w:val="0"/>
      <w:marRight w:val="0"/>
      <w:marTop w:val="0"/>
      <w:marBottom w:val="0"/>
      <w:divBdr>
        <w:top w:val="none" w:sz="0" w:space="0" w:color="auto"/>
        <w:left w:val="none" w:sz="0" w:space="0" w:color="auto"/>
        <w:bottom w:val="none" w:sz="0" w:space="0" w:color="auto"/>
        <w:right w:val="none" w:sz="0" w:space="0" w:color="auto"/>
      </w:divBdr>
    </w:div>
    <w:div w:id="714890997">
      <w:bodyDiv w:val="1"/>
      <w:marLeft w:val="0"/>
      <w:marRight w:val="0"/>
      <w:marTop w:val="0"/>
      <w:marBottom w:val="0"/>
      <w:divBdr>
        <w:top w:val="none" w:sz="0" w:space="0" w:color="auto"/>
        <w:left w:val="none" w:sz="0" w:space="0" w:color="auto"/>
        <w:bottom w:val="none" w:sz="0" w:space="0" w:color="auto"/>
        <w:right w:val="none" w:sz="0" w:space="0" w:color="auto"/>
      </w:divBdr>
    </w:div>
    <w:div w:id="745612003">
      <w:bodyDiv w:val="1"/>
      <w:marLeft w:val="0"/>
      <w:marRight w:val="0"/>
      <w:marTop w:val="0"/>
      <w:marBottom w:val="0"/>
      <w:divBdr>
        <w:top w:val="none" w:sz="0" w:space="0" w:color="auto"/>
        <w:left w:val="none" w:sz="0" w:space="0" w:color="auto"/>
        <w:bottom w:val="none" w:sz="0" w:space="0" w:color="auto"/>
        <w:right w:val="none" w:sz="0" w:space="0" w:color="auto"/>
      </w:divBdr>
    </w:div>
    <w:div w:id="751052468">
      <w:bodyDiv w:val="1"/>
      <w:marLeft w:val="0"/>
      <w:marRight w:val="0"/>
      <w:marTop w:val="0"/>
      <w:marBottom w:val="0"/>
      <w:divBdr>
        <w:top w:val="none" w:sz="0" w:space="0" w:color="auto"/>
        <w:left w:val="none" w:sz="0" w:space="0" w:color="auto"/>
        <w:bottom w:val="none" w:sz="0" w:space="0" w:color="auto"/>
        <w:right w:val="none" w:sz="0" w:space="0" w:color="auto"/>
      </w:divBdr>
    </w:div>
    <w:div w:id="761995606">
      <w:bodyDiv w:val="1"/>
      <w:marLeft w:val="0"/>
      <w:marRight w:val="0"/>
      <w:marTop w:val="0"/>
      <w:marBottom w:val="0"/>
      <w:divBdr>
        <w:top w:val="none" w:sz="0" w:space="0" w:color="auto"/>
        <w:left w:val="none" w:sz="0" w:space="0" w:color="auto"/>
        <w:bottom w:val="none" w:sz="0" w:space="0" w:color="auto"/>
        <w:right w:val="none" w:sz="0" w:space="0" w:color="auto"/>
      </w:divBdr>
    </w:div>
    <w:div w:id="791676013">
      <w:bodyDiv w:val="1"/>
      <w:marLeft w:val="0"/>
      <w:marRight w:val="0"/>
      <w:marTop w:val="0"/>
      <w:marBottom w:val="0"/>
      <w:divBdr>
        <w:top w:val="none" w:sz="0" w:space="0" w:color="auto"/>
        <w:left w:val="none" w:sz="0" w:space="0" w:color="auto"/>
        <w:bottom w:val="none" w:sz="0" w:space="0" w:color="auto"/>
        <w:right w:val="none" w:sz="0" w:space="0" w:color="auto"/>
      </w:divBdr>
    </w:div>
    <w:div w:id="800005007">
      <w:bodyDiv w:val="1"/>
      <w:marLeft w:val="0"/>
      <w:marRight w:val="0"/>
      <w:marTop w:val="0"/>
      <w:marBottom w:val="0"/>
      <w:divBdr>
        <w:top w:val="none" w:sz="0" w:space="0" w:color="auto"/>
        <w:left w:val="none" w:sz="0" w:space="0" w:color="auto"/>
        <w:bottom w:val="none" w:sz="0" w:space="0" w:color="auto"/>
        <w:right w:val="none" w:sz="0" w:space="0" w:color="auto"/>
      </w:divBdr>
    </w:div>
    <w:div w:id="816141445">
      <w:bodyDiv w:val="1"/>
      <w:marLeft w:val="0"/>
      <w:marRight w:val="0"/>
      <w:marTop w:val="0"/>
      <w:marBottom w:val="0"/>
      <w:divBdr>
        <w:top w:val="none" w:sz="0" w:space="0" w:color="auto"/>
        <w:left w:val="none" w:sz="0" w:space="0" w:color="auto"/>
        <w:bottom w:val="none" w:sz="0" w:space="0" w:color="auto"/>
        <w:right w:val="none" w:sz="0" w:space="0" w:color="auto"/>
      </w:divBdr>
    </w:div>
    <w:div w:id="850024784">
      <w:bodyDiv w:val="1"/>
      <w:marLeft w:val="0"/>
      <w:marRight w:val="0"/>
      <w:marTop w:val="0"/>
      <w:marBottom w:val="0"/>
      <w:divBdr>
        <w:top w:val="none" w:sz="0" w:space="0" w:color="auto"/>
        <w:left w:val="none" w:sz="0" w:space="0" w:color="auto"/>
        <w:bottom w:val="none" w:sz="0" w:space="0" w:color="auto"/>
        <w:right w:val="none" w:sz="0" w:space="0" w:color="auto"/>
      </w:divBdr>
    </w:div>
    <w:div w:id="867067079">
      <w:bodyDiv w:val="1"/>
      <w:marLeft w:val="0"/>
      <w:marRight w:val="0"/>
      <w:marTop w:val="0"/>
      <w:marBottom w:val="0"/>
      <w:divBdr>
        <w:top w:val="none" w:sz="0" w:space="0" w:color="auto"/>
        <w:left w:val="none" w:sz="0" w:space="0" w:color="auto"/>
        <w:bottom w:val="none" w:sz="0" w:space="0" w:color="auto"/>
        <w:right w:val="none" w:sz="0" w:space="0" w:color="auto"/>
      </w:divBdr>
    </w:div>
    <w:div w:id="878399026">
      <w:bodyDiv w:val="1"/>
      <w:marLeft w:val="0"/>
      <w:marRight w:val="0"/>
      <w:marTop w:val="0"/>
      <w:marBottom w:val="0"/>
      <w:divBdr>
        <w:top w:val="none" w:sz="0" w:space="0" w:color="auto"/>
        <w:left w:val="none" w:sz="0" w:space="0" w:color="auto"/>
        <w:bottom w:val="none" w:sz="0" w:space="0" w:color="auto"/>
        <w:right w:val="none" w:sz="0" w:space="0" w:color="auto"/>
      </w:divBdr>
    </w:div>
    <w:div w:id="883637464">
      <w:bodyDiv w:val="1"/>
      <w:marLeft w:val="0"/>
      <w:marRight w:val="0"/>
      <w:marTop w:val="0"/>
      <w:marBottom w:val="0"/>
      <w:divBdr>
        <w:top w:val="none" w:sz="0" w:space="0" w:color="auto"/>
        <w:left w:val="none" w:sz="0" w:space="0" w:color="auto"/>
        <w:bottom w:val="none" w:sz="0" w:space="0" w:color="auto"/>
        <w:right w:val="none" w:sz="0" w:space="0" w:color="auto"/>
      </w:divBdr>
    </w:div>
    <w:div w:id="981429293">
      <w:bodyDiv w:val="1"/>
      <w:marLeft w:val="0"/>
      <w:marRight w:val="0"/>
      <w:marTop w:val="0"/>
      <w:marBottom w:val="0"/>
      <w:divBdr>
        <w:top w:val="none" w:sz="0" w:space="0" w:color="auto"/>
        <w:left w:val="none" w:sz="0" w:space="0" w:color="auto"/>
        <w:bottom w:val="none" w:sz="0" w:space="0" w:color="auto"/>
        <w:right w:val="none" w:sz="0" w:space="0" w:color="auto"/>
      </w:divBdr>
    </w:div>
    <w:div w:id="995182509">
      <w:bodyDiv w:val="1"/>
      <w:marLeft w:val="0"/>
      <w:marRight w:val="0"/>
      <w:marTop w:val="0"/>
      <w:marBottom w:val="0"/>
      <w:divBdr>
        <w:top w:val="none" w:sz="0" w:space="0" w:color="auto"/>
        <w:left w:val="none" w:sz="0" w:space="0" w:color="auto"/>
        <w:bottom w:val="none" w:sz="0" w:space="0" w:color="auto"/>
        <w:right w:val="none" w:sz="0" w:space="0" w:color="auto"/>
      </w:divBdr>
    </w:div>
    <w:div w:id="1000280787">
      <w:bodyDiv w:val="1"/>
      <w:marLeft w:val="0"/>
      <w:marRight w:val="0"/>
      <w:marTop w:val="0"/>
      <w:marBottom w:val="0"/>
      <w:divBdr>
        <w:top w:val="none" w:sz="0" w:space="0" w:color="auto"/>
        <w:left w:val="none" w:sz="0" w:space="0" w:color="auto"/>
        <w:bottom w:val="none" w:sz="0" w:space="0" w:color="auto"/>
        <w:right w:val="none" w:sz="0" w:space="0" w:color="auto"/>
      </w:divBdr>
    </w:div>
    <w:div w:id="1032848121">
      <w:bodyDiv w:val="1"/>
      <w:marLeft w:val="0"/>
      <w:marRight w:val="0"/>
      <w:marTop w:val="0"/>
      <w:marBottom w:val="0"/>
      <w:divBdr>
        <w:top w:val="none" w:sz="0" w:space="0" w:color="auto"/>
        <w:left w:val="none" w:sz="0" w:space="0" w:color="auto"/>
        <w:bottom w:val="none" w:sz="0" w:space="0" w:color="auto"/>
        <w:right w:val="none" w:sz="0" w:space="0" w:color="auto"/>
      </w:divBdr>
    </w:div>
    <w:div w:id="1036929533">
      <w:bodyDiv w:val="1"/>
      <w:marLeft w:val="0"/>
      <w:marRight w:val="0"/>
      <w:marTop w:val="0"/>
      <w:marBottom w:val="0"/>
      <w:divBdr>
        <w:top w:val="none" w:sz="0" w:space="0" w:color="auto"/>
        <w:left w:val="none" w:sz="0" w:space="0" w:color="auto"/>
        <w:bottom w:val="none" w:sz="0" w:space="0" w:color="auto"/>
        <w:right w:val="none" w:sz="0" w:space="0" w:color="auto"/>
      </w:divBdr>
    </w:div>
    <w:div w:id="1069427049">
      <w:bodyDiv w:val="1"/>
      <w:marLeft w:val="0"/>
      <w:marRight w:val="0"/>
      <w:marTop w:val="0"/>
      <w:marBottom w:val="0"/>
      <w:divBdr>
        <w:top w:val="none" w:sz="0" w:space="0" w:color="auto"/>
        <w:left w:val="none" w:sz="0" w:space="0" w:color="auto"/>
        <w:bottom w:val="none" w:sz="0" w:space="0" w:color="auto"/>
        <w:right w:val="none" w:sz="0" w:space="0" w:color="auto"/>
      </w:divBdr>
    </w:div>
    <w:div w:id="1070229670">
      <w:bodyDiv w:val="1"/>
      <w:marLeft w:val="0"/>
      <w:marRight w:val="0"/>
      <w:marTop w:val="0"/>
      <w:marBottom w:val="0"/>
      <w:divBdr>
        <w:top w:val="none" w:sz="0" w:space="0" w:color="auto"/>
        <w:left w:val="none" w:sz="0" w:space="0" w:color="auto"/>
        <w:bottom w:val="none" w:sz="0" w:space="0" w:color="auto"/>
        <w:right w:val="none" w:sz="0" w:space="0" w:color="auto"/>
      </w:divBdr>
    </w:div>
    <w:div w:id="1125276995">
      <w:bodyDiv w:val="1"/>
      <w:marLeft w:val="0"/>
      <w:marRight w:val="0"/>
      <w:marTop w:val="0"/>
      <w:marBottom w:val="0"/>
      <w:divBdr>
        <w:top w:val="none" w:sz="0" w:space="0" w:color="auto"/>
        <w:left w:val="none" w:sz="0" w:space="0" w:color="auto"/>
        <w:bottom w:val="none" w:sz="0" w:space="0" w:color="auto"/>
        <w:right w:val="none" w:sz="0" w:space="0" w:color="auto"/>
      </w:divBdr>
    </w:div>
    <w:div w:id="1140925289">
      <w:bodyDiv w:val="1"/>
      <w:marLeft w:val="0"/>
      <w:marRight w:val="0"/>
      <w:marTop w:val="0"/>
      <w:marBottom w:val="0"/>
      <w:divBdr>
        <w:top w:val="none" w:sz="0" w:space="0" w:color="auto"/>
        <w:left w:val="none" w:sz="0" w:space="0" w:color="auto"/>
        <w:bottom w:val="none" w:sz="0" w:space="0" w:color="auto"/>
        <w:right w:val="none" w:sz="0" w:space="0" w:color="auto"/>
      </w:divBdr>
    </w:div>
    <w:div w:id="1153958535">
      <w:bodyDiv w:val="1"/>
      <w:marLeft w:val="0"/>
      <w:marRight w:val="0"/>
      <w:marTop w:val="0"/>
      <w:marBottom w:val="0"/>
      <w:divBdr>
        <w:top w:val="none" w:sz="0" w:space="0" w:color="auto"/>
        <w:left w:val="none" w:sz="0" w:space="0" w:color="auto"/>
        <w:bottom w:val="none" w:sz="0" w:space="0" w:color="auto"/>
        <w:right w:val="none" w:sz="0" w:space="0" w:color="auto"/>
      </w:divBdr>
    </w:div>
    <w:div w:id="1175265702">
      <w:bodyDiv w:val="1"/>
      <w:marLeft w:val="0"/>
      <w:marRight w:val="0"/>
      <w:marTop w:val="0"/>
      <w:marBottom w:val="0"/>
      <w:divBdr>
        <w:top w:val="none" w:sz="0" w:space="0" w:color="auto"/>
        <w:left w:val="none" w:sz="0" w:space="0" w:color="auto"/>
        <w:bottom w:val="none" w:sz="0" w:space="0" w:color="auto"/>
        <w:right w:val="none" w:sz="0" w:space="0" w:color="auto"/>
      </w:divBdr>
    </w:div>
    <w:div w:id="1185249068">
      <w:bodyDiv w:val="1"/>
      <w:marLeft w:val="0"/>
      <w:marRight w:val="0"/>
      <w:marTop w:val="0"/>
      <w:marBottom w:val="0"/>
      <w:divBdr>
        <w:top w:val="none" w:sz="0" w:space="0" w:color="auto"/>
        <w:left w:val="none" w:sz="0" w:space="0" w:color="auto"/>
        <w:bottom w:val="none" w:sz="0" w:space="0" w:color="auto"/>
        <w:right w:val="none" w:sz="0" w:space="0" w:color="auto"/>
      </w:divBdr>
    </w:div>
    <w:div w:id="1197279827">
      <w:bodyDiv w:val="1"/>
      <w:marLeft w:val="0"/>
      <w:marRight w:val="0"/>
      <w:marTop w:val="0"/>
      <w:marBottom w:val="0"/>
      <w:divBdr>
        <w:top w:val="none" w:sz="0" w:space="0" w:color="auto"/>
        <w:left w:val="none" w:sz="0" w:space="0" w:color="auto"/>
        <w:bottom w:val="none" w:sz="0" w:space="0" w:color="auto"/>
        <w:right w:val="none" w:sz="0" w:space="0" w:color="auto"/>
      </w:divBdr>
    </w:div>
    <w:div w:id="1210143373">
      <w:bodyDiv w:val="1"/>
      <w:marLeft w:val="0"/>
      <w:marRight w:val="0"/>
      <w:marTop w:val="0"/>
      <w:marBottom w:val="0"/>
      <w:divBdr>
        <w:top w:val="none" w:sz="0" w:space="0" w:color="auto"/>
        <w:left w:val="none" w:sz="0" w:space="0" w:color="auto"/>
        <w:bottom w:val="none" w:sz="0" w:space="0" w:color="auto"/>
        <w:right w:val="none" w:sz="0" w:space="0" w:color="auto"/>
      </w:divBdr>
    </w:div>
    <w:div w:id="1212495279">
      <w:bodyDiv w:val="1"/>
      <w:marLeft w:val="0"/>
      <w:marRight w:val="0"/>
      <w:marTop w:val="0"/>
      <w:marBottom w:val="0"/>
      <w:divBdr>
        <w:top w:val="none" w:sz="0" w:space="0" w:color="auto"/>
        <w:left w:val="none" w:sz="0" w:space="0" w:color="auto"/>
        <w:bottom w:val="none" w:sz="0" w:space="0" w:color="auto"/>
        <w:right w:val="none" w:sz="0" w:space="0" w:color="auto"/>
      </w:divBdr>
    </w:div>
    <w:div w:id="1229342064">
      <w:bodyDiv w:val="1"/>
      <w:marLeft w:val="0"/>
      <w:marRight w:val="0"/>
      <w:marTop w:val="0"/>
      <w:marBottom w:val="0"/>
      <w:divBdr>
        <w:top w:val="none" w:sz="0" w:space="0" w:color="auto"/>
        <w:left w:val="none" w:sz="0" w:space="0" w:color="auto"/>
        <w:bottom w:val="none" w:sz="0" w:space="0" w:color="auto"/>
        <w:right w:val="none" w:sz="0" w:space="0" w:color="auto"/>
      </w:divBdr>
    </w:div>
    <w:div w:id="1252009431">
      <w:bodyDiv w:val="1"/>
      <w:marLeft w:val="0"/>
      <w:marRight w:val="0"/>
      <w:marTop w:val="0"/>
      <w:marBottom w:val="0"/>
      <w:divBdr>
        <w:top w:val="none" w:sz="0" w:space="0" w:color="auto"/>
        <w:left w:val="none" w:sz="0" w:space="0" w:color="auto"/>
        <w:bottom w:val="none" w:sz="0" w:space="0" w:color="auto"/>
        <w:right w:val="none" w:sz="0" w:space="0" w:color="auto"/>
      </w:divBdr>
    </w:div>
    <w:div w:id="1287347042">
      <w:bodyDiv w:val="1"/>
      <w:marLeft w:val="0"/>
      <w:marRight w:val="0"/>
      <w:marTop w:val="0"/>
      <w:marBottom w:val="0"/>
      <w:divBdr>
        <w:top w:val="none" w:sz="0" w:space="0" w:color="auto"/>
        <w:left w:val="none" w:sz="0" w:space="0" w:color="auto"/>
        <w:bottom w:val="none" w:sz="0" w:space="0" w:color="auto"/>
        <w:right w:val="none" w:sz="0" w:space="0" w:color="auto"/>
      </w:divBdr>
    </w:div>
    <w:div w:id="1290239570">
      <w:bodyDiv w:val="1"/>
      <w:marLeft w:val="0"/>
      <w:marRight w:val="0"/>
      <w:marTop w:val="0"/>
      <w:marBottom w:val="0"/>
      <w:divBdr>
        <w:top w:val="none" w:sz="0" w:space="0" w:color="auto"/>
        <w:left w:val="none" w:sz="0" w:space="0" w:color="auto"/>
        <w:bottom w:val="none" w:sz="0" w:space="0" w:color="auto"/>
        <w:right w:val="none" w:sz="0" w:space="0" w:color="auto"/>
      </w:divBdr>
    </w:div>
    <w:div w:id="1336492473">
      <w:bodyDiv w:val="1"/>
      <w:marLeft w:val="0"/>
      <w:marRight w:val="0"/>
      <w:marTop w:val="0"/>
      <w:marBottom w:val="0"/>
      <w:divBdr>
        <w:top w:val="none" w:sz="0" w:space="0" w:color="auto"/>
        <w:left w:val="none" w:sz="0" w:space="0" w:color="auto"/>
        <w:bottom w:val="none" w:sz="0" w:space="0" w:color="auto"/>
        <w:right w:val="none" w:sz="0" w:space="0" w:color="auto"/>
      </w:divBdr>
    </w:div>
    <w:div w:id="1369571336">
      <w:bodyDiv w:val="1"/>
      <w:marLeft w:val="0"/>
      <w:marRight w:val="0"/>
      <w:marTop w:val="0"/>
      <w:marBottom w:val="0"/>
      <w:divBdr>
        <w:top w:val="none" w:sz="0" w:space="0" w:color="auto"/>
        <w:left w:val="none" w:sz="0" w:space="0" w:color="auto"/>
        <w:bottom w:val="none" w:sz="0" w:space="0" w:color="auto"/>
        <w:right w:val="none" w:sz="0" w:space="0" w:color="auto"/>
      </w:divBdr>
    </w:div>
    <w:div w:id="1381858085">
      <w:bodyDiv w:val="1"/>
      <w:marLeft w:val="0"/>
      <w:marRight w:val="0"/>
      <w:marTop w:val="0"/>
      <w:marBottom w:val="0"/>
      <w:divBdr>
        <w:top w:val="none" w:sz="0" w:space="0" w:color="auto"/>
        <w:left w:val="none" w:sz="0" w:space="0" w:color="auto"/>
        <w:bottom w:val="none" w:sz="0" w:space="0" w:color="auto"/>
        <w:right w:val="none" w:sz="0" w:space="0" w:color="auto"/>
      </w:divBdr>
    </w:div>
    <w:div w:id="1392457074">
      <w:bodyDiv w:val="1"/>
      <w:marLeft w:val="0"/>
      <w:marRight w:val="0"/>
      <w:marTop w:val="0"/>
      <w:marBottom w:val="0"/>
      <w:divBdr>
        <w:top w:val="none" w:sz="0" w:space="0" w:color="auto"/>
        <w:left w:val="none" w:sz="0" w:space="0" w:color="auto"/>
        <w:bottom w:val="none" w:sz="0" w:space="0" w:color="auto"/>
        <w:right w:val="none" w:sz="0" w:space="0" w:color="auto"/>
      </w:divBdr>
    </w:div>
    <w:div w:id="1414232939">
      <w:bodyDiv w:val="1"/>
      <w:marLeft w:val="0"/>
      <w:marRight w:val="0"/>
      <w:marTop w:val="0"/>
      <w:marBottom w:val="0"/>
      <w:divBdr>
        <w:top w:val="none" w:sz="0" w:space="0" w:color="auto"/>
        <w:left w:val="none" w:sz="0" w:space="0" w:color="auto"/>
        <w:bottom w:val="none" w:sz="0" w:space="0" w:color="auto"/>
        <w:right w:val="none" w:sz="0" w:space="0" w:color="auto"/>
      </w:divBdr>
    </w:div>
    <w:div w:id="1426879535">
      <w:bodyDiv w:val="1"/>
      <w:marLeft w:val="0"/>
      <w:marRight w:val="0"/>
      <w:marTop w:val="0"/>
      <w:marBottom w:val="0"/>
      <w:divBdr>
        <w:top w:val="none" w:sz="0" w:space="0" w:color="auto"/>
        <w:left w:val="none" w:sz="0" w:space="0" w:color="auto"/>
        <w:bottom w:val="none" w:sz="0" w:space="0" w:color="auto"/>
        <w:right w:val="none" w:sz="0" w:space="0" w:color="auto"/>
      </w:divBdr>
    </w:div>
    <w:div w:id="1430346106">
      <w:bodyDiv w:val="1"/>
      <w:marLeft w:val="0"/>
      <w:marRight w:val="0"/>
      <w:marTop w:val="0"/>
      <w:marBottom w:val="0"/>
      <w:divBdr>
        <w:top w:val="none" w:sz="0" w:space="0" w:color="auto"/>
        <w:left w:val="none" w:sz="0" w:space="0" w:color="auto"/>
        <w:bottom w:val="none" w:sz="0" w:space="0" w:color="auto"/>
        <w:right w:val="none" w:sz="0" w:space="0" w:color="auto"/>
      </w:divBdr>
    </w:div>
    <w:div w:id="1435401572">
      <w:bodyDiv w:val="1"/>
      <w:marLeft w:val="0"/>
      <w:marRight w:val="0"/>
      <w:marTop w:val="0"/>
      <w:marBottom w:val="0"/>
      <w:divBdr>
        <w:top w:val="none" w:sz="0" w:space="0" w:color="auto"/>
        <w:left w:val="none" w:sz="0" w:space="0" w:color="auto"/>
        <w:bottom w:val="none" w:sz="0" w:space="0" w:color="auto"/>
        <w:right w:val="none" w:sz="0" w:space="0" w:color="auto"/>
      </w:divBdr>
    </w:div>
    <w:div w:id="1451510734">
      <w:bodyDiv w:val="1"/>
      <w:marLeft w:val="0"/>
      <w:marRight w:val="0"/>
      <w:marTop w:val="0"/>
      <w:marBottom w:val="0"/>
      <w:divBdr>
        <w:top w:val="none" w:sz="0" w:space="0" w:color="auto"/>
        <w:left w:val="none" w:sz="0" w:space="0" w:color="auto"/>
        <w:bottom w:val="none" w:sz="0" w:space="0" w:color="auto"/>
        <w:right w:val="none" w:sz="0" w:space="0" w:color="auto"/>
      </w:divBdr>
    </w:div>
    <w:div w:id="1463186216">
      <w:bodyDiv w:val="1"/>
      <w:marLeft w:val="0"/>
      <w:marRight w:val="0"/>
      <w:marTop w:val="0"/>
      <w:marBottom w:val="0"/>
      <w:divBdr>
        <w:top w:val="none" w:sz="0" w:space="0" w:color="auto"/>
        <w:left w:val="none" w:sz="0" w:space="0" w:color="auto"/>
        <w:bottom w:val="none" w:sz="0" w:space="0" w:color="auto"/>
        <w:right w:val="none" w:sz="0" w:space="0" w:color="auto"/>
      </w:divBdr>
    </w:div>
    <w:div w:id="1503624955">
      <w:bodyDiv w:val="1"/>
      <w:marLeft w:val="0"/>
      <w:marRight w:val="0"/>
      <w:marTop w:val="0"/>
      <w:marBottom w:val="0"/>
      <w:divBdr>
        <w:top w:val="none" w:sz="0" w:space="0" w:color="auto"/>
        <w:left w:val="none" w:sz="0" w:space="0" w:color="auto"/>
        <w:bottom w:val="none" w:sz="0" w:space="0" w:color="auto"/>
        <w:right w:val="none" w:sz="0" w:space="0" w:color="auto"/>
      </w:divBdr>
    </w:div>
    <w:div w:id="1521703519">
      <w:bodyDiv w:val="1"/>
      <w:marLeft w:val="0"/>
      <w:marRight w:val="0"/>
      <w:marTop w:val="0"/>
      <w:marBottom w:val="0"/>
      <w:divBdr>
        <w:top w:val="none" w:sz="0" w:space="0" w:color="auto"/>
        <w:left w:val="none" w:sz="0" w:space="0" w:color="auto"/>
        <w:bottom w:val="none" w:sz="0" w:space="0" w:color="auto"/>
        <w:right w:val="none" w:sz="0" w:space="0" w:color="auto"/>
      </w:divBdr>
    </w:div>
    <w:div w:id="1550997988">
      <w:bodyDiv w:val="1"/>
      <w:marLeft w:val="0"/>
      <w:marRight w:val="0"/>
      <w:marTop w:val="0"/>
      <w:marBottom w:val="0"/>
      <w:divBdr>
        <w:top w:val="none" w:sz="0" w:space="0" w:color="auto"/>
        <w:left w:val="none" w:sz="0" w:space="0" w:color="auto"/>
        <w:bottom w:val="none" w:sz="0" w:space="0" w:color="auto"/>
        <w:right w:val="none" w:sz="0" w:space="0" w:color="auto"/>
      </w:divBdr>
    </w:div>
    <w:div w:id="1597252004">
      <w:bodyDiv w:val="1"/>
      <w:marLeft w:val="0"/>
      <w:marRight w:val="0"/>
      <w:marTop w:val="0"/>
      <w:marBottom w:val="0"/>
      <w:divBdr>
        <w:top w:val="none" w:sz="0" w:space="0" w:color="auto"/>
        <w:left w:val="none" w:sz="0" w:space="0" w:color="auto"/>
        <w:bottom w:val="none" w:sz="0" w:space="0" w:color="auto"/>
        <w:right w:val="none" w:sz="0" w:space="0" w:color="auto"/>
      </w:divBdr>
    </w:div>
    <w:div w:id="1601985934">
      <w:bodyDiv w:val="1"/>
      <w:marLeft w:val="0"/>
      <w:marRight w:val="0"/>
      <w:marTop w:val="0"/>
      <w:marBottom w:val="0"/>
      <w:divBdr>
        <w:top w:val="none" w:sz="0" w:space="0" w:color="auto"/>
        <w:left w:val="none" w:sz="0" w:space="0" w:color="auto"/>
        <w:bottom w:val="none" w:sz="0" w:space="0" w:color="auto"/>
        <w:right w:val="none" w:sz="0" w:space="0" w:color="auto"/>
      </w:divBdr>
    </w:div>
    <w:div w:id="1607272159">
      <w:bodyDiv w:val="1"/>
      <w:marLeft w:val="0"/>
      <w:marRight w:val="0"/>
      <w:marTop w:val="0"/>
      <w:marBottom w:val="0"/>
      <w:divBdr>
        <w:top w:val="none" w:sz="0" w:space="0" w:color="auto"/>
        <w:left w:val="none" w:sz="0" w:space="0" w:color="auto"/>
        <w:bottom w:val="none" w:sz="0" w:space="0" w:color="auto"/>
        <w:right w:val="none" w:sz="0" w:space="0" w:color="auto"/>
      </w:divBdr>
    </w:div>
    <w:div w:id="1611157899">
      <w:bodyDiv w:val="1"/>
      <w:marLeft w:val="0"/>
      <w:marRight w:val="0"/>
      <w:marTop w:val="0"/>
      <w:marBottom w:val="0"/>
      <w:divBdr>
        <w:top w:val="none" w:sz="0" w:space="0" w:color="auto"/>
        <w:left w:val="none" w:sz="0" w:space="0" w:color="auto"/>
        <w:bottom w:val="none" w:sz="0" w:space="0" w:color="auto"/>
        <w:right w:val="none" w:sz="0" w:space="0" w:color="auto"/>
      </w:divBdr>
    </w:div>
    <w:div w:id="1645964096">
      <w:bodyDiv w:val="1"/>
      <w:marLeft w:val="0"/>
      <w:marRight w:val="0"/>
      <w:marTop w:val="0"/>
      <w:marBottom w:val="0"/>
      <w:divBdr>
        <w:top w:val="none" w:sz="0" w:space="0" w:color="auto"/>
        <w:left w:val="none" w:sz="0" w:space="0" w:color="auto"/>
        <w:bottom w:val="none" w:sz="0" w:space="0" w:color="auto"/>
        <w:right w:val="none" w:sz="0" w:space="0" w:color="auto"/>
      </w:divBdr>
    </w:div>
    <w:div w:id="1649822169">
      <w:bodyDiv w:val="1"/>
      <w:marLeft w:val="0"/>
      <w:marRight w:val="0"/>
      <w:marTop w:val="0"/>
      <w:marBottom w:val="0"/>
      <w:divBdr>
        <w:top w:val="none" w:sz="0" w:space="0" w:color="auto"/>
        <w:left w:val="none" w:sz="0" w:space="0" w:color="auto"/>
        <w:bottom w:val="none" w:sz="0" w:space="0" w:color="auto"/>
        <w:right w:val="none" w:sz="0" w:space="0" w:color="auto"/>
      </w:divBdr>
    </w:div>
    <w:div w:id="1653026858">
      <w:bodyDiv w:val="1"/>
      <w:marLeft w:val="0"/>
      <w:marRight w:val="0"/>
      <w:marTop w:val="0"/>
      <w:marBottom w:val="0"/>
      <w:divBdr>
        <w:top w:val="none" w:sz="0" w:space="0" w:color="auto"/>
        <w:left w:val="none" w:sz="0" w:space="0" w:color="auto"/>
        <w:bottom w:val="none" w:sz="0" w:space="0" w:color="auto"/>
        <w:right w:val="none" w:sz="0" w:space="0" w:color="auto"/>
      </w:divBdr>
    </w:div>
    <w:div w:id="1655259949">
      <w:bodyDiv w:val="1"/>
      <w:marLeft w:val="0"/>
      <w:marRight w:val="0"/>
      <w:marTop w:val="0"/>
      <w:marBottom w:val="0"/>
      <w:divBdr>
        <w:top w:val="none" w:sz="0" w:space="0" w:color="auto"/>
        <w:left w:val="none" w:sz="0" w:space="0" w:color="auto"/>
        <w:bottom w:val="none" w:sz="0" w:space="0" w:color="auto"/>
        <w:right w:val="none" w:sz="0" w:space="0" w:color="auto"/>
      </w:divBdr>
    </w:div>
    <w:div w:id="1667827834">
      <w:bodyDiv w:val="1"/>
      <w:marLeft w:val="0"/>
      <w:marRight w:val="0"/>
      <w:marTop w:val="0"/>
      <w:marBottom w:val="0"/>
      <w:divBdr>
        <w:top w:val="none" w:sz="0" w:space="0" w:color="auto"/>
        <w:left w:val="none" w:sz="0" w:space="0" w:color="auto"/>
        <w:bottom w:val="none" w:sz="0" w:space="0" w:color="auto"/>
        <w:right w:val="none" w:sz="0" w:space="0" w:color="auto"/>
      </w:divBdr>
    </w:div>
    <w:div w:id="1699506035">
      <w:bodyDiv w:val="1"/>
      <w:marLeft w:val="0"/>
      <w:marRight w:val="0"/>
      <w:marTop w:val="0"/>
      <w:marBottom w:val="0"/>
      <w:divBdr>
        <w:top w:val="none" w:sz="0" w:space="0" w:color="auto"/>
        <w:left w:val="none" w:sz="0" w:space="0" w:color="auto"/>
        <w:bottom w:val="none" w:sz="0" w:space="0" w:color="auto"/>
        <w:right w:val="none" w:sz="0" w:space="0" w:color="auto"/>
      </w:divBdr>
    </w:div>
    <w:div w:id="1750076078">
      <w:bodyDiv w:val="1"/>
      <w:marLeft w:val="0"/>
      <w:marRight w:val="0"/>
      <w:marTop w:val="0"/>
      <w:marBottom w:val="0"/>
      <w:divBdr>
        <w:top w:val="none" w:sz="0" w:space="0" w:color="auto"/>
        <w:left w:val="none" w:sz="0" w:space="0" w:color="auto"/>
        <w:bottom w:val="none" w:sz="0" w:space="0" w:color="auto"/>
        <w:right w:val="none" w:sz="0" w:space="0" w:color="auto"/>
      </w:divBdr>
    </w:div>
    <w:div w:id="1754231604">
      <w:bodyDiv w:val="1"/>
      <w:marLeft w:val="0"/>
      <w:marRight w:val="0"/>
      <w:marTop w:val="0"/>
      <w:marBottom w:val="0"/>
      <w:divBdr>
        <w:top w:val="none" w:sz="0" w:space="0" w:color="auto"/>
        <w:left w:val="none" w:sz="0" w:space="0" w:color="auto"/>
        <w:bottom w:val="none" w:sz="0" w:space="0" w:color="auto"/>
        <w:right w:val="none" w:sz="0" w:space="0" w:color="auto"/>
      </w:divBdr>
    </w:div>
    <w:div w:id="1768034551">
      <w:bodyDiv w:val="1"/>
      <w:marLeft w:val="0"/>
      <w:marRight w:val="0"/>
      <w:marTop w:val="0"/>
      <w:marBottom w:val="0"/>
      <w:divBdr>
        <w:top w:val="none" w:sz="0" w:space="0" w:color="auto"/>
        <w:left w:val="none" w:sz="0" w:space="0" w:color="auto"/>
        <w:bottom w:val="none" w:sz="0" w:space="0" w:color="auto"/>
        <w:right w:val="none" w:sz="0" w:space="0" w:color="auto"/>
      </w:divBdr>
    </w:div>
    <w:div w:id="1825779064">
      <w:bodyDiv w:val="1"/>
      <w:marLeft w:val="0"/>
      <w:marRight w:val="0"/>
      <w:marTop w:val="0"/>
      <w:marBottom w:val="0"/>
      <w:divBdr>
        <w:top w:val="none" w:sz="0" w:space="0" w:color="auto"/>
        <w:left w:val="none" w:sz="0" w:space="0" w:color="auto"/>
        <w:bottom w:val="none" w:sz="0" w:space="0" w:color="auto"/>
        <w:right w:val="none" w:sz="0" w:space="0" w:color="auto"/>
      </w:divBdr>
    </w:div>
    <w:div w:id="1830167321">
      <w:bodyDiv w:val="1"/>
      <w:marLeft w:val="0"/>
      <w:marRight w:val="0"/>
      <w:marTop w:val="0"/>
      <w:marBottom w:val="0"/>
      <w:divBdr>
        <w:top w:val="none" w:sz="0" w:space="0" w:color="auto"/>
        <w:left w:val="none" w:sz="0" w:space="0" w:color="auto"/>
        <w:bottom w:val="none" w:sz="0" w:space="0" w:color="auto"/>
        <w:right w:val="none" w:sz="0" w:space="0" w:color="auto"/>
      </w:divBdr>
    </w:div>
    <w:div w:id="1915234068">
      <w:bodyDiv w:val="1"/>
      <w:marLeft w:val="0"/>
      <w:marRight w:val="0"/>
      <w:marTop w:val="0"/>
      <w:marBottom w:val="0"/>
      <w:divBdr>
        <w:top w:val="none" w:sz="0" w:space="0" w:color="auto"/>
        <w:left w:val="none" w:sz="0" w:space="0" w:color="auto"/>
        <w:bottom w:val="none" w:sz="0" w:space="0" w:color="auto"/>
        <w:right w:val="none" w:sz="0" w:space="0" w:color="auto"/>
      </w:divBdr>
    </w:div>
    <w:div w:id="1936594704">
      <w:bodyDiv w:val="1"/>
      <w:marLeft w:val="0"/>
      <w:marRight w:val="0"/>
      <w:marTop w:val="0"/>
      <w:marBottom w:val="0"/>
      <w:divBdr>
        <w:top w:val="none" w:sz="0" w:space="0" w:color="auto"/>
        <w:left w:val="none" w:sz="0" w:space="0" w:color="auto"/>
        <w:bottom w:val="none" w:sz="0" w:space="0" w:color="auto"/>
        <w:right w:val="none" w:sz="0" w:space="0" w:color="auto"/>
      </w:divBdr>
    </w:div>
    <w:div w:id="1938521379">
      <w:bodyDiv w:val="1"/>
      <w:marLeft w:val="0"/>
      <w:marRight w:val="0"/>
      <w:marTop w:val="0"/>
      <w:marBottom w:val="0"/>
      <w:divBdr>
        <w:top w:val="none" w:sz="0" w:space="0" w:color="auto"/>
        <w:left w:val="none" w:sz="0" w:space="0" w:color="auto"/>
        <w:bottom w:val="none" w:sz="0" w:space="0" w:color="auto"/>
        <w:right w:val="none" w:sz="0" w:space="0" w:color="auto"/>
      </w:divBdr>
    </w:div>
    <w:div w:id="1967157184">
      <w:bodyDiv w:val="1"/>
      <w:marLeft w:val="0"/>
      <w:marRight w:val="0"/>
      <w:marTop w:val="0"/>
      <w:marBottom w:val="0"/>
      <w:divBdr>
        <w:top w:val="none" w:sz="0" w:space="0" w:color="auto"/>
        <w:left w:val="none" w:sz="0" w:space="0" w:color="auto"/>
        <w:bottom w:val="none" w:sz="0" w:space="0" w:color="auto"/>
        <w:right w:val="none" w:sz="0" w:space="0" w:color="auto"/>
      </w:divBdr>
    </w:div>
    <w:div w:id="1970432455">
      <w:bodyDiv w:val="1"/>
      <w:marLeft w:val="0"/>
      <w:marRight w:val="0"/>
      <w:marTop w:val="0"/>
      <w:marBottom w:val="0"/>
      <w:divBdr>
        <w:top w:val="none" w:sz="0" w:space="0" w:color="auto"/>
        <w:left w:val="none" w:sz="0" w:space="0" w:color="auto"/>
        <w:bottom w:val="none" w:sz="0" w:space="0" w:color="auto"/>
        <w:right w:val="none" w:sz="0" w:space="0" w:color="auto"/>
      </w:divBdr>
    </w:div>
    <w:div w:id="1990356364">
      <w:bodyDiv w:val="1"/>
      <w:marLeft w:val="0"/>
      <w:marRight w:val="0"/>
      <w:marTop w:val="0"/>
      <w:marBottom w:val="0"/>
      <w:divBdr>
        <w:top w:val="none" w:sz="0" w:space="0" w:color="auto"/>
        <w:left w:val="none" w:sz="0" w:space="0" w:color="auto"/>
        <w:bottom w:val="none" w:sz="0" w:space="0" w:color="auto"/>
        <w:right w:val="none" w:sz="0" w:space="0" w:color="auto"/>
      </w:divBdr>
    </w:div>
    <w:div w:id="1993560875">
      <w:bodyDiv w:val="1"/>
      <w:marLeft w:val="0"/>
      <w:marRight w:val="0"/>
      <w:marTop w:val="0"/>
      <w:marBottom w:val="0"/>
      <w:divBdr>
        <w:top w:val="none" w:sz="0" w:space="0" w:color="auto"/>
        <w:left w:val="none" w:sz="0" w:space="0" w:color="auto"/>
        <w:bottom w:val="none" w:sz="0" w:space="0" w:color="auto"/>
        <w:right w:val="none" w:sz="0" w:space="0" w:color="auto"/>
      </w:divBdr>
    </w:div>
    <w:div w:id="1993868241">
      <w:bodyDiv w:val="1"/>
      <w:marLeft w:val="0"/>
      <w:marRight w:val="0"/>
      <w:marTop w:val="0"/>
      <w:marBottom w:val="0"/>
      <w:divBdr>
        <w:top w:val="none" w:sz="0" w:space="0" w:color="auto"/>
        <w:left w:val="none" w:sz="0" w:space="0" w:color="auto"/>
        <w:bottom w:val="none" w:sz="0" w:space="0" w:color="auto"/>
        <w:right w:val="none" w:sz="0" w:space="0" w:color="auto"/>
      </w:divBdr>
    </w:div>
    <w:div w:id="2002194769">
      <w:bodyDiv w:val="1"/>
      <w:marLeft w:val="0"/>
      <w:marRight w:val="0"/>
      <w:marTop w:val="0"/>
      <w:marBottom w:val="0"/>
      <w:divBdr>
        <w:top w:val="none" w:sz="0" w:space="0" w:color="auto"/>
        <w:left w:val="none" w:sz="0" w:space="0" w:color="auto"/>
        <w:bottom w:val="none" w:sz="0" w:space="0" w:color="auto"/>
        <w:right w:val="none" w:sz="0" w:space="0" w:color="auto"/>
      </w:divBdr>
    </w:div>
    <w:div w:id="2007131270">
      <w:bodyDiv w:val="1"/>
      <w:marLeft w:val="0"/>
      <w:marRight w:val="0"/>
      <w:marTop w:val="0"/>
      <w:marBottom w:val="0"/>
      <w:divBdr>
        <w:top w:val="none" w:sz="0" w:space="0" w:color="auto"/>
        <w:left w:val="none" w:sz="0" w:space="0" w:color="auto"/>
        <w:bottom w:val="none" w:sz="0" w:space="0" w:color="auto"/>
        <w:right w:val="none" w:sz="0" w:space="0" w:color="auto"/>
      </w:divBdr>
    </w:div>
    <w:div w:id="2019500157">
      <w:bodyDiv w:val="1"/>
      <w:marLeft w:val="0"/>
      <w:marRight w:val="0"/>
      <w:marTop w:val="0"/>
      <w:marBottom w:val="0"/>
      <w:divBdr>
        <w:top w:val="none" w:sz="0" w:space="0" w:color="auto"/>
        <w:left w:val="none" w:sz="0" w:space="0" w:color="auto"/>
        <w:bottom w:val="none" w:sz="0" w:space="0" w:color="auto"/>
        <w:right w:val="none" w:sz="0" w:space="0" w:color="auto"/>
      </w:divBdr>
    </w:div>
    <w:div w:id="2022199650">
      <w:bodyDiv w:val="1"/>
      <w:marLeft w:val="0"/>
      <w:marRight w:val="0"/>
      <w:marTop w:val="0"/>
      <w:marBottom w:val="0"/>
      <w:divBdr>
        <w:top w:val="none" w:sz="0" w:space="0" w:color="auto"/>
        <w:left w:val="none" w:sz="0" w:space="0" w:color="auto"/>
        <w:bottom w:val="none" w:sz="0" w:space="0" w:color="auto"/>
        <w:right w:val="none" w:sz="0" w:space="0" w:color="auto"/>
      </w:divBdr>
    </w:div>
    <w:div w:id="2042315160">
      <w:bodyDiv w:val="1"/>
      <w:marLeft w:val="0"/>
      <w:marRight w:val="0"/>
      <w:marTop w:val="0"/>
      <w:marBottom w:val="0"/>
      <w:divBdr>
        <w:top w:val="none" w:sz="0" w:space="0" w:color="auto"/>
        <w:left w:val="none" w:sz="0" w:space="0" w:color="auto"/>
        <w:bottom w:val="none" w:sz="0" w:space="0" w:color="auto"/>
        <w:right w:val="none" w:sz="0" w:space="0" w:color="auto"/>
      </w:divBdr>
    </w:div>
    <w:div w:id="2056660034">
      <w:bodyDiv w:val="1"/>
      <w:marLeft w:val="0"/>
      <w:marRight w:val="0"/>
      <w:marTop w:val="0"/>
      <w:marBottom w:val="0"/>
      <w:divBdr>
        <w:top w:val="none" w:sz="0" w:space="0" w:color="auto"/>
        <w:left w:val="none" w:sz="0" w:space="0" w:color="auto"/>
        <w:bottom w:val="none" w:sz="0" w:space="0" w:color="auto"/>
        <w:right w:val="none" w:sz="0" w:space="0" w:color="auto"/>
      </w:divBdr>
    </w:div>
    <w:div w:id="2059475515">
      <w:bodyDiv w:val="1"/>
      <w:marLeft w:val="0"/>
      <w:marRight w:val="0"/>
      <w:marTop w:val="0"/>
      <w:marBottom w:val="0"/>
      <w:divBdr>
        <w:top w:val="none" w:sz="0" w:space="0" w:color="auto"/>
        <w:left w:val="none" w:sz="0" w:space="0" w:color="auto"/>
        <w:bottom w:val="none" w:sz="0" w:space="0" w:color="auto"/>
        <w:right w:val="none" w:sz="0" w:space="0" w:color="auto"/>
      </w:divBdr>
    </w:div>
    <w:div w:id="2060005895">
      <w:bodyDiv w:val="1"/>
      <w:marLeft w:val="0"/>
      <w:marRight w:val="0"/>
      <w:marTop w:val="0"/>
      <w:marBottom w:val="0"/>
      <w:divBdr>
        <w:top w:val="none" w:sz="0" w:space="0" w:color="auto"/>
        <w:left w:val="none" w:sz="0" w:space="0" w:color="auto"/>
        <w:bottom w:val="none" w:sz="0" w:space="0" w:color="auto"/>
        <w:right w:val="none" w:sz="0" w:space="0" w:color="auto"/>
      </w:divBdr>
    </w:div>
    <w:div w:id="2084179821">
      <w:bodyDiv w:val="1"/>
      <w:marLeft w:val="0"/>
      <w:marRight w:val="0"/>
      <w:marTop w:val="0"/>
      <w:marBottom w:val="0"/>
      <w:divBdr>
        <w:top w:val="none" w:sz="0" w:space="0" w:color="auto"/>
        <w:left w:val="none" w:sz="0" w:space="0" w:color="auto"/>
        <w:bottom w:val="none" w:sz="0" w:space="0" w:color="auto"/>
        <w:right w:val="none" w:sz="0" w:space="0" w:color="auto"/>
      </w:divBdr>
    </w:div>
    <w:div w:id="2093233540">
      <w:bodyDiv w:val="1"/>
      <w:marLeft w:val="0"/>
      <w:marRight w:val="0"/>
      <w:marTop w:val="0"/>
      <w:marBottom w:val="0"/>
      <w:divBdr>
        <w:top w:val="none" w:sz="0" w:space="0" w:color="auto"/>
        <w:left w:val="none" w:sz="0" w:space="0" w:color="auto"/>
        <w:bottom w:val="none" w:sz="0" w:space="0" w:color="auto"/>
        <w:right w:val="none" w:sz="0" w:space="0" w:color="auto"/>
      </w:divBdr>
    </w:div>
    <w:div w:id="2122066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chart" Target="charts/chart2.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Users\terramorel\Desktop\Desktop\Geneva\WHO\Data%20analysis\Data%20and%20graphs%20for%20report.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Users\terramorel\Desktop\Desktop\Geneva\WHO\Data%20analysis\Data%20and%20graphs%20for%20re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terramorel\Desktop\Data%20and%20graphs%20for%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Institution!$P$1</c:f>
              <c:strCache>
                <c:ptCount val="1"/>
                <c:pt idx="0">
                  <c:v>Number of Master's grantees hosted</c:v>
                </c:pt>
              </c:strCache>
            </c:strRef>
          </c:tx>
          <c:spPr>
            <a:solidFill>
              <a:schemeClr val="tx1"/>
            </a:solidFill>
            <a:ln>
              <a:noFill/>
            </a:ln>
            <a:effectLst/>
          </c:spPr>
          <c:invertIfNegative val="0"/>
          <c:dPt>
            <c:idx val="0"/>
            <c:invertIfNegative val="0"/>
            <c:bubble3D val="0"/>
            <c:spPr>
              <a:solidFill>
                <a:schemeClr val="tx1"/>
              </a:solidFill>
              <a:ln>
                <a:noFill/>
              </a:ln>
              <a:effectLst/>
            </c:spPr>
          </c:dPt>
          <c:dPt>
            <c:idx val="1"/>
            <c:invertIfNegative val="0"/>
            <c:bubble3D val="0"/>
            <c:spPr>
              <a:solidFill>
                <a:schemeClr val="tx1"/>
              </a:solidFill>
              <a:ln>
                <a:noFill/>
              </a:ln>
              <a:effectLst/>
            </c:spPr>
          </c:dPt>
          <c:dPt>
            <c:idx val="2"/>
            <c:invertIfNegative val="0"/>
            <c:bubble3D val="0"/>
            <c:spPr>
              <a:solidFill>
                <a:schemeClr val="tx1"/>
              </a:solidFill>
              <a:ln>
                <a:noFill/>
              </a:ln>
              <a:effectLst/>
            </c:spPr>
          </c:dPt>
          <c:dPt>
            <c:idx val="3"/>
            <c:invertIfNegative val="0"/>
            <c:bubble3D val="0"/>
            <c:spPr>
              <a:solidFill>
                <a:schemeClr val="tx1"/>
              </a:solidFill>
              <a:ln>
                <a:noFill/>
              </a:ln>
              <a:effectLst/>
            </c:spPr>
          </c:dPt>
          <c:dPt>
            <c:idx val="4"/>
            <c:invertIfNegative val="0"/>
            <c:bubble3D val="0"/>
            <c:spPr>
              <a:solidFill>
                <a:schemeClr val="tx1"/>
              </a:solidFill>
              <a:ln>
                <a:noFill/>
              </a:ln>
              <a:effectLst/>
            </c:spPr>
          </c:dPt>
          <c:dPt>
            <c:idx val="5"/>
            <c:invertIfNegative val="0"/>
            <c:bubble3D val="0"/>
            <c:spPr>
              <a:solidFill>
                <a:schemeClr val="tx1"/>
              </a:solidFill>
              <a:ln>
                <a:noFill/>
              </a:ln>
              <a:effectLst/>
            </c:spPr>
          </c:dPt>
          <c:dPt>
            <c:idx val="6"/>
            <c:invertIfNegative val="0"/>
            <c:bubble3D val="0"/>
            <c:spPr>
              <a:solidFill>
                <a:schemeClr val="tx1"/>
              </a:solidFill>
              <a:ln>
                <a:noFill/>
              </a:ln>
              <a:effectLst/>
            </c:spPr>
          </c:dPt>
          <c:dPt>
            <c:idx val="7"/>
            <c:invertIfNegative val="0"/>
            <c:bubble3D val="0"/>
            <c:spPr>
              <a:solidFill>
                <a:schemeClr val="tx1"/>
              </a:solidFill>
              <a:ln>
                <a:noFill/>
              </a:ln>
              <a:effectLst/>
            </c:spPr>
          </c:dPt>
          <c:dPt>
            <c:idx val="8"/>
            <c:invertIfNegative val="0"/>
            <c:bubble3D val="0"/>
            <c:spPr>
              <a:solidFill>
                <a:schemeClr val="tx1"/>
              </a:solidFill>
              <a:ln>
                <a:noFill/>
              </a:ln>
              <a:effectLst/>
            </c:spPr>
          </c:dPt>
          <c:dPt>
            <c:idx val="9"/>
            <c:invertIfNegative val="0"/>
            <c:bubble3D val="0"/>
            <c:spPr>
              <a:solidFill>
                <a:schemeClr val="tx1"/>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Institution!$O$2:$O$11</c:f>
              <c:strCache>
                <c:ptCount val="10"/>
                <c:pt idx="0">
                  <c:v>MRC Unit, Gambia</c:v>
                </c:pt>
                <c:pt idx="1">
                  <c:v>WSU</c:v>
                </c:pt>
                <c:pt idx="2">
                  <c:v>Makerere</c:v>
                </c:pt>
                <c:pt idx="3">
                  <c:v>LASDEL</c:v>
                </c:pt>
                <c:pt idx="4">
                  <c:v>SUA</c:v>
                </c:pt>
                <c:pt idx="5">
                  <c:v>Zambia</c:v>
                </c:pt>
                <c:pt idx="6">
                  <c:v>Dilla</c:v>
                </c:pt>
                <c:pt idx="7">
                  <c:v>SUA</c:v>
                </c:pt>
                <c:pt idx="8">
                  <c:v>UAN</c:v>
                </c:pt>
                <c:pt idx="9">
                  <c:v>KEMRI</c:v>
                </c:pt>
              </c:strCache>
            </c:strRef>
          </c:cat>
          <c:val>
            <c:numRef>
              <c:f>Institution!$P$2:$P$11</c:f>
              <c:numCache>
                <c:formatCode>General</c:formatCode>
                <c:ptCount val="10"/>
                <c:pt idx="0">
                  <c:v>81</c:v>
                </c:pt>
                <c:pt idx="1">
                  <c:v>49</c:v>
                </c:pt>
                <c:pt idx="2">
                  <c:v>47</c:v>
                </c:pt>
                <c:pt idx="3">
                  <c:v>47</c:v>
                </c:pt>
                <c:pt idx="4">
                  <c:v>43</c:v>
                </c:pt>
                <c:pt idx="5">
                  <c:v>42</c:v>
                </c:pt>
                <c:pt idx="6">
                  <c:v>39</c:v>
                </c:pt>
                <c:pt idx="7">
                  <c:v>33</c:v>
                </c:pt>
                <c:pt idx="8">
                  <c:v>31</c:v>
                </c:pt>
                <c:pt idx="9">
                  <c:v>25</c:v>
                </c:pt>
              </c:numCache>
            </c:numRef>
          </c:val>
        </c:ser>
        <c:dLbls>
          <c:showLegendKey val="0"/>
          <c:showVal val="0"/>
          <c:showCatName val="0"/>
          <c:showSerName val="0"/>
          <c:showPercent val="0"/>
          <c:showBubbleSize val="0"/>
        </c:dLbls>
        <c:gapWidth val="219"/>
        <c:overlap val="-27"/>
        <c:axId val="92435968"/>
        <c:axId val="92437504"/>
      </c:barChart>
      <c:catAx>
        <c:axId val="9243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437504"/>
        <c:crosses val="autoZero"/>
        <c:auto val="1"/>
        <c:lblAlgn val="ctr"/>
        <c:lblOffset val="100"/>
        <c:noMultiLvlLbl val="0"/>
      </c:catAx>
      <c:valAx>
        <c:axId val="924375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crossAx val="92435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Institution!$S$1</c:f>
              <c:strCache>
                <c:ptCount val="1"/>
                <c:pt idx="0">
                  <c:v>Number of PhD grantees hosted</c:v>
                </c:pt>
              </c:strCache>
            </c:strRef>
          </c:tx>
          <c:spPr>
            <a:solidFill>
              <a:schemeClr val="tx1"/>
            </a:solidFill>
            <a:ln>
              <a:noFill/>
            </a:ln>
            <a:effectLst/>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6"/>
            <c:invertIfNegative val="0"/>
            <c:bubble3D val="0"/>
          </c:dPt>
          <c:dPt>
            <c:idx val="7"/>
            <c:invertIfNegative val="0"/>
            <c:bubble3D val="0"/>
          </c:dPt>
          <c:dPt>
            <c:idx val="8"/>
            <c:invertIfNegative val="0"/>
            <c:bubble3D val="0"/>
          </c:dPt>
          <c:dPt>
            <c:idx val="9"/>
            <c:invertIfNegative val="0"/>
            <c:bubble3D val="0"/>
          </c:dPt>
          <c:dPt>
            <c:idx val="10"/>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Institution!$R$2:$R$12</c:f>
              <c:strCache>
                <c:ptCount val="11"/>
                <c:pt idx="0">
                  <c:v>APHRC</c:v>
                </c:pt>
                <c:pt idx="1">
                  <c:v>UCT</c:v>
                </c:pt>
                <c:pt idx="2">
                  <c:v>MRC, The Gambia</c:v>
                </c:pt>
                <c:pt idx="3">
                  <c:v>Makerere</c:v>
                </c:pt>
                <c:pt idx="4">
                  <c:v>Malawi</c:v>
                </c:pt>
                <c:pt idx="5">
                  <c:v>Wits</c:v>
                </c:pt>
                <c:pt idx="6">
                  <c:v>KEMRI</c:v>
                </c:pt>
                <c:pt idx="7">
                  <c:v>UO</c:v>
                </c:pt>
                <c:pt idx="8">
                  <c:v>Ibadan</c:v>
                </c:pt>
                <c:pt idx="9">
                  <c:v>UWC</c:v>
                </c:pt>
                <c:pt idx="10">
                  <c:v>UKZN</c:v>
                </c:pt>
              </c:strCache>
            </c:strRef>
          </c:cat>
          <c:val>
            <c:numRef>
              <c:f>Institution!$S$2:$S$12</c:f>
              <c:numCache>
                <c:formatCode>General</c:formatCode>
                <c:ptCount val="11"/>
                <c:pt idx="0">
                  <c:v>149</c:v>
                </c:pt>
                <c:pt idx="1">
                  <c:v>112</c:v>
                </c:pt>
                <c:pt idx="2">
                  <c:v>78</c:v>
                </c:pt>
                <c:pt idx="3">
                  <c:v>68</c:v>
                </c:pt>
                <c:pt idx="4">
                  <c:v>60</c:v>
                </c:pt>
                <c:pt idx="5">
                  <c:v>47</c:v>
                </c:pt>
                <c:pt idx="6">
                  <c:v>36</c:v>
                </c:pt>
                <c:pt idx="7">
                  <c:v>36</c:v>
                </c:pt>
                <c:pt idx="8">
                  <c:v>34</c:v>
                </c:pt>
                <c:pt idx="9">
                  <c:v>25</c:v>
                </c:pt>
                <c:pt idx="10">
                  <c:v>25</c:v>
                </c:pt>
              </c:numCache>
            </c:numRef>
          </c:val>
        </c:ser>
        <c:dLbls>
          <c:showLegendKey val="0"/>
          <c:showVal val="0"/>
          <c:showCatName val="0"/>
          <c:showSerName val="0"/>
          <c:showPercent val="0"/>
          <c:showBubbleSize val="0"/>
        </c:dLbls>
        <c:gapWidth val="219"/>
        <c:overlap val="-27"/>
        <c:axId val="93862912"/>
        <c:axId val="93864704"/>
      </c:barChart>
      <c:catAx>
        <c:axId val="9386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64704"/>
        <c:crosses val="autoZero"/>
        <c:auto val="1"/>
        <c:lblAlgn val="ctr"/>
        <c:lblOffset val="100"/>
        <c:noMultiLvlLbl val="0"/>
      </c:catAx>
      <c:valAx>
        <c:axId val="938647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3862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Country!$B$1</c:f>
              <c:strCache>
                <c:ptCount val="1"/>
                <c:pt idx="0">
                  <c:v># of institutions receiving funding for postgraduate degrees</c:v>
                </c:pt>
              </c:strCache>
            </c:strRef>
          </c:tx>
          <c:spPr>
            <a:solidFill>
              <a:schemeClr val="tx1"/>
            </a:solidFill>
            <a:ln>
              <a:noFill/>
            </a:ln>
            <a:effectLst/>
          </c:spPr>
          <c:invertIfNegative val="0"/>
          <c:cat>
            <c:strRef>
              <c:f>Country!$A$2:$A$31</c:f>
              <c:strCache>
                <c:ptCount val="30"/>
                <c:pt idx="0">
                  <c:v>South Africa </c:v>
                </c:pt>
                <c:pt idx="1">
                  <c:v>Kenya</c:v>
                </c:pt>
                <c:pt idx="2">
                  <c:v>Tanzania</c:v>
                </c:pt>
                <c:pt idx="3">
                  <c:v>Ethiopia</c:v>
                </c:pt>
                <c:pt idx="4">
                  <c:v>Nigeria</c:v>
                </c:pt>
                <c:pt idx="5">
                  <c:v>Cote d'Ivoire</c:v>
                </c:pt>
                <c:pt idx="6">
                  <c:v>Senegal</c:v>
                </c:pt>
                <c:pt idx="7">
                  <c:v>Cameroon</c:v>
                </c:pt>
                <c:pt idx="8">
                  <c:v>Benin</c:v>
                </c:pt>
                <c:pt idx="9">
                  <c:v>Burkina Faso</c:v>
                </c:pt>
                <c:pt idx="10">
                  <c:v>Mali</c:v>
                </c:pt>
                <c:pt idx="11">
                  <c:v>Ghana</c:v>
                </c:pt>
                <c:pt idx="12">
                  <c:v>Uganda</c:v>
                </c:pt>
                <c:pt idx="13">
                  <c:v>Sudan</c:v>
                </c:pt>
                <c:pt idx="14">
                  <c:v>Zimbabwe</c:v>
                </c:pt>
                <c:pt idx="15">
                  <c:v>Mozambique</c:v>
                </c:pt>
                <c:pt idx="16">
                  <c:v>Madgascar</c:v>
                </c:pt>
                <c:pt idx="17">
                  <c:v>South Sudan</c:v>
                </c:pt>
                <c:pt idx="18">
                  <c:v>Zambia</c:v>
                </c:pt>
                <c:pt idx="19">
                  <c:v>Mauritania</c:v>
                </c:pt>
                <c:pt idx="20">
                  <c:v>Chad</c:v>
                </c:pt>
                <c:pt idx="21">
                  <c:v>Angola</c:v>
                </c:pt>
                <c:pt idx="22">
                  <c:v>Niger</c:v>
                </c:pt>
                <c:pt idx="23">
                  <c:v>Botswana</c:v>
                </c:pt>
                <c:pt idx="24">
                  <c:v>Gabon</c:v>
                </c:pt>
                <c:pt idx="25">
                  <c:v>Togo</c:v>
                </c:pt>
                <c:pt idx="26">
                  <c:v>Rwanda</c:v>
                </c:pt>
                <c:pt idx="27">
                  <c:v>DRC</c:v>
                </c:pt>
                <c:pt idx="28">
                  <c:v>Malawi</c:v>
                </c:pt>
                <c:pt idx="29">
                  <c:v>Gambia, The</c:v>
                </c:pt>
              </c:strCache>
            </c:strRef>
          </c:cat>
          <c:val>
            <c:numRef>
              <c:f>Country!$B$2:$B$31</c:f>
              <c:numCache>
                <c:formatCode>General</c:formatCode>
                <c:ptCount val="30"/>
                <c:pt idx="0">
                  <c:v>17</c:v>
                </c:pt>
                <c:pt idx="1">
                  <c:v>14</c:v>
                </c:pt>
                <c:pt idx="2">
                  <c:v>12</c:v>
                </c:pt>
                <c:pt idx="3">
                  <c:v>11</c:v>
                </c:pt>
                <c:pt idx="4">
                  <c:v>11</c:v>
                </c:pt>
                <c:pt idx="5">
                  <c:v>7</c:v>
                </c:pt>
                <c:pt idx="6">
                  <c:v>7</c:v>
                </c:pt>
                <c:pt idx="7">
                  <c:v>6</c:v>
                </c:pt>
                <c:pt idx="8">
                  <c:v>5</c:v>
                </c:pt>
                <c:pt idx="9">
                  <c:v>5</c:v>
                </c:pt>
                <c:pt idx="10">
                  <c:v>4</c:v>
                </c:pt>
                <c:pt idx="11">
                  <c:v>4</c:v>
                </c:pt>
                <c:pt idx="12">
                  <c:v>4</c:v>
                </c:pt>
                <c:pt idx="13">
                  <c:v>3</c:v>
                </c:pt>
                <c:pt idx="14">
                  <c:v>3</c:v>
                </c:pt>
                <c:pt idx="15">
                  <c:v>3</c:v>
                </c:pt>
                <c:pt idx="16">
                  <c:v>2</c:v>
                </c:pt>
                <c:pt idx="17">
                  <c:v>2</c:v>
                </c:pt>
                <c:pt idx="18">
                  <c:v>2</c:v>
                </c:pt>
                <c:pt idx="19">
                  <c:v>1</c:v>
                </c:pt>
                <c:pt idx="20">
                  <c:v>1</c:v>
                </c:pt>
                <c:pt idx="21">
                  <c:v>1</c:v>
                </c:pt>
                <c:pt idx="22">
                  <c:v>1</c:v>
                </c:pt>
                <c:pt idx="23">
                  <c:v>1</c:v>
                </c:pt>
                <c:pt idx="24">
                  <c:v>1</c:v>
                </c:pt>
                <c:pt idx="25">
                  <c:v>1</c:v>
                </c:pt>
                <c:pt idx="26">
                  <c:v>1</c:v>
                </c:pt>
                <c:pt idx="27">
                  <c:v>1</c:v>
                </c:pt>
                <c:pt idx="28">
                  <c:v>1</c:v>
                </c:pt>
                <c:pt idx="29">
                  <c:v>1</c:v>
                </c:pt>
              </c:numCache>
            </c:numRef>
          </c:val>
          <c:extLst xmlns:c16r2="http://schemas.microsoft.com/office/drawing/2015/06/chart">
            <c:ext xmlns:c16="http://schemas.microsoft.com/office/drawing/2014/chart" uri="{C3380CC4-5D6E-409C-BE32-E72D297353CC}">
              <c16:uniqueId val="{00000000-9D87-1946-843B-DE6D16407A1D}"/>
            </c:ext>
          </c:extLst>
        </c:ser>
        <c:dLbls>
          <c:showLegendKey val="0"/>
          <c:showVal val="0"/>
          <c:showCatName val="0"/>
          <c:showSerName val="0"/>
          <c:showPercent val="0"/>
          <c:showBubbleSize val="0"/>
        </c:dLbls>
        <c:gapWidth val="219"/>
        <c:overlap val="-27"/>
        <c:axId val="93893376"/>
        <c:axId val="93894912"/>
      </c:barChart>
      <c:catAx>
        <c:axId val="9389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94912"/>
        <c:crosses val="autoZero"/>
        <c:auto val="1"/>
        <c:lblAlgn val="ctr"/>
        <c:lblOffset val="100"/>
        <c:noMultiLvlLbl val="0"/>
      </c:catAx>
      <c:valAx>
        <c:axId val="9389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9337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2017-10-30T00:00:00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EA04AE-A7F9-48EC-9A1C-0489CE54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1780</Words>
  <Characters>10889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Special Programme for Research and Training in Tropical Diseases</Company>
  <LinksUpToDate>false</LinksUpToDate>
  <CharactersWithSpaces>12644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Mapping of externally funded postgraduate students in the region, 2012 to 2017</dc:subject>
  <dc:creator>MAHER, Dermot Paul</dc:creator>
  <cp:lastModifiedBy>MAHER, Dermot Paul</cp:lastModifiedBy>
  <cp:revision>2</cp:revision>
  <cp:lastPrinted>2018-04-24T07:29:00Z</cp:lastPrinted>
  <dcterms:created xsi:type="dcterms:W3CDTF">2018-06-26T13:46:00Z</dcterms:created>
  <dcterms:modified xsi:type="dcterms:W3CDTF">2018-06-26T13:46:00Z</dcterms:modified>
</cp:coreProperties>
</file>