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992" w:rsidRDefault="00FC05AD">
      <w:pPr>
        <w:rPr>
          <w:rFonts w:ascii="Arial Narrow" w:hAnsi="Arial Narrow"/>
          <w:sz w:val="22"/>
          <w:szCs w:val="22"/>
          <w:lang w:val="en-US"/>
        </w:rPr>
      </w:pPr>
      <w:r>
        <w:rPr>
          <w:rFonts w:ascii="Arial Narrow" w:hAnsi="Arial Narrow"/>
          <w:b/>
          <w:sz w:val="22"/>
          <w:szCs w:val="22"/>
          <w:lang w:val="en-US"/>
        </w:rPr>
        <w:t>Additional F</w:t>
      </w:r>
      <w:r w:rsidR="00B95191">
        <w:rPr>
          <w:rFonts w:ascii="Arial Narrow" w:hAnsi="Arial Narrow"/>
          <w:b/>
          <w:sz w:val="22"/>
          <w:szCs w:val="22"/>
          <w:lang w:val="en-US"/>
        </w:rPr>
        <w:t>ile</w:t>
      </w:r>
      <w:r w:rsidR="0041585D">
        <w:rPr>
          <w:rFonts w:ascii="Arial Narrow" w:hAnsi="Arial Narrow"/>
          <w:b/>
          <w:sz w:val="22"/>
          <w:szCs w:val="22"/>
          <w:lang w:val="en-US"/>
        </w:rPr>
        <w:t xml:space="preserve"> 2 </w:t>
      </w:r>
      <w:bookmarkStart w:id="0" w:name="_GoBack"/>
      <w:bookmarkEnd w:id="0"/>
      <w:r w:rsidR="00D4359D">
        <w:rPr>
          <w:rFonts w:ascii="Arial Narrow" w:hAnsi="Arial Narrow"/>
          <w:sz w:val="22"/>
          <w:szCs w:val="22"/>
          <w:lang w:val="en-US"/>
        </w:rPr>
        <w:t>Rights based i</w:t>
      </w:r>
      <w:r w:rsidR="00DE444D">
        <w:rPr>
          <w:rFonts w:ascii="Arial Narrow" w:hAnsi="Arial Narrow"/>
          <w:sz w:val="22"/>
          <w:szCs w:val="22"/>
          <w:lang w:val="en-US"/>
        </w:rPr>
        <w:t xml:space="preserve">ndicators </w:t>
      </w:r>
      <w:r w:rsidR="00D4359D">
        <w:rPr>
          <w:rFonts w:ascii="Arial Narrow" w:hAnsi="Arial Narrow"/>
          <w:sz w:val="22"/>
          <w:szCs w:val="22"/>
          <w:lang w:val="en-US"/>
        </w:rPr>
        <w:t>for rehabilitation contribu</w:t>
      </w:r>
      <w:r w:rsidR="00647749">
        <w:rPr>
          <w:rFonts w:ascii="Arial Narrow" w:hAnsi="Arial Narrow"/>
          <w:sz w:val="22"/>
          <w:szCs w:val="22"/>
          <w:lang w:val="en-US"/>
        </w:rPr>
        <w:t xml:space="preserve">ted by stakeholder-participants </w:t>
      </w:r>
      <w:r w:rsidR="00D4359D">
        <w:rPr>
          <w:rFonts w:ascii="Arial Narrow" w:hAnsi="Arial Narrow"/>
          <w:sz w:val="22"/>
          <w:szCs w:val="22"/>
          <w:lang w:val="en-US"/>
        </w:rPr>
        <w:t>with B</w:t>
      </w:r>
      <w:r w:rsidR="00262488" w:rsidRPr="00C62C5D">
        <w:rPr>
          <w:rFonts w:ascii="Arial Narrow" w:hAnsi="Arial Narrow"/>
          <w:sz w:val="22"/>
          <w:szCs w:val="22"/>
          <w:lang w:val="en-US"/>
        </w:rPr>
        <w:t>ridging Index and rating scores for relative importan</w:t>
      </w:r>
      <w:r w:rsidR="00DE444D">
        <w:rPr>
          <w:rFonts w:ascii="Arial Narrow" w:hAnsi="Arial Narrow"/>
          <w:sz w:val="22"/>
          <w:szCs w:val="22"/>
          <w:lang w:val="en-US"/>
        </w:rPr>
        <w:t>ce and feasibility to implement, arranged by cluster in</w:t>
      </w:r>
      <w:r w:rsidR="003F1706">
        <w:rPr>
          <w:rFonts w:ascii="Arial Narrow" w:hAnsi="Arial Narrow"/>
          <w:sz w:val="22"/>
          <w:szCs w:val="22"/>
          <w:lang w:val="en-US"/>
        </w:rPr>
        <w:t xml:space="preserve"> descending order of importance. </w:t>
      </w:r>
    </w:p>
    <w:p w:rsidR="00003765" w:rsidRDefault="00003765">
      <w:pPr>
        <w:rPr>
          <w:lang w:val="en-US"/>
        </w:rPr>
      </w:pPr>
    </w:p>
    <w:p w:rsidR="00F94783" w:rsidRDefault="00F94783">
      <w:pPr>
        <w:rPr>
          <w:lang w:val="en-US"/>
        </w:rPr>
      </w:pPr>
    </w:p>
    <w:p w:rsidR="00F94783" w:rsidRDefault="00F94783">
      <w:pPr>
        <w:rPr>
          <w:lang w:val="en-US"/>
        </w:rPr>
      </w:pPr>
    </w:p>
    <w:tbl>
      <w:tblPr>
        <w:tblStyle w:val="MediumList2-Accent1"/>
        <w:tblW w:w="0" w:type="auto"/>
        <w:tblLook w:val="04A0" w:firstRow="1" w:lastRow="0" w:firstColumn="1" w:lastColumn="0" w:noHBand="0" w:noVBand="1"/>
      </w:tblPr>
      <w:tblGrid>
        <w:gridCol w:w="490"/>
        <w:gridCol w:w="10282"/>
        <w:gridCol w:w="504"/>
        <w:gridCol w:w="636"/>
        <w:gridCol w:w="553"/>
        <w:gridCol w:w="980"/>
        <w:gridCol w:w="636"/>
        <w:gridCol w:w="553"/>
        <w:gridCol w:w="980"/>
      </w:tblGrid>
      <w:tr w:rsidR="00F74C51" w:rsidRPr="009E09E5" w:rsidTr="00FC1D38">
        <w:trPr>
          <w:cnfStyle w:val="100000000000" w:firstRow="1" w:lastRow="0" w:firstColumn="0" w:lastColumn="0" w:oddVBand="0" w:evenVBand="0" w:oddHBand="0" w:evenHBand="0" w:firstRowFirstColumn="0" w:firstRowLastColumn="0" w:lastRowFirstColumn="0" w:lastRowLastColumn="0"/>
          <w:trHeight w:val="386"/>
        </w:trPr>
        <w:tc>
          <w:tcPr>
            <w:cnfStyle w:val="001000000100" w:firstRow="0" w:lastRow="0" w:firstColumn="1" w:lastColumn="0" w:oddVBand="0" w:evenVBand="0" w:oddHBand="0" w:evenHBand="0" w:firstRowFirstColumn="1" w:firstRowLastColumn="0" w:lastRowFirstColumn="0" w:lastRowLastColumn="0"/>
            <w:tcW w:w="0" w:type="auto"/>
            <w:gridSpan w:val="2"/>
            <w:noWrap/>
            <w:hideMark/>
          </w:tcPr>
          <w:p w:rsidR="00F74C51" w:rsidRPr="00693B2A" w:rsidRDefault="00F74C51" w:rsidP="007E1EB5">
            <w:pPr>
              <w:spacing w:before="120" w:line="276" w:lineRule="auto"/>
              <w:contextualSpacing/>
              <w:rPr>
                <w:rFonts w:ascii="Arial Narrow" w:hAnsi="Arial Narrow"/>
                <w:bCs/>
                <w:lang w:val="en-US"/>
              </w:rPr>
            </w:pPr>
            <w:r w:rsidRPr="00693B2A">
              <w:rPr>
                <w:rFonts w:ascii="Arial Narrow" w:hAnsi="Arial Narrow"/>
                <w:lang w:val="en-US"/>
              </w:rPr>
              <w:t>No</w:t>
            </w:r>
            <w:r w:rsidR="009E4780">
              <w:rPr>
                <w:rFonts w:ascii="Arial Narrow" w:hAnsi="Arial Narrow"/>
                <w:lang w:val="en-US"/>
              </w:rPr>
              <w:t>*</w:t>
            </w:r>
            <w:r w:rsidRPr="00693B2A">
              <w:rPr>
                <w:rFonts w:ascii="Arial Narrow" w:hAnsi="Arial Narrow"/>
                <w:lang w:val="en-US"/>
              </w:rPr>
              <w:t xml:space="preserve">   </w:t>
            </w:r>
            <w:r>
              <w:rPr>
                <w:rFonts w:ascii="Arial Narrow" w:hAnsi="Arial Narrow"/>
                <w:lang w:val="en-US"/>
              </w:rPr>
              <w:t xml:space="preserve"> </w:t>
            </w:r>
            <w:r w:rsidRPr="00693B2A">
              <w:rPr>
                <w:rFonts w:ascii="Arial Narrow" w:hAnsi="Arial Narrow"/>
                <w:lang w:val="en-US"/>
              </w:rPr>
              <w:t>Indicators per cluster</w:t>
            </w:r>
          </w:p>
        </w:tc>
        <w:tc>
          <w:tcPr>
            <w:tcW w:w="0" w:type="auto"/>
            <w:vAlign w:val="center"/>
            <w:hideMark/>
          </w:tcPr>
          <w:p w:rsidR="00F74C51" w:rsidRPr="00693B2A" w:rsidRDefault="00F74C51" w:rsidP="00FC1D38">
            <w:pPr>
              <w:spacing w:before="12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Cs/>
              </w:rPr>
            </w:pPr>
          </w:p>
        </w:tc>
        <w:tc>
          <w:tcPr>
            <w:tcW w:w="0" w:type="auto"/>
            <w:gridSpan w:val="3"/>
            <w:noWrap/>
            <w:vAlign w:val="center"/>
            <w:hideMark/>
          </w:tcPr>
          <w:p w:rsidR="00F74C51" w:rsidRPr="00693B2A" w:rsidRDefault="00F74C51" w:rsidP="00FC1D38">
            <w:pPr>
              <w:spacing w:before="12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Cs/>
              </w:rPr>
            </w:pPr>
            <w:r w:rsidRPr="00693B2A">
              <w:rPr>
                <w:rFonts w:ascii="Arial Narrow" w:hAnsi="Arial Narrow"/>
              </w:rPr>
              <w:t>Importance</w:t>
            </w:r>
          </w:p>
        </w:tc>
        <w:tc>
          <w:tcPr>
            <w:tcW w:w="0" w:type="auto"/>
            <w:gridSpan w:val="3"/>
            <w:noWrap/>
            <w:vAlign w:val="center"/>
            <w:hideMark/>
          </w:tcPr>
          <w:p w:rsidR="00F74C51" w:rsidRPr="00693B2A" w:rsidRDefault="00F74C51" w:rsidP="00FC1D38">
            <w:pPr>
              <w:spacing w:before="12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bCs/>
              </w:rPr>
            </w:pPr>
            <w:r w:rsidRPr="00693B2A">
              <w:rPr>
                <w:rFonts w:ascii="Arial Narrow" w:hAnsi="Arial Narrow"/>
              </w:rPr>
              <w:t>Feasibility</w:t>
            </w:r>
          </w:p>
        </w:tc>
      </w:tr>
      <w:tr w:rsidR="00F74C51" w:rsidRPr="009E09E5" w:rsidTr="00FC1D38">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rsidR="00F74C51" w:rsidRPr="009E09E5" w:rsidRDefault="00F74C51" w:rsidP="007E1EB5">
            <w:pPr>
              <w:spacing w:before="120" w:line="276" w:lineRule="auto"/>
              <w:contextualSpacing/>
              <w:rPr>
                <w:rFonts w:ascii="Arial Narrow" w:hAnsi="Arial Narrow"/>
                <w:b/>
                <w:bCs/>
              </w:rPr>
            </w:pPr>
          </w:p>
        </w:tc>
        <w:tc>
          <w:tcPr>
            <w:tcW w:w="0" w:type="auto"/>
            <w:vAlign w:val="center"/>
            <w:hideMark/>
          </w:tcPr>
          <w:p w:rsidR="00F74C51" w:rsidRPr="00693B2A" w:rsidRDefault="00F74C51"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r w:rsidRPr="00693B2A">
              <w:rPr>
                <w:rFonts w:ascii="Arial Narrow" w:hAnsi="Arial Narrow"/>
                <w:b/>
                <w:bCs/>
              </w:rPr>
              <w:t>BI</w:t>
            </w:r>
            <w:r w:rsidR="009E4780" w:rsidRPr="008A19B0">
              <w:rPr>
                <w:rFonts w:ascii="Arial Narrow" w:hAnsi="Arial Narrow"/>
                <w:b/>
                <w:bCs/>
                <w:vertAlign w:val="superscript"/>
              </w:rPr>
              <w:t>†</w:t>
            </w:r>
          </w:p>
        </w:tc>
        <w:tc>
          <w:tcPr>
            <w:tcW w:w="0" w:type="auto"/>
            <w:noWrap/>
            <w:vAlign w:val="center"/>
            <w:hideMark/>
          </w:tcPr>
          <w:p w:rsidR="00F74C51" w:rsidRPr="00693B2A" w:rsidRDefault="00F74C51"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r w:rsidRPr="00693B2A">
              <w:rPr>
                <w:rFonts w:ascii="Arial Narrow" w:hAnsi="Arial Narrow"/>
                <w:b/>
                <w:bCs/>
              </w:rPr>
              <w:t>Mean</w:t>
            </w:r>
          </w:p>
        </w:tc>
        <w:tc>
          <w:tcPr>
            <w:tcW w:w="0" w:type="auto"/>
            <w:noWrap/>
            <w:vAlign w:val="center"/>
            <w:hideMark/>
          </w:tcPr>
          <w:p w:rsidR="00F74C51" w:rsidRPr="00693B2A" w:rsidRDefault="00F74C51"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r w:rsidRPr="00693B2A">
              <w:rPr>
                <w:rFonts w:ascii="Arial Narrow" w:hAnsi="Arial Narrow"/>
                <w:b/>
                <w:bCs/>
              </w:rPr>
              <w:t>SD</w:t>
            </w:r>
          </w:p>
        </w:tc>
        <w:tc>
          <w:tcPr>
            <w:tcW w:w="0" w:type="auto"/>
            <w:noWrap/>
            <w:vAlign w:val="center"/>
            <w:hideMark/>
          </w:tcPr>
          <w:p w:rsidR="00F74C51" w:rsidRPr="00693B2A" w:rsidRDefault="00C0645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r>
              <w:rPr>
                <w:rFonts w:ascii="Arial Narrow" w:hAnsi="Arial Narrow"/>
                <w:b/>
                <w:bCs/>
              </w:rPr>
              <w:t xml:space="preserve">95% </w:t>
            </w:r>
            <w:r w:rsidR="00F74C51" w:rsidRPr="00693B2A">
              <w:rPr>
                <w:rFonts w:ascii="Arial Narrow" w:hAnsi="Arial Narrow"/>
                <w:b/>
                <w:bCs/>
              </w:rPr>
              <w:t>CI</w:t>
            </w:r>
          </w:p>
        </w:tc>
        <w:tc>
          <w:tcPr>
            <w:tcW w:w="0" w:type="auto"/>
            <w:noWrap/>
            <w:vAlign w:val="center"/>
            <w:hideMark/>
          </w:tcPr>
          <w:p w:rsidR="00F74C51" w:rsidRPr="00693B2A" w:rsidRDefault="00F74C51"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r w:rsidRPr="00693B2A">
              <w:rPr>
                <w:rFonts w:ascii="Arial Narrow" w:hAnsi="Arial Narrow"/>
                <w:b/>
                <w:bCs/>
              </w:rPr>
              <w:t>Mean</w:t>
            </w:r>
          </w:p>
        </w:tc>
        <w:tc>
          <w:tcPr>
            <w:tcW w:w="0" w:type="auto"/>
            <w:noWrap/>
            <w:vAlign w:val="center"/>
            <w:hideMark/>
          </w:tcPr>
          <w:p w:rsidR="00F74C51" w:rsidRPr="00693B2A" w:rsidRDefault="00F74C51"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r w:rsidRPr="00693B2A">
              <w:rPr>
                <w:rFonts w:ascii="Arial Narrow" w:hAnsi="Arial Narrow"/>
                <w:b/>
                <w:bCs/>
              </w:rPr>
              <w:t>SD</w:t>
            </w:r>
          </w:p>
        </w:tc>
        <w:tc>
          <w:tcPr>
            <w:tcW w:w="0" w:type="auto"/>
            <w:noWrap/>
            <w:vAlign w:val="center"/>
            <w:hideMark/>
          </w:tcPr>
          <w:p w:rsidR="00F74C51" w:rsidRPr="00693B2A" w:rsidRDefault="00C0645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r>
              <w:rPr>
                <w:rFonts w:ascii="Arial Narrow" w:hAnsi="Arial Narrow"/>
                <w:b/>
                <w:bCs/>
              </w:rPr>
              <w:t xml:space="preserve">95% </w:t>
            </w:r>
            <w:r w:rsidR="00F74C51" w:rsidRPr="00693B2A">
              <w:rPr>
                <w:rFonts w:ascii="Arial Narrow" w:hAnsi="Arial Narrow"/>
                <w:b/>
                <w:bCs/>
              </w:rPr>
              <w:t>CI</w:t>
            </w:r>
          </w:p>
        </w:tc>
      </w:tr>
      <w:tr w:rsidR="00DE444D" w:rsidRPr="00693B2A" w:rsidTr="00FC1D38">
        <w:trPr>
          <w:trHeight w:val="438"/>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rsidR="00DE444D" w:rsidRDefault="00DE444D" w:rsidP="00DE444D">
            <w:pPr>
              <w:spacing w:before="120" w:line="276" w:lineRule="auto"/>
              <w:contextualSpacing/>
              <w:rPr>
                <w:rFonts w:ascii="Arial Narrow" w:hAnsi="Arial Narrow"/>
                <w:bCs/>
              </w:rPr>
            </w:pPr>
            <w:r>
              <w:rPr>
                <w:rFonts w:ascii="Arial Narrow" w:hAnsi="Arial Narrow"/>
              </w:rPr>
              <w:t xml:space="preserve">         </w:t>
            </w:r>
          </w:p>
          <w:p w:rsidR="00DE444D" w:rsidRPr="00110C3D" w:rsidRDefault="00DE444D" w:rsidP="00DE444D">
            <w:pPr>
              <w:spacing w:before="120" w:line="276" w:lineRule="auto"/>
              <w:contextualSpacing/>
              <w:rPr>
                <w:rFonts w:ascii="Arial Narrow" w:hAnsi="Arial Narrow"/>
                <w:b/>
                <w:bCs/>
                <w:sz w:val="24"/>
                <w:szCs w:val="24"/>
              </w:rPr>
            </w:pPr>
            <w:r>
              <w:rPr>
                <w:rFonts w:ascii="Arial Narrow" w:hAnsi="Arial Narrow"/>
                <w:sz w:val="22"/>
                <w:szCs w:val="22"/>
              </w:rPr>
              <w:t xml:space="preserve">       </w:t>
            </w:r>
            <w:r w:rsidR="00F07623">
              <w:rPr>
                <w:rFonts w:ascii="Arial Narrow" w:hAnsi="Arial Narrow"/>
                <w:b/>
                <w:sz w:val="24"/>
                <w:szCs w:val="24"/>
              </w:rPr>
              <w:t>Legal C</w:t>
            </w:r>
            <w:r w:rsidR="00515E33">
              <w:rPr>
                <w:rFonts w:ascii="Arial Narrow" w:hAnsi="Arial Narrow"/>
                <w:b/>
                <w:sz w:val="24"/>
                <w:szCs w:val="24"/>
              </w:rPr>
              <w:t>ommitments and</w:t>
            </w:r>
            <w:r w:rsidR="00F07623">
              <w:rPr>
                <w:rFonts w:ascii="Arial Narrow" w:hAnsi="Arial Narrow"/>
                <w:b/>
                <w:sz w:val="24"/>
                <w:szCs w:val="24"/>
              </w:rPr>
              <w:t xml:space="preserve"> Strategic P</w:t>
            </w:r>
            <w:r w:rsidRPr="00110C3D">
              <w:rPr>
                <w:rFonts w:ascii="Arial Narrow" w:hAnsi="Arial Narrow"/>
                <w:b/>
                <w:sz w:val="24"/>
                <w:szCs w:val="24"/>
              </w:rPr>
              <w:t xml:space="preserve">riorities </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0.09</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3.15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-0.87</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(3.08; 3.22)</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3.32</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-0.83</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(3.25; 3.39)</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103</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Legislative provision prohibiting compulsory medical treatment and experimentation (yes/no)</w:t>
            </w:r>
            <w:r w:rsidR="005B78A2">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-1.07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(2.63; 3.32)</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3.53</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 3.76)</w:t>
            </w:r>
          </w:p>
        </w:tc>
      </w:tr>
      <w:tr w:rsidR="00DE444D"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20</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proofErr w:type="gramStart"/>
            <w:r w:rsidRPr="009E09E5">
              <w:rPr>
                <w:rFonts w:ascii="Arial Narrow" w:hAnsi="Arial Narrow"/>
              </w:rPr>
              <w:t>Constitutional guarantees to disability equality - The State takes</w:t>
            </w:r>
            <w:proofErr w:type="gramEnd"/>
            <w:r w:rsidRPr="009E09E5">
              <w:rPr>
                <w:rFonts w:ascii="Arial Narrow" w:hAnsi="Arial Narrow"/>
              </w:rPr>
              <w:t xml:space="preserve"> at least one approach to disability equality and </w:t>
            </w:r>
            <w:proofErr w:type="spellStart"/>
            <w:r w:rsidRPr="009E09E5">
              <w:rPr>
                <w:rFonts w:ascii="Arial Narrow" w:hAnsi="Arial Narrow"/>
              </w:rPr>
              <w:t>nondiscrimination</w:t>
            </w:r>
            <w:proofErr w:type="spellEnd"/>
            <w:r w:rsidRPr="009E09E5">
              <w:rPr>
                <w:rFonts w:ascii="Arial Narrow" w:hAnsi="Arial Narrow"/>
              </w:rPr>
              <w:t xml:space="preserve"> (yes/no)</w:t>
            </w:r>
            <w:r w:rsidR="005B78A2">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-0.92</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(3.06; 3.65)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3.61</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-0.69</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(3.39; 3.84)</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79</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State law explicitly prohibits discrimination in health insurance on the ground of disability or other pre-existing condition (yes/no)</w:t>
            </w:r>
            <w:r w:rsidR="005B78A2">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0.01</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3.42</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(3.17; 3.66)</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3.54</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(3.29; 3.8)</w:t>
            </w:r>
          </w:p>
        </w:tc>
      </w:tr>
      <w:tr w:rsidR="00DE444D" w:rsidRPr="00693B2A" w:rsidTr="00F540C8">
        <w:trPr>
          <w:trHeight w:val="40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14</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Date of entry into force and coverage of domestic legislation for the implementation of the right to health of</w:t>
            </w:r>
            <w:r w:rsidR="005B78A2">
              <w:rPr>
                <w:rFonts w:ascii="Arial Narrow" w:hAnsi="Arial Narrow"/>
              </w:rPr>
              <w:t xml:space="preserve"> persons with disability</w:t>
            </w:r>
            <w:r w:rsidRPr="009E09E5">
              <w:rPr>
                <w:rFonts w:ascii="Arial Narrow" w:hAnsi="Arial Narrow"/>
              </w:rPr>
              <w:t>, including leg</w:t>
            </w:r>
            <w:r w:rsidR="005B78A2">
              <w:rPr>
                <w:rFonts w:ascii="Arial Narrow" w:hAnsi="Arial Narrow"/>
              </w:rPr>
              <w:t>islation on rehabilitation care.</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0.01</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-0.79</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(2.88; 3.39)</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3.44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(3.17; 3.72)</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63</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The State has a law to ensure universal access to comprehensive rehabilitative care and assistive products for all (yes/no)</w:t>
            </w:r>
            <w:r w:rsidR="005B78A2">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0.01</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3.43</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(3.19; 3.68)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3.57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(3.34; 3.8)</w:t>
            </w:r>
          </w:p>
        </w:tc>
      </w:tr>
      <w:tr w:rsidR="00DE444D" w:rsidRPr="00693B2A" w:rsidTr="00F540C8">
        <w:trPr>
          <w:trHeight w:val="759"/>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15</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The concept of disability used in health laws, policies, programmes and regulations and in the collection of relevant statistical data is in line with the human rights approach to disability and the protection of the rights of all persons with disabilities regardless of impairment (yes</w:t>
            </w:r>
            <w:r w:rsidR="005B78A2">
              <w:rPr>
                <w:rFonts w:ascii="Arial Narrow" w:hAnsi="Arial Narrow"/>
              </w:rPr>
              <w:t>/no</w:t>
            </w:r>
            <w:r w:rsidRPr="009E09E5">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0.02</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3.28</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-0.88</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(2.99; 3.56)</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2.77</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-0.91</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(2.47; 3.07)</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35</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Status of ratification of international human rights treaties recognizing the right to health and their optional protocols</w:t>
            </w:r>
            <w:r w:rsidR="005B78A2">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0.03</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(2.91; 3.47)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3.67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(3.45; 3.89)</w:t>
            </w:r>
          </w:p>
        </w:tc>
      </w:tr>
      <w:tr w:rsidR="00DE444D" w:rsidRPr="00693B2A" w:rsidTr="00F540C8">
        <w:trPr>
          <w:trHeight w:val="77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28</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State regulations require healthcare providers to implement policies, procedures and/or protocols for partnering with patients, carers and consumers in: (</w:t>
            </w:r>
            <w:proofErr w:type="spellStart"/>
            <w:r w:rsidRPr="009E09E5">
              <w:rPr>
                <w:rFonts w:ascii="Arial Narrow" w:hAnsi="Arial Narrow"/>
              </w:rPr>
              <w:t>i</w:t>
            </w:r>
            <w:proofErr w:type="spellEnd"/>
            <w:r w:rsidRPr="009E09E5">
              <w:rPr>
                <w:rFonts w:ascii="Arial Narrow" w:hAnsi="Arial Narrow"/>
              </w:rPr>
              <w:t>) Strategic and operational/services planning (yes/no) (ii) Decision-making about safety and quality initiatives (yes/no) (iii)</w:t>
            </w:r>
            <w:r>
              <w:rPr>
                <w:rFonts w:ascii="Arial Narrow" w:hAnsi="Arial Narrow"/>
              </w:rPr>
              <w:t xml:space="preserve"> Quality improvement activities </w:t>
            </w:r>
            <w:r w:rsidRPr="009E09E5">
              <w:rPr>
                <w:rFonts w:ascii="Arial Narrow" w:hAnsi="Arial Narrow"/>
              </w:rPr>
              <w:t>(yes/no)</w:t>
            </w:r>
            <w:r w:rsidR="005B78A2">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0.04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-0.78</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(2.69; 3.2)</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2.78</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-1.05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(2.44; 3.12)</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56</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Law requires fines for the violation of accessibility standards in healthcare facilities (yes/no)</w:t>
            </w:r>
            <w:r w:rsidR="005B78A2">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0.04</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(2.39; 3.01)</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(2.88; 3.52)</w:t>
            </w:r>
          </w:p>
        </w:tc>
      </w:tr>
      <w:tr w:rsidR="00DE444D"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83</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Date of entry into force and coverage of the right to health of persons with disability in the constitution or other form of superior law</w:t>
            </w:r>
            <w:r w:rsidR="005B78A2">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0.04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2.89</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-0.99</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(2.57; 3.21)</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3.41</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-0.78</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(3.16; 3.67)</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17</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 xml:space="preserve">National health or disability strategy addresses priority health related rehabilitation issues (yes/no). </w:t>
            </w:r>
            <w:r w:rsidRPr="00693B2A">
              <w:rPr>
                <w:rFonts w:ascii="Arial Narrow" w:hAnsi="Arial Narrow"/>
              </w:rPr>
              <w:t>Describe and specify.</w:t>
            </w:r>
            <w:r>
              <w:rPr>
                <w:rFonts w:ascii="Arial Narrow" w:hAnsi="Arial Narrow"/>
              </w:rPr>
              <w:t xml:space="preserve"> </w:t>
            </w:r>
            <w:r w:rsidR="005B78A2">
              <w:rPr>
                <w:rFonts w:ascii="Arial Narrow" w:hAnsi="Arial Narrow"/>
              </w:rPr>
              <w:t>Timeframe and coverage.</w:t>
            </w:r>
            <w:r w:rsidRPr="009E09E5">
              <w:rPr>
                <w:rFonts w:ascii="Arial Narrow" w:hAnsi="Arial Narrow"/>
              </w:rPr>
              <w:t xml:space="preserve"> </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0.09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3.41</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-0.76</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(3.16; 3.65)</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(2.99; 3.58)</w:t>
            </w:r>
          </w:p>
        </w:tc>
      </w:tr>
      <w:tr w:rsidR="00DE444D"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66</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National disaster preparedness and relief plans are inclusive of health related rehabilitation (yes/no).</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0.13</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3.27</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(3.01; 3.53)</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3.37</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-0.69</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(3.15; 3.6)</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50</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Evidence documenting (a) establishment of an operational, budgeted, multi sectoral national rehabilitation action plan aligned with WHO international and or regional action plans, (b) target setting process, (c) implementation activities, (d) monitoring and evaluation plan</w:t>
            </w:r>
            <w:r>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0.13</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3.41</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-0.72</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(3.17; 3.64)</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-0.91</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 3.3)</w:t>
            </w:r>
          </w:p>
        </w:tc>
      </w:tr>
      <w:tr w:rsidR="00DE444D"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81</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Legally binding national accessibility standards/guidelin</w:t>
            </w:r>
            <w:r>
              <w:rPr>
                <w:rFonts w:ascii="Arial Narrow" w:hAnsi="Arial Narrow"/>
              </w:rPr>
              <w:t>es established and documented (yes/no). Y</w:t>
            </w:r>
            <w:r w:rsidRPr="009E09E5">
              <w:rPr>
                <w:rFonts w:ascii="Arial Narrow" w:hAnsi="Arial Narrow"/>
              </w:rPr>
              <w:t>ear of adoption</w:t>
            </w:r>
            <w:r w:rsidR="005B78A2">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0.13</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3.22</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-0.93</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(2.92; 3.52)</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3.54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-0.66</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(3.33; 3.76)</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39</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The State's most recent overseas development assistance policy framework includes specific provisions to strengthen rehabilitation services and assistive technologies (yes/no)</w:t>
            </w:r>
            <w:r>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0.22</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(2.36; 2.99)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3.11</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(2.79; 3.44)</w:t>
            </w:r>
          </w:p>
        </w:tc>
      </w:tr>
      <w:tr w:rsidR="00DE444D" w:rsidRPr="00693B2A" w:rsidTr="00F540C8">
        <w:trPr>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97</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Existence of an Operational Unit, Branch or Dept. in the Ministry of Health (or other Ministry) with responsibility for rehabilitation services/ assistive technologies policy development, implementation, monitoring and</w:t>
            </w:r>
            <w:r>
              <w:rPr>
                <w:rFonts w:ascii="Arial Narrow" w:hAnsi="Arial Narrow"/>
              </w:rPr>
              <w:t xml:space="preserve"> evaluation</w:t>
            </w:r>
            <w:r w:rsidR="005B78A2">
              <w:rPr>
                <w:rFonts w:ascii="Arial Narrow" w:hAnsi="Arial Narrow"/>
              </w:rPr>
              <w:t xml:space="preserve"> (yes/no).  </w:t>
            </w:r>
            <w:r w:rsidRPr="009E09E5">
              <w:rPr>
                <w:rFonts w:ascii="Arial Narrow" w:hAnsi="Arial Narrow"/>
              </w:rPr>
              <w:t>Jurisdiction and scope.</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0.28</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3.22</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-0.79</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(2.96; 3.47)</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3.39</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(3.12; 3.66)</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88</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Existence of government approved evidence based guidelines for the rehabilitation of a wide range of disabling conditions through a multidisciplinary t</w:t>
            </w:r>
            <w:r>
              <w:rPr>
                <w:rFonts w:ascii="Arial Narrow" w:hAnsi="Arial Narrow"/>
              </w:rPr>
              <w:t>eam approach</w:t>
            </w:r>
            <w:r w:rsidRPr="009E09E5">
              <w:rPr>
                <w:rFonts w:ascii="Arial Narrow" w:hAnsi="Arial Narrow"/>
              </w:rPr>
              <w:t xml:space="preserve"> (yes/no)</w:t>
            </w:r>
            <w:r>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0.29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3.03</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-0.83</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(2.76; 3.3)</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(2.94; 3.46)</w:t>
            </w:r>
          </w:p>
        </w:tc>
      </w:tr>
      <w:tr w:rsidR="00DE444D" w:rsidRPr="00693B2A" w:rsidTr="00FC1D38">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rsidR="00003765" w:rsidRPr="009E09E5" w:rsidRDefault="00003765" w:rsidP="00DE444D">
            <w:pPr>
              <w:spacing w:before="120" w:line="276" w:lineRule="auto"/>
              <w:contextualSpacing/>
              <w:rPr>
                <w:rFonts w:ascii="Arial Narrow" w:hAnsi="Arial Narrow"/>
                <w:bCs/>
              </w:rPr>
            </w:pPr>
          </w:p>
          <w:p w:rsidR="00DE444D" w:rsidRPr="00003765" w:rsidRDefault="00DE444D" w:rsidP="00DE444D">
            <w:pPr>
              <w:spacing w:before="120" w:line="276" w:lineRule="auto"/>
              <w:contextualSpacing/>
              <w:rPr>
                <w:rFonts w:ascii="Arial Narrow" w:hAnsi="Arial Narrow"/>
              </w:rPr>
            </w:pPr>
            <w:r>
              <w:rPr>
                <w:rFonts w:ascii="Arial Narrow" w:hAnsi="Arial Narrow"/>
              </w:rPr>
              <w:t xml:space="preserve">        </w:t>
            </w:r>
            <w:r w:rsidR="00515E33">
              <w:rPr>
                <w:rFonts w:ascii="Arial Narrow" w:hAnsi="Arial Narrow"/>
                <w:b/>
                <w:sz w:val="24"/>
                <w:szCs w:val="24"/>
              </w:rPr>
              <w:t>Monitoring and</w:t>
            </w:r>
            <w:r w:rsidRPr="00110C3D">
              <w:rPr>
                <w:rFonts w:ascii="Arial Narrow" w:hAnsi="Arial Narrow"/>
                <w:b/>
                <w:sz w:val="24"/>
                <w:szCs w:val="24"/>
              </w:rPr>
              <w:t xml:space="preserve"> Accountability </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0.49</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3.03</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-0.83</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(2.93; 3.13)</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2.83</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-0.95</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(2.71; 2.95)</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52</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Existence of a unified accounting system to track allocation of funds to health related rehabilitation services integrated within the overall health expenditure tracking system (yes/no)</w:t>
            </w:r>
            <w:r>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2.95</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(2.66; 3.23)</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-1.08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(2.45; 3.15)</w:t>
            </w:r>
          </w:p>
        </w:tc>
      </w:tr>
      <w:tr w:rsidR="00DE444D" w:rsidRPr="00693B2A" w:rsidTr="00F540C8">
        <w:trPr>
          <w:trHeight w:val="403"/>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58</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Existence of a national set of relevant indicators with targets and annual reporting to inform annual rehabilitation sector reviews and other planning cycles (yes/no)</w:t>
            </w:r>
            <w:r>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0.41</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-0.89</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(2.95; 3.53)</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-0.73</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 3.38)</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18</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Rehabilitation service delivery regulations, quality specifications and professional standards</w:t>
            </w:r>
            <w:r>
              <w:rPr>
                <w:rFonts w:ascii="Arial Narrow" w:hAnsi="Arial Narrow"/>
              </w:rPr>
              <w:t xml:space="preserve"> are established and documented</w:t>
            </w:r>
            <w:r w:rsidRPr="009E09E5">
              <w:rPr>
                <w:rFonts w:ascii="Arial Narrow" w:hAnsi="Arial Narrow"/>
              </w:rPr>
              <w:t xml:space="preserve"> (yes/no).Year of last update.</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0.45</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3.14</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-0.75</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(2.89; 3.38)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 3.37)</w:t>
            </w:r>
          </w:p>
        </w:tc>
      </w:tr>
      <w:tr w:rsidR="00DE444D"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48</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The State has conducted an overall assessment of the performance of the rehabilitation care system in the last 5 years (yes/no)</w:t>
            </w:r>
            <w:r>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(2.99; 3.5)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3.23</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-0.88</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(2.94; 3.52)</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54</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Percentage of public health campaigns including clear messages about the benefits of health related rehabilitation as % of public health campaigns run by the State in the reporting period</w:t>
            </w:r>
            <w:r>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0.51</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2.56</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-0.81</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(2.29; 2.82)</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2.46</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-0.95</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(2.15; 2.77)</w:t>
            </w:r>
          </w:p>
        </w:tc>
      </w:tr>
      <w:tr w:rsidR="00DE444D" w:rsidRPr="00693B2A" w:rsidTr="00F540C8">
        <w:trPr>
          <w:trHeight w:val="68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53</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Number of complaints on the right to health received by persons with disabilities concerning rehabilitation issues, investigated or adjudicated by the competent national human rights protection agencies in the State, and the proportion responded to effectively by the Government in the reporting period</w:t>
            </w:r>
            <w:r>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0.58</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2.86</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-0.89</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(2.58; 3.15)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2.37</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-1.09</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(2.02; 2.73)</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37</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Availability of an integrated Informat</w:t>
            </w:r>
            <w:r w:rsidR="005B78A2">
              <w:rPr>
                <w:rFonts w:ascii="Arial Narrow" w:hAnsi="Arial Narrow"/>
              </w:rPr>
              <w:t>ion System on the health-related rehabilitation w</w:t>
            </w:r>
            <w:r w:rsidRPr="009E09E5">
              <w:rPr>
                <w:rFonts w:ascii="Arial Narrow" w:hAnsi="Arial Narrow"/>
              </w:rPr>
              <w:t>orkforce, providing periodically updated data on the size, type, geographical distribution, competencies and skill mix of the national stock of workers</w:t>
            </w:r>
            <w:r>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(2.94; 3.44)</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2.72</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 3.04)</w:t>
            </w:r>
          </w:p>
        </w:tc>
      </w:tr>
      <w:tr w:rsidR="00DE444D" w:rsidRPr="00693B2A" w:rsidTr="00FC1D38">
        <w:trPr>
          <w:trHeight w:val="415"/>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rsidR="00DE444D" w:rsidRDefault="00DE444D" w:rsidP="00DE444D">
            <w:pPr>
              <w:spacing w:before="120" w:line="276" w:lineRule="auto"/>
              <w:contextualSpacing/>
              <w:rPr>
                <w:rFonts w:ascii="Arial Narrow" w:hAnsi="Arial Narrow"/>
                <w:bCs/>
                <w:sz w:val="22"/>
                <w:szCs w:val="22"/>
              </w:rPr>
            </w:pPr>
            <w:r w:rsidRPr="00A85EAE">
              <w:rPr>
                <w:rFonts w:ascii="Arial Narrow" w:hAnsi="Arial Narrow"/>
                <w:sz w:val="22"/>
                <w:szCs w:val="22"/>
              </w:rPr>
              <w:t xml:space="preserve">       </w:t>
            </w:r>
          </w:p>
          <w:p w:rsidR="00DE444D" w:rsidRPr="00110C3D" w:rsidRDefault="00DE444D" w:rsidP="00DE444D">
            <w:pPr>
              <w:spacing w:before="120" w:line="276" w:lineRule="auto"/>
              <w:contextualSpacing/>
              <w:rPr>
                <w:rFonts w:ascii="Arial Narrow" w:hAnsi="Arial Narrow"/>
                <w:b/>
                <w:bCs/>
                <w:sz w:val="24"/>
                <w:szCs w:val="24"/>
              </w:rPr>
            </w:pPr>
            <w:r w:rsidRPr="00A85EAE">
              <w:rPr>
                <w:rFonts w:ascii="Arial Narrow" w:hAnsi="Arial Narrow"/>
                <w:sz w:val="22"/>
                <w:szCs w:val="22"/>
              </w:rPr>
              <w:t xml:space="preserve"> </w:t>
            </w:r>
            <w:r>
              <w:rPr>
                <w:rFonts w:ascii="Arial Narrow" w:hAnsi="Arial Narrow"/>
                <w:sz w:val="22"/>
                <w:szCs w:val="22"/>
              </w:rPr>
              <w:t xml:space="preserve">      </w:t>
            </w:r>
            <w:r w:rsidR="00F07623">
              <w:rPr>
                <w:rFonts w:ascii="Arial Narrow" w:hAnsi="Arial Narrow"/>
                <w:b/>
                <w:sz w:val="24"/>
                <w:szCs w:val="24"/>
              </w:rPr>
              <w:t>Evidence I</w:t>
            </w:r>
            <w:r w:rsidR="00515E33">
              <w:rPr>
                <w:rFonts w:ascii="Arial Narrow" w:hAnsi="Arial Narrow"/>
                <w:b/>
                <w:sz w:val="24"/>
                <w:szCs w:val="24"/>
              </w:rPr>
              <w:t>nformed and</w:t>
            </w:r>
            <w:r w:rsidR="00F07623">
              <w:rPr>
                <w:rFonts w:ascii="Arial Narrow" w:hAnsi="Arial Narrow"/>
                <w:b/>
                <w:sz w:val="24"/>
                <w:szCs w:val="24"/>
              </w:rPr>
              <w:t xml:space="preserve"> R</w:t>
            </w:r>
            <w:r w:rsidRPr="00F540C8">
              <w:rPr>
                <w:rFonts w:ascii="Arial Narrow" w:hAnsi="Arial Narrow"/>
                <w:b/>
                <w:sz w:val="24"/>
                <w:szCs w:val="24"/>
              </w:rPr>
              <w:t>ights</w:t>
            </w:r>
            <w:r w:rsidR="00F07623">
              <w:rPr>
                <w:rFonts w:ascii="Arial Narrow" w:hAnsi="Arial Narrow"/>
                <w:b/>
                <w:sz w:val="24"/>
                <w:szCs w:val="24"/>
              </w:rPr>
              <w:t xml:space="preserve"> Based P</w:t>
            </w:r>
            <w:r w:rsidRPr="00110C3D">
              <w:rPr>
                <w:rFonts w:ascii="Arial Narrow" w:hAnsi="Arial Narrow"/>
                <w:b/>
                <w:sz w:val="24"/>
                <w:szCs w:val="24"/>
              </w:rPr>
              <w:t xml:space="preserve">rogramming </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0.25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2.96</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-0.86</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(2.88; 3.04)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3.14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-0.86</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(3.06; 3.22)</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104</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The State has clearly defined priorities for research on rehabilitation in the most recent national health research policy statements (yes/no). Timeframe and coverage</w:t>
            </w:r>
            <w:r w:rsidR="0035728A">
              <w:rPr>
                <w:rFonts w:ascii="Arial Narrow" w:hAnsi="Arial Narrow"/>
              </w:rPr>
              <w:t>.</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0.08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 3.07)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3.22</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-0.83</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(2.95; 3.49)</w:t>
            </w:r>
          </w:p>
        </w:tc>
      </w:tr>
      <w:tr w:rsidR="00DE444D" w:rsidRPr="00693B2A" w:rsidTr="00F540C8">
        <w:trPr>
          <w:trHeight w:val="521"/>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40</w:t>
            </w:r>
          </w:p>
        </w:tc>
        <w:tc>
          <w:tcPr>
            <w:tcW w:w="0" w:type="auto"/>
            <w:vAlign w:val="center"/>
            <w:hideMark/>
          </w:tcPr>
          <w:p w:rsidR="00DE444D" w:rsidRPr="008A19B0" w:rsidRDefault="00DE444D" w:rsidP="00F540C8">
            <w:pPr>
              <w:pStyle w:val="Salutation"/>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8A19B0">
              <w:rPr>
                <w:rFonts w:ascii="Arial Narrow" w:hAnsi="Arial Narrow"/>
              </w:rPr>
              <w:t>Existence of national multi-sectoral commission, agency or mechanism for the coordination of disability policy and the implementation of the CRPD (yes/no). Scope &amp; functions.</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0.08</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3.33</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-0.83</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(3.07; 3.6)</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3.51</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-0.61</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(3.31; 3.71)</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71</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The State has a budgeted plan to raise awareness about disability issues among health professionals which involves persons with disabilities and their representative organizations (yes/no). Timeframe and coverage.</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0.11</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2.92</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(2.66; 3.18)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3.06</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-0.76</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(2.81; 3.31)</w:t>
            </w:r>
          </w:p>
        </w:tc>
      </w:tr>
      <w:tr w:rsidR="00DE444D" w:rsidRPr="00693B2A" w:rsidTr="00F540C8">
        <w:trPr>
          <w:trHeight w:val="48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70</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The State has a systematic plan and coordinating unit for acquiring and using rehabilitation research information and for sharing and transferring knowledge (yes/no).</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0.14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-0.78</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(2.75; 3.25)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3.06</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-0.87</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(2.77; 3.34)</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100</w:t>
            </w:r>
          </w:p>
        </w:tc>
        <w:tc>
          <w:tcPr>
            <w:tcW w:w="0" w:type="auto"/>
            <w:vAlign w:val="center"/>
            <w:hideMark/>
          </w:tcPr>
          <w:p w:rsidR="00DE444D" w:rsidRPr="007E1EB5" w:rsidRDefault="00DE444D" w:rsidP="00F540C8">
            <w:pPr>
              <w:pStyle w:val="Salutation"/>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7E1EB5">
              <w:rPr>
                <w:rFonts w:ascii="Arial Narrow" w:hAnsi="Arial Narrow"/>
              </w:rPr>
              <w:t>Existence of accessible pre-judicial mechanisms to lodge complaints alleging breach of obligations connected to the right to health. Jurisdiction and</w:t>
            </w:r>
            <w:r w:rsidR="00F540C8">
              <w:rPr>
                <w:rFonts w:ascii="Arial Narrow" w:hAnsi="Arial Narrow"/>
              </w:rPr>
              <w:t xml:space="preserve"> scope.</w:t>
            </w:r>
          </w:p>
        </w:tc>
        <w:tc>
          <w:tcPr>
            <w:tcW w:w="0" w:type="auto"/>
            <w:noWrap/>
            <w:vAlign w:val="center"/>
            <w:hideMark/>
          </w:tcPr>
          <w:p w:rsidR="00DE444D" w:rsidRPr="00693B2A" w:rsidRDefault="00DE444D" w:rsidP="00F540C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0.19</w:t>
            </w:r>
          </w:p>
        </w:tc>
        <w:tc>
          <w:tcPr>
            <w:tcW w:w="0" w:type="auto"/>
            <w:noWrap/>
            <w:vAlign w:val="center"/>
            <w:hideMark/>
          </w:tcPr>
          <w:p w:rsidR="00DE444D" w:rsidRPr="00693B2A" w:rsidRDefault="00DE444D" w:rsidP="00F540C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2.92</w:t>
            </w:r>
          </w:p>
        </w:tc>
        <w:tc>
          <w:tcPr>
            <w:tcW w:w="0" w:type="auto"/>
            <w:noWrap/>
            <w:vAlign w:val="center"/>
            <w:hideMark/>
          </w:tcPr>
          <w:p w:rsidR="00DE444D" w:rsidRPr="00693B2A" w:rsidRDefault="00DE444D" w:rsidP="00F540C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-0.83</w:t>
            </w:r>
          </w:p>
        </w:tc>
        <w:tc>
          <w:tcPr>
            <w:tcW w:w="0" w:type="auto"/>
            <w:noWrap/>
            <w:vAlign w:val="center"/>
            <w:hideMark/>
          </w:tcPr>
          <w:p w:rsidR="00DE444D" w:rsidRPr="00693B2A" w:rsidRDefault="00DE444D" w:rsidP="00F540C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(2.65; 3.19)</w:t>
            </w:r>
          </w:p>
        </w:tc>
        <w:tc>
          <w:tcPr>
            <w:tcW w:w="0" w:type="auto"/>
            <w:noWrap/>
            <w:vAlign w:val="center"/>
            <w:hideMark/>
          </w:tcPr>
          <w:p w:rsidR="00DE444D" w:rsidRPr="00693B2A" w:rsidRDefault="00DE444D" w:rsidP="00F540C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2.88</w:t>
            </w:r>
          </w:p>
        </w:tc>
        <w:tc>
          <w:tcPr>
            <w:tcW w:w="0" w:type="auto"/>
            <w:noWrap/>
            <w:vAlign w:val="center"/>
            <w:hideMark/>
          </w:tcPr>
          <w:p w:rsidR="00DE444D" w:rsidRPr="00693B2A" w:rsidRDefault="00DE444D" w:rsidP="00F540C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-0.91</w:t>
            </w:r>
          </w:p>
        </w:tc>
        <w:tc>
          <w:tcPr>
            <w:tcW w:w="0" w:type="auto"/>
            <w:noWrap/>
            <w:vAlign w:val="center"/>
            <w:hideMark/>
          </w:tcPr>
          <w:p w:rsidR="00DE444D" w:rsidRPr="00693B2A" w:rsidRDefault="00DE444D" w:rsidP="00F540C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(2.58; 3.18)</w:t>
            </w:r>
          </w:p>
        </w:tc>
      </w:tr>
      <w:tr w:rsidR="00DE444D"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59</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Confidentiality of health and rehabilitation records protected by law (yes/no).</w:t>
            </w:r>
          </w:p>
        </w:tc>
        <w:tc>
          <w:tcPr>
            <w:tcW w:w="0" w:type="auto"/>
            <w:noWrap/>
            <w:vAlign w:val="center"/>
            <w:hideMark/>
          </w:tcPr>
          <w:p w:rsidR="00DE444D" w:rsidRPr="00693B2A" w:rsidRDefault="00DE444D" w:rsidP="00F540C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0.2</w:t>
            </w:r>
          </w:p>
        </w:tc>
        <w:tc>
          <w:tcPr>
            <w:tcW w:w="0" w:type="auto"/>
            <w:noWrap/>
            <w:vAlign w:val="center"/>
            <w:hideMark/>
          </w:tcPr>
          <w:p w:rsidR="00DE444D" w:rsidRPr="00693B2A" w:rsidRDefault="00DE444D" w:rsidP="00F540C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2.83</w:t>
            </w:r>
          </w:p>
        </w:tc>
        <w:tc>
          <w:tcPr>
            <w:tcW w:w="0" w:type="auto"/>
            <w:noWrap/>
            <w:vAlign w:val="center"/>
            <w:hideMark/>
          </w:tcPr>
          <w:p w:rsidR="00DE444D" w:rsidRPr="00693B2A" w:rsidRDefault="00DE444D" w:rsidP="00F540C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-0.88</w:t>
            </w:r>
          </w:p>
        </w:tc>
        <w:tc>
          <w:tcPr>
            <w:tcW w:w="0" w:type="auto"/>
            <w:noWrap/>
            <w:vAlign w:val="center"/>
            <w:hideMark/>
          </w:tcPr>
          <w:p w:rsidR="00DE444D" w:rsidRPr="00693B2A" w:rsidRDefault="00DE444D" w:rsidP="00F540C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(2.55; 3.12)</w:t>
            </w:r>
          </w:p>
        </w:tc>
        <w:tc>
          <w:tcPr>
            <w:tcW w:w="0" w:type="auto"/>
            <w:noWrap/>
            <w:vAlign w:val="center"/>
            <w:hideMark/>
          </w:tcPr>
          <w:p w:rsidR="00DE444D" w:rsidRPr="00693B2A" w:rsidRDefault="00DE444D" w:rsidP="00F540C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3.46</w:t>
            </w:r>
          </w:p>
        </w:tc>
        <w:tc>
          <w:tcPr>
            <w:tcW w:w="0" w:type="auto"/>
            <w:noWrap/>
            <w:vAlign w:val="center"/>
            <w:hideMark/>
          </w:tcPr>
          <w:p w:rsidR="00DE444D" w:rsidRPr="00693B2A" w:rsidRDefault="00DE444D" w:rsidP="00F540C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-0.82</w:t>
            </w:r>
          </w:p>
        </w:tc>
        <w:tc>
          <w:tcPr>
            <w:tcW w:w="0" w:type="auto"/>
            <w:noWrap/>
            <w:vAlign w:val="center"/>
            <w:hideMark/>
          </w:tcPr>
          <w:p w:rsidR="00DE444D" w:rsidRPr="00693B2A" w:rsidRDefault="00DE444D" w:rsidP="00F540C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(3.19; 3.72)</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49</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The concept of "Assistive Devices' Single Window Service" provision is documented in national policy statements and implemented.</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0.22</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-1.02</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(2.16; 2.81)</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2.94</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-1.03</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(2.61; 3.28)</w:t>
            </w:r>
          </w:p>
        </w:tc>
      </w:tr>
      <w:tr w:rsidR="00DE444D" w:rsidRPr="00693B2A" w:rsidTr="00F540C8">
        <w:trPr>
          <w:trHeight w:val="42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44</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Existence of a government website which meets the ISO/IEC 40500:2012 standards of accessibility for web content with latest report and data about rehabilitation services available to the general public (yes/no).</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0.25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2.89</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-0.97</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(2.58; 3.2)</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3.43</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(3.21; 3.64)</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67</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Evidence on the existence of formal collaboration between (a) the department/agency responsible for rehabilitation and (b) the department/agency responsible for: (</w:t>
            </w:r>
            <w:proofErr w:type="spellStart"/>
            <w:r w:rsidRPr="009E09E5">
              <w:rPr>
                <w:rFonts w:ascii="Arial Narrow" w:hAnsi="Arial Narrow"/>
              </w:rPr>
              <w:t>i</w:t>
            </w:r>
            <w:proofErr w:type="spellEnd"/>
            <w:r w:rsidRPr="009E09E5">
              <w:rPr>
                <w:rFonts w:ascii="Arial Narrow" w:hAnsi="Arial Narrow"/>
              </w:rPr>
              <w:t>) employment, (ii) education, (iii) welfare (iii) CRPD implementation.</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0.25</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3.35</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-0.63</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(3.15; 3.56)</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2.86</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(2.54; 3.18)</w:t>
            </w:r>
          </w:p>
        </w:tc>
      </w:tr>
      <w:tr w:rsidR="00DE444D" w:rsidRPr="00693B2A" w:rsidTr="00F540C8">
        <w:trPr>
          <w:trHeight w:val="55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57</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State has established inclusive procedures or mechanisms for consultation with disabled people's organizations at national, sub-national and local levels (yes/no).</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0.31</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-0.72</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(3.12; 3.58)</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-0.82</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(2.88; 3.42)</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24</w:t>
            </w:r>
          </w:p>
        </w:tc>
        <w:tc>
          <w:tcPr>
            <w:tcW w:w="0" w:type="auto"/>
            <w:vAlign w:val="center"/>
            <w:hideMark/>
          </w:tcPr>
          <w:p w:rsidR="00DE444D" w:rsidRPr="009E09E5" w:rsidRDefault="00DE444D"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Charter of patient rights published and available in accessible formats (yes/no).</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0.31</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3.08</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(2.79; 3.37)</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3.46</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-0.74</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(3.21; 3.7)</w:t>
            </w:r>
          </w:p>
        </w:tc>
      </w:tr>
      <w:tr w:rsidR="00DE444D" w:rsidRPr="00693B2A" w:rsidTr="00F540C8">
        <w:trPr>
          <w:trHeight w:val="7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lastRenderedPageBreak/>
              <w:t>75</w:t>
            </w:r>
          </w:p>
        </w:tc>
        <w:tc>
          <w:tcPr>
            <w:tcW w:w="0" w:type="auto"/>
            <w:vAlign w:val="center"/>
            <w:hideMark/>
          </w:tcPr>
          <w:p w:rsidR="00DE444D" w:rsidRPr="009E09E5" w:rsidRDefault="00DE444D"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Existence of a participatory forum and disability inclusive process to coordinate the setting of national rehabilitation research priorities (yes/no).</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(2.64; 3.25)</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-0.94</w:t>
            </w:r>
          </w:p>
        </w:tc>
        <w:tc>
          <w:tcPr>
            <w:tcW w:w="0" w:type="auto"/>
            <w:noWrap/>
            <w:vAlign w:val="center"/>
            <w:hideMark/>
          </w:tcPr>
          <w:p w:rsidR="00DE444D" w:rsidRPr="00693B2A" w:rsidRDefault="00DE444D"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(2.83; 3.45)</w:t>
            </w:r>
          </w:p>
        </w:tc>
      </w:tr>
      <w:tr w:rsidR="00DE444D" w:rsidRPr="00693B2A" w:rsidTr="00F540C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E444D" w:rsidRPr="009E09E5" w:rsidRDefault="00DE444D" w:rsidP="00F540C8">
            <w:pPr>
              <w:spacing w:before="120" w:line="276" w:lineRule="auto"/>
              <w:contextualSpacing/>
              <w:rPr>
                <w:rFonts w:ascii="Arial Narrow" w:hAnsi="Arial Narrow"/>
              </w:rPr>
            </w:pPr>
            <w:r w:rsidRPr="009E09E5">
              <w:rPr>
                <w:rFonts w:ascii="Arial Narrow" w:hAnsi="Arial Narrow"/>
              </w:rPr>
              <w:t>85</w:t>
            </w:r>
          </w:p>
        </w:tc>
        <w:tc>
          <w:tcPr>
            <w:tcW w:w="0" w:type="auto"/>
            <w:vAlign w:val="center"/>
            <w:hideMark/>
          </w:tcPr>
          <w:p w:rsidR="00DE444D" w:rsidRPr="009E09E5" w:rsidRDefault="0035728A"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Government Research and Development (R&amp;D)</w:t>
            </w:r>
            <w:r w:rsidR="00DE444D" w:rsidRPr="009E09E5">
              <w:rPr>
                <w:rFonts w:ascii="Arial Narrow" w:hAnsi="Arial Narrow"/>
              </w:rPr>
              <w:t xml:space="preserve"> expenditure directed to rehabilitation sciences and engineering as % of </w:t>
            </w:r>
            <w:r>
              <w:rPr>
                <w:rFonts w:ascii="Arial Narrow" w:hAnsi="Arial Narrow"/>
              </w:rPr>
              <w:t>gross domestic product (GDP).</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0.55</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2.54</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(2.25; 2.83)</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2.69</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-1.04</w:t>
            </w:r>
          </w:p>
        </w:tc>
        <w:tc>
          <w:tcPr>
            <w:tcW w:w="0" w:type="auto"/>
            <w:noWrap/>
            <w:vAlign w:val="center"/>
            <w:hideMark/>
          </w:tcPr>
          <w:p w:rsidR="00DE444D" w:rsidRPr="00693B2A" w:rsidRDefault="00DE444D"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(2.36; 3.03)</w:t>
            </w:r>
          </w:p>
        </w:tc>
      </w:tr>
      <w:tr w:rsidR="003A268B" w:rsidRPr="00693B2A" w:rsidTr="00FC1D38">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rsidR="003A268B" w:rsidRPr="00A85EAE" w:rsidRDefault="003A268B" w:rsidP="00731C48">
            <w:pPr>
              <w:spacing w:before="120" w:line="276" w:lineRule="auto"/>
              <w:contextualSpacing/>
              <w:rPr>
                <w:rFonts w:ascii="Arial Narrow" w:hAnsi="Arial Narrow"/>
                <w:bCs/>
                <w:sz w:val="22"/>
                <w:szCs w:val="22"/>
              </w:rPr>
            </w:pPr>
          </w:p>
          <w:p w:rsidR="003A268B" w:rsidRPr="00110C3D" w:rsidRDefault="003A268B" w:rsidP="00731C48">
            <w:pPr>
              <w:spacing w:before="120" w:line="276" w:lineRule="auto"/>
              <w:contextualSpacing/>
              <w:rPr>
                <w:rFonts w:ascii="Arial Narrow" w:hAnsi="Arial Narrow"/>
                <w:b/>
                <w:bCs/>
                <w:sz w:val="24"/>
                <w:szCs w:val="24"/>
              </w:rPr>
            </w:pPr>
            <w:r>
              <w:rPr>
                <w:rFonts w:ascii="Arial Narrow" w:hAnsi="Arial Narrow"/>
                <w:sz w:val="22"/>
                <w:szCs w:val="22"/>
              </w:rPr>
              <w:t xml:space="preserve">        </w:t>
            </w:r>
            <w:r w:rsidR="00F07623">
              <w:rPr>
                <w:rFonts w:ascii="Arial Narrow" w:hAnsi="Arial Narrow"/>
                <w:b/>
                <w:sz w:val="24"/>
                <w:szCs w:val="24"/>
              </w:rPr>
              <w:t>Workforce D</w:t>
            </w:r>
            <w:r w:rsidRPr="00110C3D">
              <w:rPr>
                <w:rFonts w:ascii="Arial Narrow" w:hAnsi="Arial Narrow"/>
                <w:b/>
                <w:sz w:val="24"/>
                <w:szCs w:val="24"/>
              </w:rPr>
              <w:t>evelopment</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0.76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2.91</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(2.78; 3.04)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3.13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(3.01; 3.25)</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1</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The State's workforce policies or programmes include a plan for national self-sufficiency for rehabilitation professionals and document incentives to promote retention of rehab professionals (yes/no)</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-1.03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(2.53; 3.2)</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(2.91; 3.47)</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19</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Existence of disability human rights education as an element of the accreditation stand</w:t>
            </w:r>
            <w:r>
              <w:rPr>
                <w:rFonts w:ascii="Arial Narrow" w:hAnsi="Arial Narrow"/>
              </w:rPr>
              <w:t>ards used at the national level</w:t>
            </w:r>
            <w:r w:rsidRPr="009E09E5">
              <w:rPr>
                <w:rFonts w:ascii="Arial Narrow" w:hAnsi="Arial Narrow"/>
              </w:rPr>
              <w:t xml:space="preserve"> in the field of rehabilitation</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(2.78; 3.27)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3.11</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(2.87; 3.36)</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69</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 xml:space="preserve">Existence of human resources for health unit that is responsible for developing and monitoring policies and plans on rehabilitation workforce and negotiating </w:t>
            </w:r>
            <w:proofErr w:type="spellStart"/>
            <w:r w:rsidRPr="009E09E5">
              <w:rPr>
                <w:rFonts w:ascii="Arial Narrow" w:hAnsi="Arial Narrow"/>
              </w:rPr>
              <w:t>intersectoral</w:t>
            </w:r>
            <w:proofErr w:type="spellEnd"/>
            <w:r w:rsidRPr="009E09E5">
              <w:rPr>
                <w:rFonts w:ascii="Arial Narrow" w:hAnsi="Arial Narrow"/>
              </w:rPr>
              <w:t xml:space="preserve"> relationships with other line ministries and stakeholders</w:t>
            </w:r>
            <w:r>
              <w:rPr>
                <w:rFonts w:ascii="Arial Narrow" w:hAnsi="Arial Narrow"/>
              </w:rPr>
              <w:t xml:space="preserve"> (yes/no).</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(2.59; 3.19)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 3.03)</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51</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Availability of ethical standards of care for rehabilitation physicians and allied health professionals (yes/no)</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(2.75; 3.25)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(3.11; 3.58)</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95</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Existence of a government approved curriculum for training of informal care workers in Community Based Rehabilitation (yes/no)</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(2.51; 3.05)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(3.05; 3.56)</w:t>
            </w:r>
          </w:p>
        </w:tc>
      </w:tr>
      <w:tr w:rsidR="003A268B" w:rsidRPr="00693B2A" w:rsidTr="00FC1D38">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rsidR="003A268B" w:rsidRPr="00A85EAE" w:rsidRDefault="003A268B" w:rsidP="00731C48">
            <w:pPr>
              <w:spacing w:before="120" w:line="276" w:lineRule="auto"/>
              <w:contextualSpacing/>
              <w:rPr>
                <w:rFonts w:ascii="Arial Narrow" w:hAnsi="Arial Narrow"/>
                <w:bCs/>
                <w:sz w:val="22"/>
                <w:szCs w:val="22"/>
              </w:rPr>
            </w:pPr>
          </w:p>
          <w:p w:rsidR="003A268B" w:rsidRPr="00110C3D" w:rsidRDefault="003A268B" w:rsidP="00731C48">
            <w:pPr>
              <w:spacing w:before="120" w:line="276" w:lineRule="auto"/>
              <w:contextualSpacing/>
              <w:rPr>
                <w:rFonts w:ascii="Arial Narrow" w:hAnsi="Arial Narrow"/>
                <w:b/>
                <w:bCs/>
                <w:sz w:val="24"/>
                <w:szCs w:val="24"/>
              </w:rPr>
            </w:pPr>
            <w:r>
              <w:rPr>
                <w:rFonts w:ascii="Arial Narrow" w:hAnsi="Arial Narrow"/>
                <w:sz w:val="22"/>
                <w:szCs w:val="22"/>
              </w:rPr>
              <w:t xml:space="preserve">        </w:t>
            </w:r>
            <w:r w:rsidR="00F07623">
              <w:rPr>
                <w:rFonts w:ascii="Arial Narrow" w:hAnsi="Arial Narrow"/>
                <w:b/>
                <w:sz w:val="24"/>
                <w:szCs w:val="24"/>
              </w:rPr>
              <w:t>Access B</w:t>
            </w:r>
            <w:r w:rsidRPr="00110C3D">
              <w:rPr>
                <w:rFonts w:ascii="Arial Narrow" w:hAnsi="Arial Narrow"/>
                <w:b/>
                <w:sz w:val="24"/>
                <w:szCs w:val="24"/>
              </w:rPr>
              <w:t>arriers</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0.36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2.89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(2.81; 2.97)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2.39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(2.31; 2.47)</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101</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 xml:space="preserve">Timely access to rehabilitation 3 </w:t>
            </w:r>
            <w:r>
              <w:rPr>
                <w:rFonts w:ascii="Arial Narrow" w:hAnsi="Arial Narrow"/>
              </w:rPr>
              <w:t>–</w:t>
            </w:r>
            <w:r w:rsidRPr="009E09E5">
              <w:rPr>
                <w:rFonts w:ascii="Arial Narrow" w:hAnsi="Arial Narrow"/>
              </w:rPr>
              <w:t xml:space="preserve"> </w:t>
            </w:r>
            <w:r>
              <w:rPr>
                <w:rFonts w:ascii="Arial Narrow" w:hAnsi="Arial Narrow"/>
              </w:rPr>
              <w:t>Percentage (</w:t>
            </w:r>
            <w:r w:rsidRPr="009E09E5">
              <w:rPr>
                <w:rFonts w:ascii="Arial Narrow" w:hAnsi="Arial Narrow"/>
              </w:rPr>
              <w:t>%</w:t>
            </w:r>
            <w:r>
              <w:rPr>
                <w:rFonts w:ascii="Arial Narrow" w:hAnsi="Arial Narrow"/>
              </w:rPr>
              <w:t>)</w:t>
            </w:r>
            <w:r w:rsidRPr="009E09E5">
              <w:rPr>
                <w:rFonts w:ascii="Arial Narrow" w:hAnsi="Arial Narrow"/>
              </w:rPr>
              <w:t xml:space="preserve"> of population aged 16 or older who reported that in the last 12 months they were able to see a rehabilitation professional on the same day or next day, when needed</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(2.47; 3.1)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(1.83; 2.45)</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78</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Proportion of the population living within four hours travel to a rehabilitation/assistive technology service. (Allows for visiting a service within a day.)</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 3.24)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(2.11; 2.69)</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55</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Timely access to rehabilitation 2 - Time (median waiting time in days) between: (</w:t>
            </w:r>
            <w:proofErr w:type="spellStart"/>
            <w:r w:rsidRPr="009E09E5">
              <w:rPr>
                <w:rFonts w:ascii="Arial Narrow" w:hAnsi="Arial Narrow"/>
              </w:rPr>
              <w:t>i</w:t>
            </w:r>
            <w:proofErr w:type="spellEnd"/>
            <w:r w:rsidRPr="009E09E5">
              <w:rPr>
                <w:rFonts w:ascii="Arial Narrow" w:hAnsi="Arial Narrow"/>
              </w:rPr>
              <w:t>) acute hospital admission until referral for rehabilitation, (ii) referral until assessment, (iii) acceptance by post-acute rehabilitation care and ready for transfer until admission</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2.97</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(2.67; 3.27)</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(1.98; 2.59)</w:t>
            </w:r>
          </w:p>
        </w:tc>
      </w:tr>
      <w:tr w:rsidR="003A268B" w:rsidRPr="00693B2A" w:rsidTr="00F540C8">
        <w:trPr>
          <w:trHeight w:val="749"/>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46</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Barriers to access to medical rehabilitation (%) - Reported number of persons with disabilities not having access to medical rehabilitation services due to transportation barriers, physical/geographical access barriers, waiting time, lack of information; lack of time; inadequate skills of service provider; cost or other</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3.64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(3.45; 3.83)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(2.07; 2.62)</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26</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Inequality in access to rehabilitation - Absolute difference in unmet needs for rehabilitation between people with and without clinical impairments/disabilities (trends)</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 3.3)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-0.92</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(1.81; 2.41)</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87</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National average proportion of "rehab ready" referrals (by diagnostic category) admitted to outpatient/ambulatory rehabilitative care programme</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(2.06; 2.54)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1.94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(1.71; 2.18)</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16</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Rehabilitation denial rate - Number of "rehabilitation ready" referrals (by diagnostic category) declined without proper clinical justification as % of total rehabilitation ready referrals in the reporting period</w:t>
            </w:r>
            <w:r w:rsidR="0035728A">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(2.41; 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1.86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-0.77</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(1.6; 2.11)</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107</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Needs for assistive products m</w:t>
            </w:r>
            <w:r w:rsidR="0035728A">
              <w:rPr>
                <w:rFonts w:ascii="Arial Narrow" w:hAnsi="Arial Narrow"/>
              </w:rPr>
              <w:t>et (%) - Reported number of persons with disability</w:t>
            </w:r>
            <w:r w:rsidRPr="009E09E5">
              <w:rPr>
                <w:rFonts w:ascii="Arial Narrow" w:hAnsi="Arial Narrow"/>
              </w:rPr>
              <w:t xml:space="preserve"> using an assistive product th</w:t>
            </w:r>
            <w:r w:rsidR="0035728A">
              <w:rPr>
                <w:rFonts w:ascii="Arial Narrow" w:hAnsi="Arial Narrow"/>
              </w:rPr>
              <w:t>at fits their functional needs</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(2.81; 3.3)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-0.91</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(2.07; 2.67)</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92</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Percentage (%) of health facilities providing medical rehabilitation services</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(2.84; 3.33)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3.22</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 3.44)</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74</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Timely access to rehabilitation 1</w:t>
            </w:r>
            <w:r>
              <w:rPr>
                <w:rFonts w:ascii="Arial Narrow" w:hAnsi="Arial Narrow"/>
              </w:rPr>
              <w:t xml:space="preserve"> </w:t>
            </w:r>
            <w:r w:rsidRPr="009E09E5">
              <w:rPr>
                <w:rFonts w:ascii="Arial Narrow" w:hAnsi="Arial Narrow"/>
              </w:rPr>
              <w:t>- Percentage of acute hospital length of stay spent waiting for a post-acute rehabilitation bed</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(2.48; 3.09)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(1.96; 2.56)</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60</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Number of licensed assistive products dispensers by geographic region</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(2.23; 2.75)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(2.58; 3.13)</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82</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 xml:space="preserve">AT </w:t>
            </w:r>
            <w:proofErr w:type="gramStart"/>
            <w:r w:rsidRPr="009E09E5">
              <w:rPr>
                <w:rFonts w:ascii="Arial Narrow" w:hAnsi="Arial Narrow"/>
              </w:rPr>
              <w:t>affordability  -</w:t>
            </w:r>
            <w:proofErr w:type="gramEnd"/>
            <w:r w:rsidRPr="009E09E5">
              <w:rPr>
                <w:rFonts w:ascii="Arial Narrow" w:hAnsi="Arial Narrow"/>
              </w:rPr>
              <w:t xml:space="preserve"> Perc</w:t>
            </w:r>
            <w:r w:rsidR="00731C48">
              <w:rPr>
                <w:rFonts w:ascii="Arial Narrow" w:hAnsi="Arial Narrow"/>
              </w:rPr>
              <w:t>entage (%) of the per capita GDP</w:t>
            </w:r>
            <w:r w:rsidRPr="009E09E5">
              <w:rPr>
                <w:rFonts w:ascii="Arial Narrow" w:hAnsi="Arial Narrow"/>
              </w:rPr>
              <w:t xml:space="preserve"> or income required to purchase a wheelchair (average price)</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(2.63; 3.2)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(2.66; 3.23)</w:t>
            </w:r>
          </w:p>
        </w:tc>
      </w:tr>
      <w:tr w:rsidR="003A268B" w:rsidRPr="00693B2A" w:rsidTr="00FC1D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rsidR="003A268B" w:rsidRPr="009E09E5" w:rsidRDefault="003A268B" w:rsidP="00731C48">
            <w:pPr>
              <w:spacing w:before="120" w:line="276" w:lineRule="auto"/>
              <w:contextualSpacing/>
              <w:rPr>
                <w:rFonts w:ascii="Arial Narrow" w:hAnsi="Arial Narrow"/>
                <w:bCs/>
              </w:rPr>
            </w:pPr>
          </w:p>
          <w:p w:rsidR="003A268B" w:rsidRPr="00110C3D" w:rsidRDefault="003A268B" w:rsidP="003A268B">
            <w:pPr>
              <w:spacing w:before="120" w:line="276" w:lineRule="auto"/>
              <w:contextualSpacing/>
              <w:rPr>
                <w:rFonts w:ascii="Arial Narrow" w:hAnsi="Arial Narrow"/>
                <w:b/>
                <w:bCs/>
                <w:sz w:val="24"/>
                <w:szCs w:val="24"/>
              </w:rPr>
            </w:pPr>
            <w:r>
              <w:rPr>
                <w:rFonts w:ascii="Arial Narrow" w:hAnsi="Arial Narrow"/>
                <w:sz w:val="22"/>
                <w:szCs w:val="22"/>
              </w:rPr>
              <w:t xml:space="preserve">       </w:t>
            </w:r>
            <w:r w:rsidR="00C962DF">
              <w:rPr>
                <w:rFonts w:ascii="Arial Narrow" w:hAnsi="Arial Narrow"/>
                <w:b/>
                <w:sz w:val="24"/>
                <w:szCs w:val="24"/>
              </w:rPr>
              <w:t>Service C</w:t>
            </w:r>
            <w:r w:rsidR="00515E33">
              <w:rPr>
                <w:rFonts w:ascii="Arial Narrow" w:hAnsi="Arial Narrow"/>
                <w:b/>
                <w:sz w:val="24"/>
                <w:szCs w:val="24"/>
              </w:rPr>
              <w:t xml:space="preserve">overage, </w:t>
            </w:r>
            <w:r w:rsidR="00C962DF">
              <w:rPr>
                <w:rFonts w:ascii="Arial Narrow" w:hAnsi="Arial Narrow"/>
                <w:b/>
                <w:sz w:val="24"/>
                <w:szCs w:val="24"/>
              </w:rPr>
              <w:t>U</w:t>
            </w:r>
            <w:r w:rsidRPr="00110C3D">
              <w:rPr>
                <w:rFonts w:ascii="Arial Narrow" w:hAnsi="Arial Narrow"/>
                <w:b/>
                <w:sz w:val="24"/>
                <w:szCs w:val="24"/>
              </w:rPr>
              <w:t xml:space="preserve">tilization </w:t>
            </w:r>
            <w:r w:rsidR="00515E33">
              <w:rPr>
                <w:rFonts w:ascii="Arial Narrow" w:hAnsi="Arial Narrow"/>
                <w:b/>
                <w:sz w:val="24"/>
                <w:szCs w:val="24"/>
              </w:rPr>
              <w:t xml:space="preserve">and </w:t>
            </w:r>
            <w:r w:rsidR="00C962DF">
              <w:rPr>
                <w:rFonts w:ascii="Arial Narrow" w:hAnsi="Arial Narrow"/>
                <w:b/>
                <w:sz w:val="24"/>
                <w:szCs w:val="24"/>
              </w:rPr>
              <w:t>O</w:t>
            </w:r>
            <w:r w:rsidRPr="00110C3D">
              <w:rPr>
                <w:rFonts w:ascii="Arial Narrow" w:hAnsi="Arial Narrow"/>
                <w:b/>
                <w:sz w:val="24"/>
                <w:szCs w:val="24"/>
              </w:rPr>
              <w:t>utcomes</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0.37</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2.87</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(2.8; 2.94)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(2.53; 2.67)</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8</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Number of outpatient rehabilitation visits per capita per year</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0.28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 2.84)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(2.88; 3.45)</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102</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Median number of patient served per rehabilitation programme per year</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0.29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(2.23; 2.75)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-0.82</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(2.43; 2.96)</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34</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Inpatient rehabilitation care beds/population ratio</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(2.48; 3.09)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(3.08; 3.64)</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61</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Patient status at discharge - National average percentage (%) of rehabilitation inpatients with improved function scores at discharge (compared with scores measured at admission)</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2.92</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-0.97</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 3.23)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(2.09; 2.59)</w:t>
            </w:r>
          </w:p>
        </w:tc>
      </w:tr>
      <w:tr w:rsidR="003A268B" w:rsidRPr="00693B2A" w:rsidTr="00F540C8">
        <w:trPr>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65</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Unmet needs for medical rehabilitation (%) - Reported num</w:t>
            </w:r>
            <w:r w:rsidR="00731C48">
              <w:rPr>
                <w:rFonts w:ascii="Arial Narrow" w:hAnsi="Arial Narrow"/>
              </w:rPr>
              <w:t>ber of persons with disability</w:t>
            </w:r>
            <w:r w:rsidRPr="009E09E5">
              <w:rPr>
                <w:rFonts w:ascii="Arial Narrow" w:hAnsi="Arial Narrow"/>
              </w:rPr>
              <w:t xml:space="preserve"> that needed medical rehabilitation services or assistive devices in the last 12 months and did not get the services they need, stratified by age, income, geographic region and educational level</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3.46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(3.21; 3.71)</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(2.01; 2.52)</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47</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Discharge destinations (selected tracer conditions) in the reporting period</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(2.01; 2.58)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(1.95; 2.57)</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12</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Rehabilitation hospital admission/discharge rates - Number of rehabilitation unit or hospital admissions/discharges per 100 000 (by diagnostic category)</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(2.41; 2.94)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(2.91; 3.42)</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62</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Patient satisfaction with rehabilitation provider</w:t>
            </w:r>
            <w:r w:rsidR="0069567E">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(2.43; 2.98)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(2.09; 2.59)</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72</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 xml:space="preserve">Patient status after discharge - National average percentage of discharged rehabilitation inpatients </w:t>
            </w:r>
            <w:proofErr w:type="gramStart"/>
            <w:r w:rsidRPr="009E09E5">
              <w:rPr>
                <w:rFonts w:ascii="Arial Narrow" w:hAnsi="Arial Narrow"/>
              </w:rPr>
              <w:t>who</w:t>
            </w:r>
            <w:proofErr w:type="gramEnd"/>
            <w:r w:rsidRPr="009E09E5">
              <w:rPr>
                <w:rFonts w:ascii="Arial Narrow" w:hAnsi="Arial Narrow"/>
              </w:rPr>
              <w:t xml:space="preserve"> still live in the community 90 days post discharge</w:t>
            </w:r>
            <w:r w:rsidR="0069567E">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(2.29; 2.9)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2.06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-0.91</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(1.76; 2.35)</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10</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 xml:space="preserve">Number of </w:t>
            </w:r>
            <w:r w:rsidRPr="009E09E5">
              <w:rPr>
                <w:rFonts w:ascii="Arial Narrow" w:hAnsi="Arial Narrow"/>
              </w:rPr>
              <w:t xml:space="preserve">multidisciplinary rehabilitation programmes per 1 000 000 - (e.g., cardiac, cancer, stroke, spinal cord injury, </w:t>
            </w:r>
            <w:r w:rsidR="0069567E" w:rsidRPr="009E09E5">
              <w:rPr>
                <w:rFonts w:ascii="Arial Narrow" w:hAnsi="Arial Narrow"/>
              </w:rPr>
              <w:t>paediatric</w:t>
            </w:r>
            <w:r w:rsidRPr="009E09E5">
              <w:rPr>
                <w:rFonts w:ascii="Arial Narrow" w:hAnsi="Arial Narrow"/>
              </w:rPr>
              <w:t xml:space="preserve"> rehabilitation programmes)</w:t>
            </w:r>
            <w:r w:rsidR="0069567E">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0.39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(2.92; 3.41)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(2.72; 3.28)</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29</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 xml:space="preserve">Proportion of </w:t>
            </w:r>
            <w:r w:rsidR="0069567E">
              <w:rPr>
                <w:rFonts w:ascii="Arial Narrow" w:hAnsi="Arial Narrow"/>
              </w:rPr>
              <w:t>persons with disability</w:t>
            </w:r>
            <w:r>
              <w:rPr>
                <w:rFonts w:ascii="Arial Narrow" w:hAnsi="Arial Narrow"/>
              </w:rPr>
              <w:t xml:space="preserve"> </w:t>
            </w:r>
            <w:r w:rsidRPr="009E09E5">
              <w:rPr>
                <w:rFonts w:ascii="Arial Narrow" w:hAnsi="Arial Narrow"/>
              </w:rPr>
              <w:t>living in complex emergency environments that can access comprehensive rehabilitation services</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0.41</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(2.63; 3.21)</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(1.89; 2.5)</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7</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Number of Community Based Rehabilitation providers/population ratio (per 100 000)</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3.27</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(3.05; 3.49)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(2.79; 3.33)</w:t>
            </w:r>
          </w:p>
        </w:tc>
      </w:tr>
      <w:tr w:rsidR="003A268B" w:rsidRPr="00693B2A" w:rsidTr="00F540C8">
        <w:trPr>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96</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Financial barriers to access to rehabilitation (%) - Reported numb</w:t>
            </w:r>
            <w:r w:rsidR="0069567E">
              <w:rPr>
                <w:rFonts w:ascii="Arial Narrow" w:hAnsi="Arial Narrow"/>
              </w:rPr>
              <w:t>er of persons with disability</w:t>
            </w:r>
            <w:r w:rsidRPr="009E09E5">
              <w:rPr>
                <w:rFonts w:ascii="Arial Narrow" w:hAnsi="Arial Narrow"/>
              </w:rPr>
              <w:t xml:space="preserve"> that have forgone prescribed rehabilitation treatment due to financial reasons in the last 12 months, disaggregated by income level, sex and age</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(2.92; 3.46)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(1.88; 2.51)</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31</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Financial barriers to AT (%) - Reported num</w:t>
            </w:r>
            <w:r w:rsidR="0069567E">
              <w:rPr>
                <w:rFonts w:ascii="Arial Narrow" w:hAnsi="Arial Narrow"/>
              </w:rPr>
              <w:t>ber of persons with disability</w:t>
            </w:r>
            <w:r w:rsidRPr="009E09E5">
              <w:rPr>
                <w:rFonts w:ascii="Arial Narrow" w:hAnsi="Arial Narrow"/>
              </w:rPr>
              <w:t xml:space="preserve"> who didn't get th</w:t>
            </w:r>
            <w:r w:rsidR="0069567E">
              <w:rPr>
                <w:rFonts w:ascii="Arial Narrow" w:hAnsi="Arial Narrow"/>
              </w:rPr>
              <w:t>eir prescribed assistive devices</w:t>
            </w:r>
            <w:r w:rsidRPr="009E09E5">
              <w:rPr>
                <w:rFonts w:ascii="Arial Narrow" w:hAnsi="Arial Narrow"/>
              </w:rPr>
              <w:t xml:space="preserve"> because of their cost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0.57</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3.22</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(2.97; 3.48)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2.37</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 2.65)</w:t>
            </w:r>
          </w:p>
        </w:tc>
      </w:tr>
      <w:tr w:rsidR="000537A0" w:rsidRPr="00693B2A" w:rsidTr="00F540C8">
        <w:trPr>
          <w:trHeight w:val="365"/>
        </w:trPr>
        <w:tc>
          <w:tcPr>
            <w:cnfStyle w:val="001000000000" w:firstRow="0" w:lastRow="0" w:firstColumn="1" w:lastColumn="0" w:oddVBand="0" w:evenVBand="0" w:oddHBand="0" w:evenHBand="0" w:firstRowFirstColumn="0" w:firstRowLastColumn="0" w:lastRowFirstColumn="0" w:lastRowLastColumn="0"/>
            <w:tcW w:w="0" w:type="auto"/>
            <w:gridSpan w:val="2"/>
            <w:noWrap/>
            <w:vAlign w:val="center"/>
            <w:hideMark/>
          </w:tcPr>
          <w:p w:rsidR="00AE45A9" w:rsidRPr="009E09E5" w:rsidRDefault="00AE45A9" w:rsidP="00F540C8">
            <w:pPr>
              <w:spacing w:before="120" w:line="276" w:lineRule="auto"/>
              <w:contextualSpacing/>
              <w:rPr>
                <w:rFonts w:ascii="Arial Narrow" w:hAnsi="Arial Narrow"/>
                <w:bCs/>
              </w:rPr>
            </w:pPr>
          </w:p>
          <w:p w:rsidR="000537A0" w:rsidRPr="00110C3D" w:rsidRDefault="00A85EAE" w:rsidP="00F540C8">
            <w:pPr>
              <w:spacing w:before="120" w:line="276" w:lineRule="auto"/>
              <w:contextualSpacing/>
              <w:rPr>
                <w:rFonts w:ascii="Arial Narrow" w:hAnsi="Arial Narrow"/>
                <w:b/>
                <w:bCs/>
                <w:sz w:val="24"/>
                <w:szCs w:val="24"/>
              </w:rPr>
            </w:pPr>
            <w:r>
              <w:rPr>
                <w:rFonts w:ascii="Arial Narrow" w:hAnsi="Arial Narrow"/>
                <w:sz w:val="22"/>
                <w:szCs w:val="22"/>
              </w:rPr>
              <w:t xml:space="preserve"> </w:t>
            </w:r>
            <w:r w:rsidR="003A268B">
              <w:rPr>
                <w:rFonts w:ascii="Arial Narrow" w:hAnsi="Arial Narrow"/>
                <w:sz w:val="22"/>
                <w:szCs w:val="22"/>
              </w:rPr>
              <w:t xml:space="preserve">      </w:t>
            </w:r>
            <w:r>
              <w:rPr>
                <w:rFonts w:ascii="Arial Narrow" w:hAnsi="Arial Narrow"/>
                <w:sz w:val="22"/>
                <w:szCs w:val="22"/>
              </w:rPr>
              <w:t xml:space="preserve"> </w:t>
            </w:r>
            <w:r w:rsidR="00F07623">
              <w:rPr>
                <w:rFonts w:ascii="Arial Narrow" w:hAnsi="Arial Narrow"/>
                <w:b/>
                <w:sz w:val="24"/>
                <w:szCs w:val="24"/>
              </w:rPr>
              <w:t xml:space="preserve">Service Financing </w:t>
            </w:r>
            <w:r w:rsidR="00515E33">
              <w:rPr>
                <w:rFonts w:ascii="Arial Narrow" w:hAnsi="Arial Narrow"/>
                <w:b/>
                <w:sz w:val="24"/>
                <w:szCs w:val="24"/>
              </w:rPr>
              <w:t>and Q</w:t>
            </w:r>
            <w:r w:rsidR="00C962DF">
              <w:rPr>
                <w:rFonts w:ascii="Arial Narrow" w:hAnsi="Arial Narrow"/>
                <w:b/>
                <w:sz w:val="24"/>
                <w:szCs w:val="24"/>
              </w:rPr>
              <w:t>uality Control</w:t>
            </w:r>
          </w:p>
        </w:tc>
        <w:tc>
          <w:tcPr>
            <w:tcW w:w="0" w:type="auto"/>
            <w:noWrap/>
            <w:vAlign w:val="center"/>
            <w:hideMark/>
          </w:tcPr>
          <w:p w:rsidR="000537A0" w:rsidRPr="00693B2A" w:rsidRDefault="000537A0"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0.58</w:t>
            </w:r>
          </w:p>
        </w:tc>
        <w:tc>
          <w:tcPr>
            <w:tcW w:w="0" w:type="auto"/>
            <w:noWrap/>
            <w:vAlign w:val="center"/>
            <w:hideMark/>
          </w:tcPr>
          <w:p w:rsidR="000537A0" w:rsidRPr="00693B2A" w:rsidRDefault="000537A0"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2.82</w:t>
            </w:r>
          </w:p>
        </w:tc>
        <w:tc>
          <w:tcPr>
            <w:tcW w:w="0" w:type="auto"/>
            <w:noWrap/>
            <w:vAlign w:val="center"/>
            <w:hideMark/>
          </w:tcPr>
          <w:p w:rsidR="000537A0" w:rsidRPr="00693B2A" w:rsidRDefault="000537A0"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-0.85</w:t>
            </w:r>
          </w:p>
        </w:tc>
        <w:tc>
          <w:tcPr>
            <w:tcW w:w="0" w:type="auto"/>
            <w:noWrap/>
            <w:vAlign w:val="center"/>
            <w:hideMark/>
          </w:tcPr>
          <w:p w:rsidR="000537A0" w:rsidRPr="00693B2A" w:rsidRDefault="000537A0"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(2.75; 2.89)</w:t>
            </w:r>
          </w:p>
        </w:tc>
        <w:tc>
          <w:tcPr>
            <w:tcW w:w="0" w:type="auto"/>
            <w:noWrap/>
            <w:vAlign w:val="center"/>
            <w:hideMark/>
          </w:tcPr>
          <w:p w:rsidR="000537A0" w:rsidRPr="00693B2A" w:rsidRDefault="000537A0"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2.79</w:t>
            </w:r>
          </w:p>
        </w:tc>
        <w:tc>
          <w:tcPr>
            <w:tcW w:w="0" w:type="auto"/>
            <w:noWrap/>
            <w:vAlign w:val="center"/>
            <w:hideMark/>
          </w:tcPr>
          <w:p w:rsidR="000537A0" w:rsidRPr="00693B2A" w:rsidRDefault="000537A0"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-0.83</w:t>
            </w:r>
          </w:p>
        </w:tc>
        <w:tc>
          <w:tcPr>
            <w:tcW w:w="0" w:type="auto"/>
            <w:noWrap/>
            <w:vAlign w:val="center"/>
            <w:hideMark/>
          </w:tcPr>
          <w:p w:rsidR="000537A0" w:rsidRPr="00693B2A" w:rsidRDefault="000537A0"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(2.72; 2.86)</w:t>
            </w:r>
          </w:p>
        </w:tc>
      </w:tr>
      <w:tr w:rsidR="00C62C5D"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38</w:t>
            </w:r>
          </w:p>
        </w:tc>
        <w:tc>
          <w:tcPr>
            <w:tcW w:w="0" w:type="auto"/>
            <w:vAlign w:val="center"/>
            <w:hideMark/>
          </w:tcPr>
          <w:p w:rsidR="00DD2315" w:rsidRPr="009E09E5" w:rsidRDefault="00DD2315"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Percent (%) of healthcare organizations providing medical rehabilitation who currently have processes to involve community/client input for planning and  performance monitoring of the organization's services (e.g. advisory committees, focus groups)</w:t>
            </w:r>
            <w:r w:rsidR="00693B2A">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0.41</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2.84</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-0.87</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(2.56; 3.12)</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2.44</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-0.88</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(2.16; 2.73)</w:t>
            </w:r>
          </w:p>
        </w:tc>
      </w:tr>
      <w:tr w:rsidR="00B8163C"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77</w:t>
            </w:r>
          </w:p>
        </w:tc>
        <w:tc>
          <w:tcPr>
            <w:tcW w:w="0" w:type="auto"/>
            <w:vAlign w:val="center"/>
            <w:hideMark/>
          </w:tcPr>
          <w:p w:rsidR="00DD2315" w:rsidRPr="009E09E5" w:rsidRDefault="00DD2315"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Percentage (%) of inpatient rehabilitation facility discharges for which a discharge report is made available to primary care</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0.46</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2.35</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-0.89</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(2.06; 2.64)</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2.34</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-0.94</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(2.04; 2.65)</w:t>
            </w:r>
          </w:p>
        </w:tc>
      </w:tr>
      <w:tr w:rsidR="00C62C5D"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106</w:t>
            </w:r>
          </w:p>
        </w:tc>
        <w:tc>
          <w:tcPr>
            <w:tcW w:w="0" w:type="auto"/>
            <w:vAlign w:val="center"/>
            <w:hideMark/>
          </w:tcPr>
          <w:p w:rsidR="00DD2315" w:rsidRPr="009E09E5" w:rsidRDefault="00DD2315"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 xml:space="preserve">Percentage (%) of Net Official Development Assistance (ODA) for health (provided or received by the State) directed to </w:t>
            </w:r>
            <w:r w:rsidR="0069567E">
              <w:rPr>
                <w:rFonts w:ascii="Arial Narrow" w:hAnsi="Arial Narrow"/>
              </w:rPr>
              <w:t xml:space="preserve">the </w:t>
            </w:r>
            <w:r w:rsidRPr="009E09E5">
              <w:rPr>
                <w:rFonts w:ascii="Arial Narrow" w:hAnsi="Arial Narrow"/>
              </w:rPr>
              <w:t>health related rehabilitation sector</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0.48</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2.65</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-0.86</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(2.37; 2.92)</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2.85</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-0.82</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(2.58; 3.12)</w:t>
            </w:r>
          </w:p>
        </w:tc>
      </w:tr>
      <w:tr w:rsidR="00B8163C"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90</w:t>
            </w:r>
          </w:p>
        </w:tc>
        <w:tc>
          <w:tcPr>
            <w:tcW w:w="0" w:type="auto"/>
            <w:vAlign w:val="center"/>
            <w:hideMark/>
          </w:tcPr>
          <w:p w:rsidR="00DD2315" w:rsidRPr="009E09E5" w:rsidRDefault="00DD2315"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Evidence of economic strategies to incentivize manufacture and/or provision/distribution of assistive products.</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0.49</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2.65</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-0.95</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(2.34; 2.95)</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2.63</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-0.97</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(2.31; 2.95)</w:t>
            </w:r>
          </w:p>
        </w:tc>
      </w:tr>
      <w:tr w:rsidR="00C62C5D"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21</w:t>
            </w:r>
          </w:p>
        </w:tc>
        <w:tc>
          <w:tcPr>
            <w:tcW w:w="0" w:type="auto"/>
            <w:vAlign w:val="center"/>
            <w:hideMark/>
          </w:tcPr>
          <w:p w:rsidR="00DD2315" w:rsidRPr="009E09E5" w:rsidRDefault="00DD2315"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Evidence (including of qualitative nature) of gender sensitiveness of rehabilitation services</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0.51</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2.95</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-0.85</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(2.67; 3.22)</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2.42</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-0.87</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(2.13; 2.7)</w:t>
            </w:r>
          </w:p>
        </w:tc>
      </w:tr>
      <w:tr w:rsidR="00B8163C"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93</w:t>
            </w:r>
          </w:p>
        </w:tc>
        <w:tc>
          <w:tcPr>
            <w:tcW w:w="0" w:type="auto"/>
            <w:vAlign w:val="center"/>
            <w:hideMark/>
          </w:tcPr>
          <w:p w:rsidR="00DD2315" w:rsidRPr="009E09E5" w:rsidRDefault="00DD2315"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Proportion of health facilities providing medical rehabilitation that are accredited by a recognized accreditation body</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0.52</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2.86</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-0.79</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(2.61; 3.12)</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3.22</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-0.76</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(2.97; 3.47)</w:t>
            </w:r>
          </w:p>
        </w:tc>
      </w:tr>
      <w:tr w:rsidR="00C62C5D"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33</w:t>
            </w:r>
          </w:p>
        </w:tc>
        <w:tc>
          <w:tcPr>
            <w:tcW w:w="0" w:type="auto"/>
            <w:vAlign w:val="center"/>
            <w:hideMark/>
          </w:tcPr>
          <w:p w:rsidR="00DD2315" w:rsidRPr="009E09E5" w:rsidRDefault="00DD2315"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A comprehensive array of medical rehabilitation services is enlisted in the State's essential health benefits package including for the purpose of maintainin</w:t>
            </w:r>
            <w:r w:rsidR="005751C3">
              <w:rPr>
                <w:rFonts w:ascii="Arial Narrow" w:hAnsi="Arial Narrow"/>
              </w:rPr>
              <w:t>g current levels of functioning</w:t>
            </w:r>
            <w:r w:rsidRPr="009E09E5">
              <w:rPr>
                <w:rFonts w:ascii="Arial Narrow" w:hAnsi="Arial Narrow"/>
              </w:rPr>
              <w:t xml:space="preserve"> (yes/no). Describe and specify.</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0.52</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3.33</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-0.83</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(3.07; 3.6)</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3.31</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-0.82</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(3.04; 3.57)</w:t>
            </w:r>
          </w:p>
        </w:tc>
      </w:tr>
      <w:tr w:rsidR="00B8163C" w:rsidRPr="00693B2A" w:rsidTr="00F540C8">
        <w:trPr>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lastRenderedPageBreak/>
              <w:t>73</w:t>
            </w:r>
          </w:p>
        </w:tc>
        <w:tc>
          <w:tcPr>
            <w:tcW w:w="0" w:type="auto"/>
            <w:vAlign w:val="center"/>
            <w:hideMark/>
          </w:tcPr>
          <w:p w:rsidR="00DD2315" w:rsidRPr="009E09E5" w:rsidRDefault="00DD2315"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Expenditure trends on (</w:t>
            </w:r>
            <w:proofErr w:type="spellStart"/>
            <w:r w:rsidRPr="009E09E5">
              <w:rPr>
                <w:rFonts w:ascii="Arial Narrow" w:hAnsi="Arial Narrow"/>
              </w:rPr>
              <w:t>i</w:t>
            </w:r>
            <w:proofErr w:type="spellEnd"/>
            <w:r w:rsidRPr="009E09E5">
              <w:rPr>
                <w:rFonts w:ascii="Arial Narrow" w:hAnsi="Arial Narrow"/>
              </w:rPr>
              <w:t>) rehabilitation care (inpatient, outpatient and community based) as % of government health expenditure (ii) assistive products as % of government health expenditure</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0.61</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-0.82</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(2.74; 3.26)</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2.77</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-0.81</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(2.51; 3.04)</w:t>
            </w:r>
          </w:p>
        </w:tc>
      </w:tr>
      <w:tr w:rsidR="00C62C5D"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22</w:t>
            </w:r>
          </w:p>
        </w:tc>
        <w:tc>
          <w:tcPr>
            <w:tcW w:w="0" w:type="auto"/>
            <w:vAlign w:val="center"/>
            <w:hideMark/>
          </w:tcPr>
          <w:p w:rsidR="00DD2315" w:rsidRPr="009E09E5" w:rsidRDefault="005751C3"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Pr>
                <w:rFonts w:ascii="Arial Narrow" w:hAnsi="Arial Narrow"/>
              </w:rPr>
              <w:t>Information about the h</w:t>
            </w:r>
            <w:r w:rsidR="00DD2315" w:rsidRPr="009E09E5">
              <w:rPr>
                <w:rFonts w:ascii="Arial Narrow" w:hAnsi="Arial Narrow"/>
              </w:rPr>
              <w:t>ousehold catastrophic/impoverishing expenditure on rehabilitation care is available and regularly updated (yes/no).</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0.61</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2.65</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-0.89</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(2.36; 2.94)</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2.14</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-0.99</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(1.82; 2.46)</w:t>
            </w:r>
          </w:p>
        </w:tc>
      </w:tr>
      <w:tr w:rsidR="00B8163C"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9</w:t>
            </w:r>
          </w:p>
        </w:tc>
        <w:tc>
          <w:tcPr>
            <w:tcW w:w="0" w:type="auto"/>
            <w:vAlign w:val="center"/>
            <w:hideMark/>
          </w:tcPr>
          <w:p w:rsidR="00DD2315" w:rsidRPr="009E09E5" w:rsidRDefault="00DD2315"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Percentage (%) of health facilities/units offering medical rehabilitation with established quality improvement teams, by facility type</w:t>
            </w:r>
            <w:r w:rsidR="0069567E">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0.62</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2.97</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(2.68; 3.26)</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2.83</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-0.66</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(2.61; 3.05)</w:t>
            </w:r>
          </w:p>
        </w:tc>
      </w:tr>
      <w:tr w:rsidR="00C62C5D"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11</w:t>
            </w:r>
          </w:p>
        </w:tc>
        <w:tc>
          <w:tcPr>
            <w:tcW w:w="0" w:type="auto"/>
            <w:vAlign w:val="center"/>
            <w:hideMark/>
          </w:tcPr>
          <w:p w:rsidR="00DD2315" w:rsidRPr="009E09E5" w:rsidRDefault="00DD2315"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Percentage (%) of WHO recommended priority assistive products included in the national assistive products list for procurement and reimbursement</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0.68</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-0.78</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(3.05; 3.55)</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3.54</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-0.66</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(3.33; 3.76)</w:t>
            </w:r>
          </w:p>
        </w:tc>
      </w:tr>
      <w:tr w:rsidR="00B8163C"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36</w:t>
            </w:r>
          </w:p>
        </w:tc>
        <w:tc>
          <w:tcPr>
            <w:tcW w:w="0" w:type="auto"/>
            <w:vAlign w:val="center"/>
            <w:hideMark/>
          </w:tcPr>
          <w:p w:rsidR="00DD2315" w:rsidRPr="009E09E5" w:rsidRDefault="00DD2315"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The Stat</w:t>
            </w:r>
            <w:r w:rsidR="0069567E">
              <w:rPr>
                <w:rFonts w:ascii="Arial Narrow" w:hAnsi="Arial Narrow"/>
              </w:rPr>
              <w:t>e subsidizes disabled people’s travel costs</w:t>
            </w:r>
            <w:r w:rsidRPr="009E09E5">
              <w:rPr>
                <w:rFonts w:ascii="Arial Narrow" w:hAnsi="Arial Narrow"/>
              </w:rPr>
              <w:t xml:space="preserve"> to access rehabilitation services that are not available near their place of residence</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0.71</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2.95</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-0.85</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(2.67; 3.22)</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3.03</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-0.77</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(2.77; 3.28)</w:t>
            </w:r>
          </w:p>
        </w:tc>
      </w:tr>
      <w:tr w:rsidR="00C62C5D"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2</w:t>
            </w:r>
          </w:p>
        </w:tc>
        <w:tc>
          <w:tcPr>
            <w:tcW w:w="0" w:type="auto"/>
            <w:vAlign w:val="center"/>
            <w:hideMark/>
          </w:tcPr>
          <w:p w:rsidR="00DD2315" w:rsidRPr="009E09E5" w:rsidRDefault="00DD2315"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Percentage (%) of rehabilitation facilities with confidentiality protocols on health and rehabilitation information</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0.72</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2.43</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-0.87</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(2.15; 2.71)</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2.97</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(2.74; 3.2)</w:t>
            </w:r>
          </w:p>
        </w:tc>
      </w:tr>
      <w:tr w:rsidR="00B8163C" w:rsidRPr="00693B2A" w:rsidTr="00F540C8">
        <w:trPr>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3</w:t>
            </w:r>
          </w:p>
        </w:tc>
        <w:tc>
          <w:tcPr>
            <w:tcW w:w="0" w:type="auto"/>
            <w:vAlign w:val="center"/>
            <w:hideMark/>
          </w:tcPr>
          <w:p w:rsidR="00DD2315" w:rsidRPr="009E09E5" w:rsidRDefault="00DD2315"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Proportion of facilities providing medical rehabilitation with at least one yearly external review/inspection of human rights protection of patients, by type of facility</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0.76</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2.59</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-0.83</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(2.33; 2.86)</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2.54</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-0.82</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(2.28; 2.81)</w:t>
            </w:r>
          </w:p>
        </w:tc>
      </w:tr>
      <w:tr w:rsidR="003A268B" w:rsidRPr="00693B2A" w:rsidTr="00FC1D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rsidR="003A268B" w:rsidRPr="00A85EAE" w:rsidRDefault="003A268B" w:rsidP="00731C48">
            <w:pPr>
              <w:spacing w:before="120" w:line="276" w:lineRule="auto"/>
              <w:contextualSpacing/>
              <w:rPr>
                <w:rFonts w:ascii="Arial Narrow" w:hAnsi="Arial Narrow"/>
                <w:bCs/>
                <w:sz w:val="22"/>
                <w:szCs w:val="22"/>
              </w:rPr>
            </w:pPr>
          </w:p>
          <w:p w:rsidR="003A268B" w:rsidRPr="00110C3D" w:rsidRDefault="003A268B" w:rsidP="00731C48">
            <w:pPr>
              <w:spacing w:before="120" w:line="276" w:lineRule="auto"/>
              <w:contextualSpacing/>
              <w:rPr>
                <w:rFonts w:ascii="Arial Narrow" w:hAnsi="Arial Narrow"/>
                <w:b/>
                <w:bCs/>
                <w:sz w:val="24"/>
                <w:szCs w:val="24"/>
              </w:rPr>
            </w:pPr>
            <w:r>
              <w:rPr>
                <w:rFonts w:ascii="Arial Narrow" w:hAnsi="Arial Narrow"/>
                <w:sz w:val="22"/>
                <w:szCs w:val="22"/>
              </w:rPr>
              <w:t xml:space="preserve">       </w:t>
            </w:r>
            <w:r w:rsidR="00F07623">
              <w:rPr>
                <w:rFonts w:ascii="Arial Narrow" w:hAnsi="Arial Narrow"/>
                <w:b/>
                <w:sz w:val="24"/>
                <w:szCs w:val="24"/>
              </w:rPr>
              <w:t>Higher E</w:t>
            </w:r>
            <w:r w:rsidRPr="00110C3D">
              <w:rPr>
                <w:rFonts w:ascii="Arial Narrow" w:hAnsi="Arial Narrow"/>
                <w:b/>
                <w:sz w:val="24"/>
                <w:szCs w:val="24"/>
              </w:rPr>
              <w:t xml:space="preserve">ducation </w:t>
            </w:r>
          </w:p>
        </w:tc>
        <w:tc>
          <w:tcPr>
            <w:tcW w:w="0" w:type="auto"/>
            <w:noWrap/>
            <w:vAlign w:val="center"/>
            <w:hideMark/>
          </w:tcPr>
          <w:p w:rsidR="00FC1D38" w:rsidRDefault="00FC1D38"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0.66</w:t>
            </w:r>
          </w:p>
        </w:tc>
        <w:tc>
          <w:tcPr>
            <w:tcW w:w="0" w:type="auto"/>
            <w:noWrap/>
            <w:vAlign w:val="center"/>
            <w:hideMark/>
          </w:tcPr>
          <w:p w:rsidR="00FC1D38" w:rsidRDefault="00FC1D38"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2.82</w:t>
            </w:r>
          </w:p>
        </w:tc>
        <w:tc>
          <w:tcPr>
            <w:tcW w:w="0" w:type="auto"/>
            <w:noWrap/>
            <w:vAlign w:val="center"/>
            <w:hideMark/>
          </w:tcPr>
          <w:p w:rsidR="00FC1D38" w:rsidRDefault="00FC1D38"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-0.85</w:t>
            </w:r>
          </w:p>
        </w:tc>
        <w:tc>
          <w:tcPr>
            <w:tcW w:w="0" w:type="auto"/>
            <w:noWrap/>
            <w:vAlign w:val="center"/>
            <w:hideMark/>
          </w:tcPr>
          <w:p w:rsidR="00FC1D38" w:rsidRDefault="00FC1D38"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(2.68; 2.96)</w:t>
            </w:r>
          </w:p>
        </w:tc>
        <w:tc>
          <w:tcPr>
            <w:tcW w:w="0" w:type="auto"/>
            <w:noWrap/>
            <w:vAlign w:val="center"/>
            <w:hideMark/>
          </w:tcPr>
          <w:p w:rsidR="00FC1D38" w:rsidRDefault="00FC1D38"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3.11</w:t>
            </w:r>
          </w:p>
        </w:tc>
        <w:tc>
          <w:tcPr>
            <w:tcW w:w="0" w:type="auto"/>
            <w:noWrap/>
            <w:vAlign w:val="center"/>
            <w:hideMark/>
          </w:tcPr>
          <w:p w:rsidR="00FC1D38" w:rsidRDefault="00FC1D38"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-0.88</w:t>
            </w:r>
          </w:p>
        </w:tc>
        <w:tc>
          <w:tcPr>
            <w:tcW w:w="0" w:type="auto"/>
            <w:noWrap/>
            <w:vAlign w:val="center"/>
            <w:hideMark/>
          </w:tcPr>
          <w:p w:rsidR="00FC1D38" w:rsidRDefault="00FC1D38"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(2.97; 3.25)</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94</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Percent (%) of undergraduate healthcare professions' curricula that include a module on</w:t>
            </w:r>
            <w:r>
              <w:rPr>
                <w:rFonts w:ascii="Arial Narrow" w:hAnsi="Arial Narrow"/>
              </w:rPr>
              <w:t xml:space="preserve"> disability ethics/human rights</w:t>
            </w:r>
            <w:r w:rsidRPr="009E09E5">
              <w:rPr>
                <w:rFonts w:ascii="Arial Narrow" w:hAnsi="Arial Narrow"/>
              </w:rPr>
              <w:t>, by specialization</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2.81</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(2.54; 3.08)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(2.75; 3.36)</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45</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Number of graduates from rehabilitation education and training programmes during the last academic yea</w:t>
            </w:r>
            <w:r>
              <w:rPr>
                <w:rFonts w:ascii="Arial Narrow" w:hAnsi="Arial Narrow"/>
              </w:rPr>
              <w:t>r by cadre, per 1000 population.</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 3.01)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(2.64; 3.25)</w:t>
            </w:r>
          </w:p>
        </w:tc>
      </w:tr>
      <w:tr w:rsidR="003A268B" w:rsidRPr="00693B2A" w:rsidTr="00F540C8">
        <w:trPr>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80</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Number of postgraduate programmes in rehabilitation sciences and related fields available to allied health professionals by occupation/specialization recognized by their respective licensing bodies or equivalent health professions/education council.</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-0.91</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(2.38; 2.97)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(3.02; 3.51)</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25</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Training in physical medicine and rehabilitation available for doctors. This refers to a residency programme in Physical Medicine and Rehabilitation (PMR) or specialist certification in PRM which is recognized by the medical council or the equivalent</w:t>
            </w:r>
            <w:r>
              <w:rPr>
                <w:rFonts w:ascii="Arial Narrow" w:hAnsi="Arial Narrow"/>
              </w:rPr>
              <w:t xml:space="preserve"> licensing body of the country </w:t>
            </w:r>
            <w:r w:rsidRPr="009E09E5">
              <w:rPr>
                <w:rFonts w:ascii="Arial Narrow" w:hAnsi="Arial Narrow"/>
              </w:rPr>
              <w:t>(yes/no)</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(2.76; 3.3)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 3.48)</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noWrap/>
            <w:vAlign w:val="center"/>
            <w:hideMark/>
          </w:tcPr>
          <w:p w:rsidR="003A268B" w:rsidRPr="00A85EAE" w:rsidRDefault="003A268B" w:rsidP="00F540C8">
            <w:pPr>
              <w:spacing w:before="120" w:line="276" w:lineRule="auto"/>
              <w:contextualSpacing/>
              <w:rPr>
                <w:rFonts w:ascii="Arial Narrow" w:hAnsi="Arial Narrow"/>
                <w:bCs/>
                <w:sz w:val="22"/>
                <w:szCs w:val="22"/>
              </w:rPr>
            </w:pPr>
          </w:p>
          <w:p w:rsidR="003A268B" w:rsidRPr="00110C3D" w:rsidRDefault="003A268B" w:rsidP="00F540C8">
            <w:pPr>
              <w:spacing w:before="120" w:line="276" w:lineRule="auto"/>
              <w:contextualSpacing/>
              <w:rPr>
                <w:rFonts w:ascii="Arial Narrow" w:hAnsi="Arial Narrow"/>
                <w:b/>
                <w:bCs/>
                <w:sz w:val="24"/>
                <w:szCs w:val="24"/>
              </w:rPr>
            </w:pPr>
            <w:r>
              <w:rPr>
                <w:rFonts w:ascii="Arial Narrow" w:hAnsi="Arial Narrow"/>
                <w:sz w:val="22"/>
                <w:szCs w:val="22"/>
              </w:rPr>
              <w:t xml:space="preserve">        </w:t>
            </w:r>
            <w:r w:rsidR="00F07623">
              <w:rPr>
                <w:rFonts w:ascii="Arial Narrow" w:hAnsi="Arial Narrow"/>
                <w:b/>
                <w:sz w:val="24"/>
                <w:szCs w:val="24"/>
              </w:rPr>
              <w:t>Workforce P</w:t>
            </w:r>
            <w:r w:rsidR="00515E33">
              <w:rPr>
                <w:rFonts w:ascii="Arial Narrow" w:hAnsi="Arial Narrow"/>
                <w:b/>
                <w:sz w:val="24"/>
                <w:szCs w:val="24"/>
              </w:rPr>
              <w:t>lanning and</w:t>
            </w:r>
            <w:r w:rsidR="00F07623">
              <w:rPr>
                <w:rFonts w:ascii="Arial Narrow" w:hAnsi="Arial Narrow"/>
                <w:b/>
                <w:sz w:val="24"/>
                <w:szCs w:val="24"/>
              </w:rPr>
              <w:t xml:space="preserve"> P</w:t>
            </w:r>
            <w:r w:rsidRPr="00110C3D">
              <w:rPr>
                <w:rFonts w:ascii="Arial Narrow" w:hAnsi="Arial Narrow"/>
                <w:b/>
                <w:sz w:val="24"/>
                <w:szCs w:val="24"/>
              </w:rPr>
              <w:t xml:space="preserve">erformance </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0.77</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2.76</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-0.85</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(2.68; 2.84)</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2.64</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-0.84</w:t>
            </w:r>
          </w:p>
        </w:tc>
        <w:tc>
          <w:tcPr>
            <w:tcW w:w="0" w:type="auto"/>
            <w:noWrap/>
            <w:vAlign w:val="center"/>
            <w:hideMark/>
          </w:tcPr>
          <w:p w:rsidR="00FC1D38" w:rsidRDefault="00FC1D38"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p>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(2.56; 2.72)</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43</w:t>
            </w:r>
          </w:p>
        </w:tc>
        <w:tc>
          <w:tcPr>
            <w:tcW w:w="0" w:type="auto"/>
            <w:vAlign w:val="center"/>
            <w:hideMark/>
          </w:tcPr>
          <w:p w:rsidR="003A268B" w:rsidRPr="009E09E5" w:rsidRDefault="0069567E"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lang w:val="fr-FR"/>
              </w:rPr>
            </w:pPr>
            <w:proofErr w:type="spellStart"/>
            <w:r>
              <w:rPr>
                <w:rFonts w:ascii="Arial Narrow" w:hAnsi="Arial Narrow"/>
                <w:lang w:val="fr-FR"/>
              </w:rPr>
              <w:t>Rehabilitation</w:t>
            </w:r>
            <w:proofErr w:type="spellEnd"/>
            <w:r>
              <w:rPr>
                <w:rFonts w:ascii="Arial Narrow" w:hAnsi="Arial Narrow"/>
                <w:lang w:val="fr-FR"/>
              </w:rPr>
              <w:t xml:space="preserve"> </w:t>
            </w:r>
            <w:proofErr w:type="spellStart"/>
            <w:r w:rsidRPr="00264A33">
              <w:rPr>
                <w:rFonts w:ascii="Arial Narrow" w:hAnsi="Arial Narrow"/>
                <w:lang w:val="fr-FR"/>
              </w:rPr>
              <w:t>professionals</w:t>
            </w:r>
            <w:proofErr w:type="spellEnd"/>
            <w:r w:rsidR="00AC6109">
              <w:rPr>
                <w:rFonts w:ascii="Arial Narrow" w:hAnsi="Arial Narrow"/>
                <w:lang w:val="fr-FR"/>
              </w:rPr>
              <w:t xml:space="preserve"> </w:t>
            </w:r>
            <w:r w:rsidR="003A268B" w:rsidRPr="009E09E5">
              <w:rPr>
                <w:rFonts w:ascii="Arial Narrow" w:hAnsi="Arial Narrow"/>
                <w:lang w:val="fr-FR"/>
              </w:rPr>
              <w:t>/</w:t>
            </w:r>
            <w:r w:rsidR="00AC6109">
              <w:rPr>
                <w:rFonts w:ascii="Arial Narrow" w:hAnsi="Arial Narrow"/>
                <w:lang w:val="fr-FR"/>
              </w:rPr>
              <w:t xml:space="preserve"> </w:t>
            </w:r>
            <w:proofErr w:type="spellStart"/>
            <w:r w:rsidR="003A268B" w:rsidRPr="00264A33">
              <w:rPr>
                <w:rFonts w:ascii="Arial Narrow" w:hAnsi="Arial Narrow"/>
                <w:lang w:val="fr-FR"/>
              </w:rPr>
              <w:t>rehabilitation</w:t>
            </w:r>
            <w:proofErr w:type="spellEnd"/>
            <w:r w:rsidR="003A268B" w:rsidRPr="009E09E5">
              <w:rPr>
                <w:rFonts w:ascii="Arial Narrow" w:hAnsi="Arial Narrow"/>
                <w:lang w:val="fr-FR"/>
              </w:rPr>
              <w:t xml:space="preserve"> </w:t>
            </w:r>
            <w:proofErr w:type="spellStart"/>
            <w:r w:rsidR="003A268B" w:rsidRPr="00264A33">
              <w:rPr>
                <w:rFonts w:ascii="Arial Narrow" w:hAnsi="Arial Narrow"/>
                <w:lang w:val="fr-FR"/>
              </w:rPr>
              <w:t>beds</w:t>
            </w:r>
            <w:proofErr w:type="spellEnd"/>
            <w:r w:rsidR="003A268B" w:rsidRPr="009E09E5">
              <w:rPr>
                <w:rFonts w:ascii="Arial Narrow" w:hAnsi="Arial Narrow"/>
                <w:lang w:val="fr-FR"/>
              </w:rPr>
              <w:t xml:space="preserve"> ratio</w:t>
            </w:r>
            <w:r w:rsidR="003A268B">
              <w:rPr>
                <w:rFonts w:ascii="Arial Narrow" w:hAnsi="Arial Narrow"/>
                <w:lang w:val="fr-FR"/>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-0.82</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(2.28; 2.81)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 3.38)</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41</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Number of entrants into Community Based Rehabilitation training programmes (with a nationally approved curriculum) per year.</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(2.46; 2.94)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(2.49; 3.11)</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27</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Specialists in Rehabilitation Medicine</w:t>
            </w:r>
            <w:r>
              <w:rPr>
                <w:rFonts w:ascii="Arial Narrow" w:hAnsi="Arial Narrow"/>
              </w:rPr>
              <w:t xml:space="preserve"> </w:t>
            </w:r>
            <w:r w:rsidRPr="009E09E5">
              <w:rPr>
                <w:rFonts w:ascii="Arial Narrow" w:hAnsi="Arial Narrow"/>
              </w:rPr>
              <w:t xml:space="preserve">/ </w:t>
            </w:r>
            <w:proofErr w:type="gramStart"/>
            <w:r w:rsidRPr="009E09E5">
              <w:rPr>
                <w:rFonts w:ascii="Arial Narrow" w:hAnsi="Arial Narrow"/>
              </w:rPr>
              <w:t>physicians</w:t>
            </w:r>
            <w:proofErr w:type="gramEnd"/>
            <w:r w:rsidRPr="009E09E5">
              <w:rPr>
                <w:rFonts w:ascii="Arial Narrow" w:hAnsi="Arial Narrow"/>
              </w:rPr>
              <w:t xml:space="preserve"> ratio</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-0.92</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(2.51; 3.1)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3.37</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(3.13; 3.61)</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99</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Percent of registered nurses with rehabilitation certification</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0.71</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(2.11; 2.65)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(3.02; 3.48)</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76</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Total number of rehabilitation workers employed in hospitals</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0.72</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(2.37; 2.98)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-0.87</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(2.77; 3.34)</w:t>
            </w:r>
          </w:p>
        </w:tc>
      </w:tr>
      <w:tr w:rsidR="003A268B" w:rsidRPr="00693B2A" w:rsidTr="00F540C8">
        <w:trPr>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64</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 xml:space="preserve">Percentage (%) of </w:t>
            </w:r>
            <w:r w:rsidR="0069567E">
              <w:rPr>
                <w:rFonts w:ascii="Arial Narrow" w:hAnsi="Arial Narrow"/>
              </w:rPr>
              <w:t>persons with disability</w:t>
            </w:r>
            <w:r>
              <w:rPr>
                <w:rFonts w:ascii="Arial Narrow" w:hAnsi="Arial Narrow"/>
              </w:rPr>
              <w:t xml:space="preserve"> </w:t>
            </w:r>
            <w:r w:rsidRPr="009E09E5">
              <w:rPr>
                <w:rFonts w:ascii="Arial Narrow" w:hAnsi="Arial Narrow"/>
              </w:rPr>
              <w:t>that feel they have received sufficient information and been sufficiently involved in making decisions about their rehab</w:t>
            </w:r>
            <w:r>
              <w:rPr>
                <w:rFonts w:ascii="Arial Narrow" w:hAnsi="Arial Narrow"/>
              </w:rPr>
              <w:t>ilitation treatment compared to people without disability</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-0.91</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(2.65; 3.24)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(1.97; 2.55)</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98</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Proportion of organizations providing medical rehabilitation with at least one day training, meeting or other type of working session on human rights protection of persons with disabilities in the last two years. Report total number of beneficiaries/participants by occupational level/specialization.</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(2.08; 2.63)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(1.87; 2.36)</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86</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Rehabilitation workforce density by occupation/specialization and activity level</w:t>
            </w:r>
            <w:r w:rsidR="0069567E">
              <w:rPr>
                <w:rFonts w:ascii="Arial Narrow" w:hAnsi="Arial Narrow"/>
              </w:rPr>
              <w:t xml:space="preserve">. </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-0.84</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(2.62; 3.16)</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-0.87</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 2.87)</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84</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Assistive</w:t>
            </w:r>
            <w:r w:rsidR="0069567E">
              <w:rPr>
                <w:rFonts w:ascii="Arial Narrow" w:hAnsi="Arial Narrow"/>
              </w:rPr>
              <w:t xml:space="preserve"> devices training needs met –</w:t>
            </w:r>
            <w:r w:rsidRPr="009E09E5">
              <w:rPr>
                <w:rFonts w:ascii="Arial Narrow" w:hAnsi="Arial Narrow"/>
              </w:rPr>
              <w:t xml:space="preserve"> </w:t>
            </w:r>
            <w:r w:rsidR="0069567E">
              <w:rPr>
                <w:rFonts w:ascii="Arial Narrow" w:hAnsi="Arial Narrow"/>
              </w:rPr>
              <w:t>Percentage (%) of persons with disability</w:t>
            </w:r>
            <w:r w:rsidRPr="009E09E5">
              <w:rPr>
                <w:rFonts w:ascii="Arial Narrow" w:hAnsi="Arial Narrow"/>
              </w:rPr>
              <w:t xml:space="preserve"> using assistive devices that know how to maintain them</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(2.62; 3.11)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2.11</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(1.82; 2.41)</w:t>
            </w:r>
          </w:p>
        </w:tc>
      </w:tr>
      <w:tr w:rsidR="003A268B"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91</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Per</w:t>
            </w:r>
            <w:r w:rsidR="0069567E">
              <w:rPr>
                <w:rFonts w:ascii="Arial Narrow" w:hAnsi="Arial Narrow"/>
              </w:rPr>
              <w:t xml:space="preserve">centage of rehabilitation service users </w:t>
            </w:r>
            <w:r w:rsidRPr="009E09E5">
              <w:rPr>
                <w:rFonts w:ascii="Arial Narrow" w:hAnsi="Arial Narrow"/>
              </w:rPr>
              <w:t>who said they have been sufficiently involved in decisions about their care as much as they wanted to be</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(2.62; 3.15)</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-0.89</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(1.9; 2.48)</w:t>
            </w:r>
          </w:p>
        </w:tc>
      </w:tr>
      <w:tr w:rsidR="003A268B" w:rsidRPr="00693B2A" w:rsidTr="00F540C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lastRenderedPageBreak/>
              <w:t>13</w:t>
            </w:r>
          </w:p>
        </w:tc>
        <w:tc>
          <w:tcPr>
            <w:tcW w:w="0" w:type="auto"/>
            <w:vAlign w:val="center"/>
            <w:hideMark/>
          </w:tcPr>
          <w:p w:rsidR="003A268B" w:rsidRPr="009E09E5" w:rsidRDefault="003A268B"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Self-per</w:t>
            </w:r>
            <w:r w:rsidR="0069567E">
              <w:rPr>
                <w:rFonts w:ascii="Arial Narrow" w:hAnsi="Arial Narrow"/>
              </w:rPr>
              <w:t>ceived community integration – Percentage (%)</w:t>
            </w:r>
            <w:r w:rsidRPr="009E09E5">
              <w:rPr>
                <w:rFonts w:ascii="Arial Narrow" w:hAnsi="Arial Narrow"/>
              </w:rPr>
              <w:t xml:space="preserve"> of </w:t>
            </w:r>
            <w:r w:rsidR="0069567E">
              <w:rPr>
                <w:rFonts w:ascii="Arial Narrow" w:hAnsi="Arial Narrow"/>
              </w:rPr>
              <w:t xml:space="preserve">survey respondents </w:t>
            </w:r>
            <w:r w:rsidRPr="009E09E5">
              <w:rPr>
                <w:rFonts w:ascii="Arial Narrow" w:hAnsi="Arial Narrow"/>
              </w:rPr>
              <w:t>with disability who would rate their level of community integration as "7"out of "10" or higher</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0.98</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3.03</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-0.96</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(2.72; 3.34)</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-0.85</w:t>
            </w:r>
          </w:p>
        </w:tc>
        <w:tc>
          <w:tcPr>
            <w:tcW w:w="0" w:type="auto"/>
            <w:noWrap/>
            <w:vAlign w:val="center"/>
            <w:hideMark/>
          </w:tcPr>
          <w:p w:rsidR="003A268B" w:rsidRPr="00693B2A" w:rsidRDefault="003A268B"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(2.22; 2.78)</w:t>
            </w:r>
          </w:p>
        </w:tc>
      </w:tr>
      <w:tr w:rsidR="003A268B" w:rsidRPr="00693B2A" w:rsidTr="00F540C8">
        <w:trPr>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3A268B" w:rsidRPr="009E09E5" w:rsidRDefault="003A268B" w:rsidP="00F540C8">
            <w:pPr>
              <w:spacing w:before="120" w:line="276" w:lineRule="auto"/>
              <w:contextualSpacing/>
              <w:rPr>
                <w:rFonts w:ascii="Arial Narrow" w:hAnsi="Arial Narrow"/>
              </w:rPr>
            </w:pPr>
            <w:r w:rsidRPr="009E09E5">
              <w:rPr>
                <w:rFonts w:ascii="Arial Narrow" w:hAnsi="Arial Narrow"/>
              </w:rPr>
              <w:t>4</w:t>
            </w:r>
          </w:p>
        </w:tc>
        <w:tc>
          <w:tcPr>
            <w:tcW w:w="0" w:type="auto"/>
            <w:vAlign w:val="center"/>
            <w:hideMark/>
          </w:tcPr>
          <w:p w:rsidR="003A268B" w:rsidRPr="009E09E5" w:rsidRDefault="003A268B"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 xml:space="preserve">Percentage (%) of </w:t>
            </w:r>
            <w:r w:rsidR="0069567E">
              <w:rPr>
                <w:rFonts w:ascii="Arial Narrow" w:hAnsi="Arial Narrow"/>
              </w:rPr>
              <w:t>persons with disability</w:t>
            </w:r>
            <w:r>
              <w:rPr>
                <w:rFonts w:ascii="Arial Narrow" w:hAnsi="Arial Narrow"/>
              </w:rPr>
              <w:t xml:space="preserve"> </w:t>
            </w:r>
            <w:r w:rsidRPr="009E09E5">
              <w:rPr>
                <w:rFonts w:ascii="Arial Narrow" w:hAnsi="Arial Narrow"/>
              </w:rPr>
              <w:t>reporting having personally felt discriminated against or harassed during rehabilitation within the last 12 months on the basis of a ground of discrimination prohibited under international human rights law compared to people without disability</w:t>
            </w:r>
            <w:r>
              <w:rPr>
                <w:rFonts w:ascii="Arial Narrow" w:hAnsi="Arial Narrow"/>
              </w:rPr>
              <w:t>.</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3.03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(2.77; 3.28)</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2.33</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-0.72</w:t>
            </w:r>
          </w:p>
        </w:tc>
        <w:tc>
          <w:tcPr>
            <w:tcW w:w="0" w:type="auto"/>
            <w:noWrap/>
            <w:vAlign w:val="center"/>
            <w:hideMark/>
          </w:tcPr>
          <w:p w:rsidR="003A268B" w:rsidRPr="00693B2A" w:rsidRDefault="003A268B"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 2.57)</w:t>
            </w:r>
          </w:p>
        </w:tc>
      </w:tr>
      <w:tr w:rsidR="00AE45A9" w:rsidRPr="00693B2A" w:rsidTr="00FC1D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rsidR="00AE45A9" w:rsidRPr="009E09E5" w:rsidRDefault="00AE45A9" w:rsidP="007E1EB5">
            <w:pPr>
              <w:spacing w:before="120" w:line="276" w:lineRule="auto"/>
              <w:contextualSpacing/>
              <w:rPr>
                <w:rFonts w:ascii="Arial Narrow" w:hAnsi="Arial Narrow"/>
                <w:bCs/>
              </w:rPr>
            </w:pPr>
          </w:p>
          <w:p w:rsidR="00AE45A9" w:rsidRPr="00110C3D" w:rsidRDefault="00A85EAE" w:rsidP="007E1EB5">
            <w:pPr>
              <w:spacing w:before="120" w:line="276" w:lineRule="auto"/>
              <w:contextualSpacing/>
              <w:rPr>
                <w:rFonts w:ascii="Arial Narrow" w:hAnsi="Arial Narrow"/>
                <w:b/>
                <w:bCs/>
                <w:sz w:val="24"/>
                <w:szCs w:val="24"/>
              </w:rPr>
            </w:pPr>
            <w:r>
              <w:rPr>
                <w:rFonts w:ascii="Arial Narrow" w:hAnsi="Arial Narrow"/>
              </w:rPr>
              <w:t xml:space="preserve">        </w:t>
            </w:r>
            <w:r w:rsidR="00F07623">
              <w:rPr>
                <w:rFonts w:ascii="Arial Narrow" w:hAnsi="Arial Narrow"/>
                <w:b/>
                <w:sz w:val="24"/>
                <w:szCs w:val="24"/>
              </w:rPr>
              <w:t>Disability Statistics</w:t>
            </w:r>
            <w:r w:rsidR="00AE45A9" w:rsidRPr="00110C3D">
              <w:rPr>
                <w:rFonts w:ascii="Arial Narrow" w:hAnsi="Arial Narrow"/>
                <w:b/>
                <w:sz w:val="24"/>
                <w:szCs w:val="24"/>
              </w:rPr>
              <w:t xml:space="preserve"> </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0.47</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2.74</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-1.06</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(2.59; 2.89)</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2.99</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-0.91</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(2.86; 3.12)</w:t>
            </w:r>
          </w:p>
        </w:tc>
      </w:tr>
      <w:tr w:rsidR="00C62C5D"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89</w:t>
            </w:r>
          </w:p>
        </w:tc>
        <w:tc>
          <w:tcPr>
            <w:tcW w:w="0" w:type="auto"/>
            <w:vAlign w:val="center"/>
            <w:hideMark/>
          </w:tcPr>
          <w:p w:rsidR="00DD2315" w:rsidRPr="009E09E5" w:rsidRDefault="00DD2315"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New invalidity</w:t>
            </w:r>
            <w:r w:rsidR="00B565F6">
              <w:rPr>
                <w:rFonts w:ascii="Arial Narrow" w:hAnsi="Arial Narrow"/>
              </w:rPr>
              <w:t xml:space="preserve"> </w:t>
            </w:r>
            <w:r w:rsidRPr="009E09E5">
              <w:rPr>
                <w:rFonts w:ascii="Arial Narrow" w:hAnsi="Arial Narrow"/>
              </w:rPr>
              <w:t>/</w:t>
            </w:r>
            <w:r w:rsidR="00B565F6">
              <w:rPr>
                <w:rFonts w:ascii="Arial Narrow" w:hAnsi="Arial Narrow"/>
              </w:rPr>
              <w:t xml:space="preserve"> </w:t>
            </w:r>
            <w:r w:rsidRPr="009E09E5">
              <w:rPr>
                <w:rFonts w:ascii="Arial Narrow" w:hAnsi="Arial Narrow"/>
              </w:rPr>
              <w:t>disability cases per 100 000, by sex and age</w:t>
            </w:r>
            <w:r w:rsidR="00F0762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0.41</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2.49</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-1.12</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(2.13; 2.85)</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2.69</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-0.93</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(2.38; 2.99)</w:t>
            </w:r>
          </w:p>
        </w:tc>
      </w:tr>
      <w:tr w:rsidR="00B8163C"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23</w:t>
            </w:r>
          </w:p>
        </w:tc>
        <w:tc>
          <w:tcPr>
            <w:tcW w:w="0" w:type="auto"/>
            <w:vAlign w:val="center"/>
            <w:hideMark/>
          </w:tcPr>
          <w:p w:rsidR="00DD2315" w:rsidRPr="009E09E5" w:rsidRDefault="00DD2315"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Standardized Mortality Ratios (SMRs) of people with disability (selected tracer conditions) compared with the general population</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0.46</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2.64</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-0.99</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(2.32; 2.96)</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2.61</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-0.99</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(2.29; 2.94)</w:t>
            </w:r>
          </w:p>
        </w:tc>
      </w:tr>
      <w:tr w:rsidR="00C62C5D"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42</w:t>
            </w:r>
          </w:p>
        </w:tc>
        <w:tc>
          <w:tcPr>
            <w:tcW w:w="0" w:type="auto"/>
            <w:vAlign w:val="center"/>
            <w:hideMark/>
          </w:tcPr>
          <w:p w:rsidR="00DD2315" w:rsidRPr="009E09E5" w:rsidRDefault="00DD2315"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People receiving disability benefits per 100 000</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0.47</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2.59</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-0.98</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(2.28; 2.91)</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3.57</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-0.7</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(3.34; 3.8)</w:t>
            </w:r>
          </w:p>
        </w:tc>
      </w:tr>
      <w:tr w:rsidR="00B8163C" w:rsidRPr="00693B2A" w:rsidTr="00F540C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5</w:t>
            </w:r>
          </w:p>
        </w:tc>
        <w:tc>
          <w:tcPr>
            <w:tcW w:w="0" w:type="auto"/>
            <w:vAlign w:val="center"/>
            <w:hideMark/>
          </w:tcPr>
          <w:p w:rsidR="00DD2315" w:rsidRPr="009E09E5" w:rsidRDefault="00DD2315"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 xml:space="preserve">Return to work rates - Average national percentage of vocational rehabilitation clients of working age who are engaged in sustainable employment 3-6 months after closure and </w:t>
            </w:r>
            <w:r w:rsidR="00AE45A9" w:rsidRPr="009E09E5">
              <w:rPr>
                <w:rFonts w:ascii="Arial Narrow" w:hAnsi="Arial Narrow"/>
              </w:rPr>
              <w:t>were employed before entering vocational reh</w:t>
            </w:r>
            <w:r w:rsidR="005751C3">
              <w:rPr>
                <w:rFonts w:ascii="Arial Narrow" w:hAnsi="Arial Narrow"/>
              </w:rPr>
              <w:t>ab</w:t>
            </w:r>
            <w:r w:rsidR="00AE45A9" w:rsidRPr="009E09E5">
              <w:rPr>
                <w:rFonts w:ascii="Arial Narrow" w:hAnsi="Arial Narrow"/>
              </w:rPr>
              <w:t>ilitation</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0.49</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3.11</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-1.02</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(2.78; 3.44)</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2.86</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(2.53; 3.19)</w:t>
            </w:r>
          </w:p>
        </w:tc>
      </w:tr>
      <w:tr w:rsidR="00C62C5D" w:rsidRPr="00693B2A" w:rsidTr="00F540C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6</w:t>
            </w:r>
          </w:p>
        </w:tc>
        <w:tc>
          <w:tcPr>
            <w:tcW w:w="0" w:type="auto"/>
            <w:vAlign w:val="center"/>
            <w:hideMark/>
          </w:tcPr>
          <w:p w:rsidR="00DD2315" w:rsidRPr="009E09E5" w:rsidRDefault="00DD2315"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Disability prevalence</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0.51</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2.86</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-1.16</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(2.49; 3.24)</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3.22</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-0.87</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(2.94; 3.5)</w:t>
            </w:r>
          </w:p>
        </w:tc>
      </w:tr>
      <w:tr w:rsidR="00693B2A" w:rsidRPr="00693B2A" w:rsidTr="00FC1D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rsidR="00AE45A9" w:rsidRPr="00A85EAE" w:rsidRDefault="00AE45A9" w:rsidP="007E1EB5">
            <w:pPr>
              <w:spacing w:before="120" w:line="276" w:lineRule="auto"/>
              <w:contextualSpacing/>
              <w:rPr>
                <w:rFonts w:ascii="Arial Narrow" w:hAnsi="Arial Narrow"/>
                <w:bCs/>
                <w:sz w:val="22"/>
                <w:szCs w:val="22"/>
              </w:rPr>
            </w:pPr>
          </w:p>
          <w:p w:rsidR="00AE45A9" w:rsidRPr="00110C3D" w:rsidRDefault="00A85EAE" w:rsidP="007E1EB5">
            <w:pPr>
              <w:spacing w:before="120" w:line="276" w:lineRule="auto"/>
              <w:contextualSpacing/>
              <w:rPr>
                <w:rFonts w:ascii="Arial Narrow" w:hAnsi="Arial Narrow"/>
                <w:b/>
                <w:bCs/>
                <w:sz w:val="24"/>
                <w:szCs w:val="24"/>
              </w:rPr>
            </w:pPr>
            <w:r>
              <w:rPr>
                <w:rFonts w:ascii="Arial Narrow" w:hAnsi="Arial Narrow"/>
                <w:sz w:val="22"/>
                <w:szCs w:val="22"/>
              </w:rPr>
              <w:t xml:space="preserve">        </w:t>
            </w:r>
            <w:r w:rsidR="00F07623">
              <w:rPr>
                <w:rFonts w:ascii="Arial Narrow" w:hAnsi="Arial Narrow"/>
                <w:b/>
                <w:sz w:val="24"/>
                <w:szCs w:val="24"/>
              </w:rPr>
              <w:t>Social M</w:t>
            </w:r>
            <w:r w:rsidR="00515E33">
              <w:rPr>
                <w:rFonts w:ascii="Arial Narrow" w:hAnsi="Arial Narrow"/>
                <w:b/>
                <w:sz w:val="24"/>
                <w:szCs w:val="24"/>
              </w:rPr>
              <w:t>obilization and</w:t>
            </w:r>
            <w:r w:rsidR="00AE45A9" w:rsidRPr="00110C3D">
              <w:rPr>
                <w:rFonts w:ascii="Arial Narrow" w:hAnsi="Arial Narrow"/>
                <w:b/>
                <w:sz w:val="24"/>
                <w:szCs w:val="24"/>
              </w:rPr>
              <w:t xml:space="preserve"> Research </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0.57</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2.23</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-0.85</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(2.09; 2.37)</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2.43</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-0.94</w:t>
            </w:r>
          </w:p>
        </w:tc>
        <w:tc>
          <w:tcPr>
            <w:tcW w:w="0" w:type="auto"/>
            <w:noWrap/>
            <w:vAlign w:val="center"/>
            <w:hideMark/>
          </w:tcPr>
          <w:p w:rsidR="00AE45A9" w:rsidRPr="00693B2A" w:rsidRDefault="00AE45A9"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693B2A">
              <w:rPr>
                <w:rFonts w:ascii="Arial Narrow" w:hAnsi="Arial Narrow"/>
                <w:b/>
                <w:bCs/>
                <w:sz w:val="18"/>
                <w:szCs w:val="18"/>
              </w:rPr>
              <w:t>(2.28; 2.58)</w:t>
            </w:r>
          </w:p>
        </w:tc>
      </w:tr>
      <w:tr w:rsidR="00693B2A" w:rsidRPr="00693B2A" w:rsidTr="00F540C8">
        <w:trPr>
          <w:trHeight w:val="6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68</w:t>
            </w:r>
          </w:p>
        </w:tc>
        <w:tc>
          <w:tcPr>
            <w:tcW w:w="0" w:type="auto"/>
            <w:vAlign w:val="center"/>
            <w:hideMark/>
          </w:tcPr>
          <w:p w:rsidR="00DD2315" w:rsidRPr="009E09E5" w:rsidRDefault="00DD2315"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Socio-cultural environment of rehabilitation services: beliefs and cultural attitudes of health workers, care givers and their stakeholders which either prevents or enhance access to rehabilitation services. Describe and specify.</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0.52</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2.7</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-0.85</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(2.43; 2.98)</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1.91</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-0.82</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(1.65; 2.18)</w:t>
            </w:r>
          </w:p>
        </w:tc>
      </w:tr>
      <w:tr w:rsidR="00C62C5D" w:rsidRPr="00693B2A" w:rsidTr="00F540C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30</w:t>
            </w:r>
          </w:p>
        </w:tc>
        <w:tc>
          <w:tcPr>
            <w:tcW w:w="0" w:type="auto"/>
            <w:vAlign w:val="center"/>
            <w:hideMark/>
          </w:tcPr>
          <w:p w:rsidR="00DD2315" w:rsidRPr="009E09E5" w:rsidRDefault="00DD2315"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Number of registered and/or active NGOs (per 100 000 persons) involved in rehabilitation advocacy</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0.52</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2.41</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-0.9</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(2.12; 2.69)</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2.67</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-0.86</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(2.39; 2.95)</w:t>
            </w:r>
          </w:p>
        </w:tc>
      </w:tr>
      <w:tr w:rsidR="00693B2A" w:rsidRPr="00693B2A" w:rsidTr="00F540C8">
        <w:trPr>
          <w:trHeight w:val="40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32</w:t>
            </w:r>
          </w:p>
        </w:tc>
        <w:tc>
          <w:tcPr>
            <w:tcW w:w="0" w:type="auto"/>
            <w:vAlign w:val="center"/>
            <w:hideMark/>
          </w:tcPr>
          <w:p w:rsidR="00DD2315" w:rsidRPr="009E09E5" w:rsidRDefault="00DD2315" w:rsidP="00F540C8">
            <w:pPr>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9E09E5">
              <w:rPr>
                <w:rFonts w:ascii="Arial Narrow" w:hAnsi="Arial Narrow"/>
              </w:rPr>
              <w:t>Number of patent applications filed in the assistive technology sector under the PCT as % of total number of patent applications filed in the reporting period</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0.55</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1.89</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-0.88</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(1.61; 2.17)</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2.6</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-1.03</w:t>
            </w:r>
          </w:p>
        </w:tc>
        <w:tc>
          <w:tcPr>
            <w:tcW w:w="0" w:type="auto"/>
            <w:noWrap/>
            <w:vAlign w:val="center"/>
            <w:hideMark/>
          </w:tcPr>
          <w:p w:rsidR="00DD2315" w:rsidRPr="00693B2A" w:rsidRDefault="00DD2315" w:rsidP="00FC1D38">
            <w:pPr>
              <w:spacing w:before="120"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(2.26; 2.94)</w:t>
            </w:r>
          </w:p>
        </w:tc>
      </w:tr>
      <w:tr w:rsidR="00C62C5D" w:rsidRPr="00693B2A" w:rsidTr="00F540C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DD2315" w:rsidRPr="009E09E5" w:rsidRDefault="00DD2315" w:rsidP="00F540C8">
            <w:pPr>
              <w:spacing w:before="120" w:line="276" w:lineRule="auto"/>
              <w:contextualSpacing/>
              <w:rPr>
                <w:rFonts w:ascii="Arial Narrow" w:hAnsi="Arial Narrow"/>
              </w:rPr>
            </w:pPr>
            <w:r w:rsidRPr="009E09E5">
              <w:rPr>
                <w:rFonts w:ascii="Arial Narrow" w:hAnsi="Arial Narrow"/>
              </w:rPr>
              <w:t>105</w:t>
            </w:r>
          </w:p>
        </w:tc>
        <w:tc>
          <w:tcPr>
            <w:tcW w:w="0" w:type="auto"/>
            <w:vAlign w:val="center"/>
            <w:hideMark/>
          </w:tcPr>
          <w:p w:rsidR="00DD2315" w:rsidRPr="009E09E5" w:rsidRDefault="00DD2315" w:rsidP="00F540C8">
            <w:pPr>
              <w:spacing w:before="120" w:line="276" w:lineRule="auto"/>
              <w:contextualSpacing/>
              <w:cnfStyle w:val="000000100000" w:firstRow="0" w:lastRow="0" w:firstColumn="0" w:lastColumn="0" w:oddVBand="0" w:evenVBand="0" w:oddHBand="1" w:evenHBand="0" w:firstRowFirstColumn="0" w:firstRowLastColumn="0" w:lastRowFirstColumn="0" w:lastRowLastColumn="0"/>
              <w:rPr>
                <w:rFonts w:ascii="Arial Narrow" w:hAnsi="Arial Narrow"/>
              </w:rPr>
            </w:pPr>
            <w:r w:rsidRPr="009E09E5">
              <w:rPr>
                <w:rFonts w:ascii="Arial Narrow" w:hAnsi="Arial Narrow"/>
              </w:rPr>
              <w:t>Number of registered prospective randomized trials (clinical/non clinical) in rehabilitation as a % of all randomized trials registered in the reporting period</w:t>
            </w:r>
            <w:r w:rsidR="005751C3">
              <w:rPr>
                <w:rFonts w:ascii="Arial Narrow" w:hAnsi="Arial Narrow"/>
              </w:rPr>
              <w:t>.</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0.68</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1.92</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-0.8</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(1.66; 2.18)</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2.54</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-1.01</w:t>
            </w:r>
          </w:p>
        </w:tc>
        <w:tc>
          <w:tcPr>
            <w:tcW w:w="0" w:type="auto"/>
            <w:noWrap/>
            <w:vAlign w:val="center"/>
            <w:hideMark/>
          </w:tcPr>
          <w:p w:rsidR="00DD2315" w:rsidRPr="00693B2A" w:rsidRDefault="00DD2315" w:rsidP="00FC1D38">
            <w:pPr>
              <w:spacing w:before="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693B2A">
              <w:rPr>
                <w:rFonts w:ascii="Arial Narrow" w:hAnsi="Arial Narrow"/>
                <w:sz w:val="18"/>
                <w:szCs w:val="18"/>
              </w:rPr>
              <w:t>(2.21; 2.87)</w:t>
            </w:r>
          </w:p>
        </w:tc>
      </w:tr>
    </w:tbl>
    <w:p w:rsidR="00DD2315" w:rsidRDefault="00DD2315">
      <w:pPr>
        <w:rPr>
          <w:lang w:val="en-US"/>
        </w:rPr>
      </w:pPr>
    </w:p>
    <w:p w:rsidR="009E4780" w:rsidRDefault="009E4780">
      <w:pPr>
        <w:rPr>
          <w:rFonts w:ascii="Arial Narrow" w:hAnsi="Arial Narrow"/>
          <w:lang w:val="en-US"/>
        </w:rPr>
      </w:pPr>
      <w:proofErr w:type="gramStart"/>
      <w:r>
        <w:rPr>
          <w:lang w:val="en-US"/>
        </w:rPr>
        <w:t xml:space="preserve">*  </w:t>
      </w:r>
      <w:r w:rsidRPr="009E4780">
        <w:rPr>
          <w:rFonts w:ascii="Arial Narrow" w:hAnsi="Arial Narrow"/>
          <w:lang w:val="en-US"/>
        </w:rPr>
        <w:t>Number</w:t>
      </w:r>
      <w:proofErr w:type="gramEnd"/>
      <w:r w:rsidRPr="009E4780">
        <w:rPr>
          <w:rFonts w:ascii="Arial Narrow" w:hAnsi="Arial Narrow"/>
          <w:lang w:val="en-US"/>
        </w:rPr>
        <w:t xml:space="preserve"> corresponds to the n</w:t>
      </w:r>
      <w:r>
        <w:rPr>
          <w:rFonts w:ascii="Arial Narrow" w:hAnsi="Arial Narrow"/>
          <w:lang w:val="en-US"/>
        </w:rPr>
        <w:t xml:space="preserve">umber </w:t>
      </w:r>
      <w:r w:rsidR="00DA2C73">
        <w:rPr>
          <w:rFonts w:ascii="Arial Narrow" w:hAnsi="Arial Narrow"/>
          <w:lang w:val="en-US"/>
        </w:rPr>
        <w:t>that was randomly assigned to the indicator after the brainstorming phase.</w:t>
      </w:r>
    </w:p>
    <w:p w:rsidR="007E1EB5" w:rsidRDefault="007E1EB5">
      <w:pPr>
        <w:rPr>
          <w:rFonts w:ascii="Arial Narrow" w:hAnsi="Arial Narrow"/>
          <w:lang w:val="en-US"/>
        </w:rPr>
      </w:pPr>
    </w:p>
    <w:p w:rsidR="007E1EB5" w:rsidRDefault="009E4780">
      <w:pPr>
        <w:rPr>
          <w:rFonts w:ascii="Arial Narrow" w:hAnsi="Arial Narrow"/>
          <w:lang w:val="en-US"/>
        </w:rPr>
      </w:pPr>
      <w:proofErr w:type="gramStart"/>
      <w:r>
        <w:rPr>
          <w:rFonts w:ascii="Arial Narrow" w:hAnsi="Arial Narrow"/>
          <w:lang w:val="en-US"/>
        </w:rPr>
        <w:t xml:space="preserve">†  </w:t>
      </w:r>
      <w:r w:rsidR="003F1706">
        <w:rPr>
          <w:rFonts w:ascii="Arial Narrow" w:hAnsi="Arial Narrow"/>
          <w:lang w:val="en-US"/>
        </w:rPr>
        <w:t>Indicators</w:t>
      </w:r>
      <w:proofErr w:type="gramEnd"/>
      <w:r w:rsidR="003F1706">
        <w:rPr>
          <w:rFonts w:ascii="Arial Narrow" w:hAnsi="Arial Narrow"/>
          <w:lang w:val="en-US"/>
        </w:rPr>
        <w:t xml:space="preserve"> within each cluster are arranged by descending order of </w:t>
      </w:r>
      <w:r>
        <w:rPr>
          <w:rFonts w:ascii="Arial Narrow" w:hAnsi="Arial Narrow"/>
          <w:lang w:val="en-US"/>
        </w:rPr>
        <w:t>Bridging Index (BI)</w:t>
      </w:r>
      <w:r w:rsidR="003F1706">
        <w:rPr>
          <w:rFonts w:ascii="Arial Narrow" w:hAnsi="Arial Narrow"/>
          <w:lang w:val="en-US"/>
        </w:rPr>
        <w:t xml:space="preserve"> score. BI</w:t>
      </w:r>
      <w:r>
        <w:rPr>
          <w:rFonts w:ascii="Arial Narrow" w:hAnsi="Arial Narrow"/>
          <w:lang w:val="en-US"/>
        </w:rPr>
        <w:t xml:space="preserve"> is a measure of the internal cohesiveness of the cluster. Value</w:t>
      </w:r>
      <w:r w:rsidR="008A19B0">
        <w:rPr>
          <w:rFonts w:ascii="Arial Narrow" w:hAnsi="Arial Narrow"/>
          <w:lang w:val="en-US"/>
        </w:rPr>
        <w:t>s</w:t>
      </w:r>
      <w:r>
        <w:rPr>
          <w:rFonts w:ascii="Arial Narrow" w:hAnsi="Arial Narrow"/>
          <w:lang w:val="en-US"/>
        </w:rPr>
        <w:t xml:space="preserve"> range from zero to one (0-1). </w:t>
      </w:r>
      <w:r w:rsidRPr="009E4780">
        <w:rPr>
          <w:rFonts w:ascii="Arial Narrow" w:hAnsi="Arial Narrow"/>
          <w:lang w:val="en-US"/>
        </w:rPr>
        <w:t>C</w:t>
      </w:r>
      <w:r>
        <w:rPr>
          <w:rFonts w:ascii="Arial Narrow" w:hAnsi="Arial Narrow"/>
          <w:lang w:val="en-US"/>
        </w:rPr>
        <w:t xml:space="preserve">lusters with low BI </w:t>
      </w:r>
      <w:r w:rsidRPr="009E4780">
        <w:rPr>
          <w:rFonts w:ascii="Arial Narrow" w:hAnsi="Arial Narrow"/>
          <w:lang w:val="en-US"/>
        </w:rPr>
        <w:t>are internally more cohesive as the indicators c</w:t>
      </w:r>
      <w:r w:rsidR="001869CE">
        <w:rPr>
          <w:rFonts w:ascii="Arial Narrow" w:hAnsi="Arial Narrow"/>
          <w:lang w:val="en-US"/>
        </w:rPr>
        <w:t>ontained therein were more frequently</w:t>
      </w:r>
      <w:r w:rsidRPr="009E4780">
        <w:rPr>
          <w:rFonts w:ascii="Arial Narrow" w:hAnsi="Arial Narrow"/>
          <w:lang w:val="en-US"/>
        </w:rPr>
        <w:t xml:space="preserve"> sorted together by participants. Clusters with high</w:t>
      </w:r>
      <w:r w:rsidR="00FC1D38">
        <w:rPr>
          <w:rFonts w:ascii="Arial Narrow" w:hAnsi="Arial Narrow"/>
          <w:lang w:val="en-US"/>
        </w:rPr>
        <w:t>er</w:t>
      </w:r>
      <w:r w:rsidRPr="009E4780">
        <w:rPr>
          <w:rFonts w:ascii="Arial Narrow" w:hAnsi="Arial Narrow"/>
          <w:lang w:val="en-US"/>
        </w:rPr>
        <w:t xml:space="preserve"> </w:t>
      </w:r>
      <w:r>
        <w:rPr>
          <w:rFonts w:ascii="Arial Narrow" w:hAnsi="Arial Narrow"/>
          <w:lang w:val="en-US"/>
        </w:rPr>
        <w:t xml:space="preserve">BI </w:t>
      </w:r>
      <w:r w:rsidRPr="009E4780">
        <w:rPr>
          <w:rFonts w:ascii="Arial Narrow" w:hAnsi="Arial Narrow"/>
          <w:lang w:val="en-US"/>
        </w:rPr>
        <w:t xml:space="preserve">contain broader concepts and are highly </w:t>
      </w:r>
      <w:r w:rsidR="00455EAA">
        <w:rPr>
          <w:rFonts w:ascii="Arial Narrow" w:hAnsi="Arial Narrow"/>
          <w:lang w:val="en-US"/>
        </w:rPr>
        <w:t xml:space="preserve">likely to be </w:t>
      </w:r>
      <w:r w:rsidRPr="009E4780">
        <w:rPr>
          <w:rFonts w:ascii="Arial Narrow" w:hAnsi="Arial Narrow"/>
          <w:lang w:val="en-US"/>
        </w:rPr>
        <w:t>related to other domains on the concept map</w:t>
      </w:r>
      <w:r w:rsidR="0006284D">
        <w:rPr>
          <w:rFonts w:ascii="Arial Narrow" w:hAnsi="Arial Narrow"/>
          <w:lang w:val="en-US"/>
        </w:rPr>
        <w:t xml:space="preserve"> thus showing the degree of interconnectedness of the cluster with other parts of the </w:t>
      </w:r>
      <w:proofErr w:type="gramStart"/>
      <w:r w:rsidR="0006284D">
        <w:rPr>
          <w:rFonts w:ascii="Arial Narrow" w:hAnsi="Arial Narrow"/>
          <w:lang w:val="en-US"/>
        </w:rPr>
        <w:t xml:space="preserve">framework </w:t>
      </w:r>
      <w:r w:rsidRPr="009E4780">
        <w:rPr>
          <w:rFonts w:ascii="Arial Narrow" w:hAnsi="Arial Narrow"/>
          <w:lang w:val="en-US"/>
        </w:rPr>
        <w:t>.</w:t>
      </w:r>
      <w:proofErr w:type="gramEnd"/>
      <w:r w:rsidR="00DA2C73">
        <w:rPr>
          <w:rFonts w:ascii="Arial Narrow" w:hAnsi="Arial Narrow"/>
          <w:lang w:val="en-US"/>
        </w:rPr>
        <w:t xml:space="preserve"> </w:t>
      </w:r>
    </w:p>
    <w:p w:rsidR="00F56EA2" w:rsidRDefault="00F56EA2">
      <w:pPr>
        <w:rPr>
          <w:rFonts w:ascii="Arial Narrow" w:hAnsi="Arial Narrow"/>
          <w:lang w:val="en-US"/>
        </w:rPr>
      </w:pPr>
    </w:p>
    <w:p w:rsidR="00F56EA2" w:rsidRPr="009E4780" w:rsidRDefault="00F56EA2">
      <w:pPr>
        <w:rPr>
          <w:rFonts w:ascii="Arial Narrow" w:hAnsi="Arial Narrow"/>
          <w:lang w:val="en-US"/>
        </w:rPr>
      </w:pPr>
      <w:r>
        <w:rPr>
          <w:rFonts w:ascii="Arial Narrow" w:hAnsi="Arial Narrow"/>
          <w:lang w:val="en-US"/>
        </w:rPr>
        <w:t xml:space="preserve">Cluster rating scores are based on the mean rating for all indicators within the cluster. </w:t>
      </w:r>
    </w:p>
    <w:sectPr w:rsidR="00F56EA2" w:rsidRPr="009E4780" w:rsidSect="00DD231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341" w:rsidRDefault="00392341" w:rsidP="00FC05AD">
      <w:r>
        <w:separator/>
      </w:r>
    </w:p>
  </w:endnote>
  <w:endnote w:type="continuationSeparator" w:id="0">
    <w:p w:rsidR="00392341" w:rsidRDefault="00392341" w:rsidP="00FC0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341" w:rsidRDefault="00392341" w:rsidP="00FC05AD">
      <w:r>
        <w:separator/>
      </w:r>
    </w:p>
  </w:footnote>
  <w:footnote w:type="continuationSeparator" w:id="0">
    <w:p w:rsidR="00392341" w:rsidRDefault="00392341" w:rsidP="00FC05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F5F07C7E"/>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E8F46278"/>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5FFA7CDC"/>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D102C6DE"/>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8"/>
    <w:multiLevelType w:val="singleLevel"/>
    <w:tmpl w:val="59AA6056"/>
    <w:lvl w:ilvl="0">
      <w:start w:val="1"/>
      <w:numFmt w:val="decimal"/>
      <w:pStyle w:val="ListNumber"/>
      <w:lvlText w:val="%1."/>
      <w:lvlJc w:val="left"/>
      <w:pPr>
        <w:tabs>
          <w:tab w:val="num" w:pos="360"/>
        </w:tabs>
        <w:ind w:left="360" w:hanging="360"/>
      </w:pPr>
    </w:lvl>
  </w:abstractNum>
  <w:abstractNum w:abstractNumId="5">
    <w:nsid w:val="2551484A"/>
    <w:multiLevelType w:val="multilevel"/>
    <w:tmpl w:val="89F6039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pStyle w:val="Heading6"/>
      <w:lvlText w:val="%1.%2.%3.%4.%5.%6."/>
      <w:lvlJc w:val="left"/>
      <w:pPr>
        <w:tabs>
          <w:tab w:val="num" w:pos="3240"/>
        </w:tabs>
        <w:ind w:left="2736" w:hanging="936"/>
      </w:pPr>
    </w:lvl>
    <w:lvl w:ilvl="6">
      <w:start w:val="1"/>
      <w:numFmt w:val="decimal"/>
      <w:pStyle w:val="Heading7"/>
      <w:lvlText w:val="%1.%2.%3.%4.%5.%6.%7."/>
      <w:lvlJc w:val="left"/>
      <w:pPr>
        <w:tabs>
          <w:tab w:val="num" w:pos="3600"/>
        </w:tabs>
        <w:ind w:left="3240" w:hanging="1080"/>
      </w:pPr>
    </w:lvl>
    <w:lvl w:ilvl="7">
      <w:start w:val="1"/>
      <w:numFmt w:val="decimal"/>
      <w:pStyle w:val="Heading8"/>
      <w:lvlText w:val="%1.%2.%3.%4.%5.%6.%7.%8."/>
      <w:lvlJc w:val="left"/>
      <w:pPr>
        <w:tabs>
          <w:tab w:val="num" w:pos="4320"/>
        </w:tabs>
        <w:ind w:left="3744" w:hanging="1224"/>
      </w:pPr>
    </w:lvl>
    <w:lvl w:ilvl="8">
      <w:start w:val="1"/>
      <w:numFmt w:val="decimal"/>
      <w:pStyle w:val="Heading9"/>
      <w:lvlText w:val="%1.%2.%3.%4.%5.%6.%7.%8.%9."/>
      <w:lvlJc w:val="left"/>
      <w:pPr>
        <w:tabs>
          <w:tab w:val="num" w:pos="4680"/>
        </w:tabs>
        <w:ind w:left="4320" w:hanging="1440"/>
      </w:pPr>
    </w:lvl>
  </w:abstractNum>
  <w:abstractNum w:abstractNumId="6">
    <w:nsid w:val="510313BD"/>
    <w:multiLevelType w:val="multilevel"/>
    <w:tmpl w:val="08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nsid w:val="57E95D0F"/>
    <w:multiLevelType w:val="multilevel"/>
    <w:tmpl w:val="08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
    <w:nsid w:val="628C5E7D"/>
    <w:multiLevelType w:val="multilevel"/>
    <w:tmpl w:val="08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7EB82BDA"/>
    <w:multiLevelType w:val="multilevel"/>
    <w:tmpl w:val="7020E8E4"/>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440"/>
        </w:tabs>
        <w:ind w:left="1224" w:hanging="504"/>
      </w:pPr>
    </w:lvl>
    <w:lvl w:ilvl="3">
      <w:start w:val="1"/>
      <w:numFmt w:val="decimal"/>
      <w:pStyle w:val="Heading4"/>
      <w:lvlText w:val="%1.%2.%3.%4."/>
      <w:lvlJc w:val="left"/>
      <w:pPr>
        <w:tabs>
          <w:tab w:val="num" w:pos="2160"/>
        </w:tabs>
        <w:ind w:left="1728" w:hanging="648"/>
      </w:pPr>
    </w:lvl>
    <w:lvl w:ilvl="4">
      <w:start w:val="1"/>
      <w:numFmt w:val="decimal"/>
      <w:pStyle w:val="Heading5"/>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7"/>
  </w:num>
  <w:num w:numId="2">
    <w:abstractNumId w:val="8"/>
  </w:num>
  <w:num w:numId="3">
    <w:abstractNumId w:val="6"/>
  </w:num>
  <w:num w:numId="4">
    <w:abstractNumId w:val="3"/>
  </w:num>
  <w:num w:numId="5">
    <w:abstractNumId w:val="2"/>
  </w:num>
  <w:num w:numId="6">
    <w:abstractNumId w:val="1"/>
  </w:num>
  <w:num w:numId="7">
    <w:abstractNumId w:val="0"/>
  </w:num>
  <w:num w:numId="8">
    <w:abstractNumId w:val="4"/>
  </w:num>
  <w:num w:numId="9">
    <w:abstractNumId w:val="9"/>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315"/>
    <w:rsid w:val="00003765"/>
    <w:rsid w:val="000537A0"/>
    <w:rsid w:val="0006284D"/>
    <w:rsid w:val="00084F29"/>
    <w:rsid w:val="000A0245"/>
    <w:rsid w:val="000D5C59"/>
    <w:rsid w:val="000E3EE5"/>
    <w:rsid w:val="00110C3D"/>
    <w:rsid w:val="00130344"/>
    <w:rsid w:val="001869CE"/>
    <w:rsid w:val="001B38B0"/>
    <w:rsid w:val="002016D3"/>
    <w:rsid w:val="00241205"/>
    <w:rsid w:val="00262488"/>
    <w:rsid w:val="00264A33"/>
    <w:rsid w:val="00272C2E"/>
    <w:rsid w:val="00290A70"/>
    <w:rsid w:val="002A7170"/>
    <w:rsid w:val="002C003E"/>
    <w:rsid w:val="0032426F"/>
    <w:rsid w:val="00347F5F"/>
    <w:rsid w:val="00356A4F"/>
    <w:rsid w:val="0035728A"/>
    <w:rsid w:val="00392341"/>
    <w:rsid w:val="003A268B"/>
    <w:rsid w:val="003F1706"/>
    <w:rsid w:val="0041585D"/>
    <w:rsid w:val="00455EAA"/>
    <w:rsid w:val="00515E33"/>
    <w:rsid w:val="00517FFE"/>
    <w:rsid w:val="005751C3"/>
    <w:rsid w:val="005952C5"/>
    <w:rsid w:val="005B78A2"/>
    <w:rsid w:val="005C336A"/>
    <w:rsid w:val="00620D06"/>
    <w:rsid w:val="006267B2"/>
    <w:rsid w:val="00635029"/>
    <w:rsid w:val="00644FBB"/>
    <w:rsid w:val="00647749"/>
    <w:rsid w:val="006528DA"/>
    <w:rsid w:val="00664251"/>
    <w:rsid w:val="00693B2A"/>
    <w:rsid w:val="0069567E"/>
    <w:rsid w:val="006D1AC1"/>
    <w:rsid w:val="00731C48"/>
    <w:rsid w:val="00755AE4"/>
    <w:rsid w:val="00785B7B"/>
    <w:rsid w:val="007963D0"/>
    <w:rsid w:val="007E1EB5"/>
    <w:rsid w:val="00890FB5"/>
    <w:rsid w:val="008A19B0"/>
    <w:rsid w:val="00984C14"/>
    <w:rsid w:val="009D1193"/>
    <w:rsid w:val="009D1AB2"/>
    <w:rsid w:val="009E09E5"/>
    <w:rsid w:val="009E4780"/>
    <w:rsid w:val="00A04D2A"/>
    <w:rsid w:val="00A2279E"/>
    <w:rsid w:val="00A409F8"/>
    <w:rsid w:val="00A56CAD"/>
    <w:rsid w:val="00A77F77"/>
    <w:rsid w:val="00A85EAE"/>
    <w:rsid w:val="00AC6109"/>
    <w:rsid w:val="00AE45A9"/>
    <w:rsid w:val="00B565F6"/>
    <w:rsid w:val="00B704FC"/>
    <w:rsid w:val="00B8163C"/>
    <w:rsid w:val="00B95191"/>
    <w:rsid w:val="00BE7957"/>
    <w:rsid w:val="00C0645D"/>
    <w:rsid w:val="00C11478"/>
    <w:rsid w:val="00C120D9"/>
    <w:rsid w:val="00C62C5D"/>
    <w:rsid w:val="00C962DF"/>
    <w:rsid w:val="00CB7709"/>
    <w:rsid w:val="00D27707"/>
    <w:rsid w:val="00D34933"/>
    <w:rsid w:val="00D4359D"/>
    <w:rsid w:val="00D75992"/>
    <w:rsid w:val="00DA2C73"/>
    <w:rsid w:val="00DD2315"/>
    <w:rsid w:val="00DE444D"/>
    <w:rsid w:val="00EB3EF2"/>
    <w:rsid w:val="00F07623"/>
    <w:rsid w:val="00F540C8"/>
    <w:rsid w:val="00F56EA2"/>
    <w:rsid w:val="00F71C4A"/>
    <w:rsid w:val="00F74C51"/>
    <w:rsid w:val="00F94783"/>
    <w:rsid w:val="00FC05AD"/>
    <w:rsid w:val="00FC1D38"/>
    <w:rsid w:val="00FE6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AB2"/>
    <w:rPr>
      <w:rFonts w:ascii="Arial" w:hAnsi="Arial"/>
      <w:lang w:val="en-GB" w:eastAsia="de-CH"/>
    </w:rPr>
  </w:style>
  <w:style w:type="paragraph" w:styleId="Heading1">
    <w:name w:val="heading 1"/>
    <w:basedOn w:val="Normal"/>
    <w:next w:val="Normal"/>
    <w:qFormat/>
    <w:rsid w:val="009D1AB2"/>
    <w:pPr>
      <w:keepNext/>
      <w:numPr>
        <w:numId w:val="9"/>
      </w:numPr>
      <w:tabs>
        <w:tab w:val="left" w:pos="567"/>
      </w:tabs>
      <w:spacing w:before="120" w:after="120"/>
      <w:outlineLvl w:val="0"/>
    </w:pPr>
    <w:rPr>
      <w:rFonts w:cs="Arial"/>
      <w:b/>
      <w:bCs/>
      <w:kern w:val="32"/>
      <w:sz w:val="24"/>
      <w:szCs w:val="24"/>
    </w:rPr>
  </w:style>
  <w:style w:type="paragraph" w:styleId="Heading2">
    <w:name w:val="heading 2"/>
    <w:basedOn w:val="Normal"/>
    <w:next w:val="Normal"/>
    <w:qFormat/>
    <w:rsid w:val="009D1AB2"/>
    <w:pPr>
      <w:keepNext/>
      <w:numPr>
        <w:ilvl w:val="1"/>
        <w:numId w:val="9"/>
      </w:numPr>
      <w:tabs>
        <w:tab w:val="left" w:pos="851"/>
      </w:tabs>
      <w:spacing w:before="120" w:after="120"/>
      <w:outlineLvl w:val="1"/>
    </w:pPr>
    <w:rPr>
      <w:rFonts w:cs="Arial"/>
      <w:b/>
      <w:bCs/>
      <w:iCs/>
      <w:sz w:val="22"/>
      <w:szCs w:val="22"/>
    </w:rPr>
  </w:style>
  <w:style w:type="paragraph" w:styleId="Heading3">
    <w:name w:val="heading 3"/>
    <w:basedOn w:val="Normal"/>
    <w:next w:val="Normal"/>
    <w:qFormat/>
    <w:rsid w:val="009D1AB2"/>
    <w:pPr>
      <w:keepNext/>
      <w:numPr>
        <w:ilvl w:val="2"/>
        <w:numId w:val="9"/>
      </w:numPr>
      <w:tabs>
        <w:tab w:val="left" w:pos="1134"/>
      </w:tabs>
      <w:spacing w:before="120" w:after="120"/>
      <w:outlineLvl w:val="2"/>
    </w:pPr>
    <w:rPr>
      <w:rFonts w:cs="Arial"/>
      <w:b/>
      <w:bCs/>
    </w:rPr>
  </w:style>
  <w:style w:type="paragraph" w:styleId="Heading4">
    <w:name w:val="heading 4"/>
    <w:basedOn w:val="Normal"/>
    <w:next w:val="Normal"/>
    <w:qFormat/>
    <w:rsid w:val="009D1AB2"/>
    <w:pPr>
      <w:keepNext/>
      <w:numPr>
        <w:ilvl w:val="3"/>
        <w:numId w:val="9"/>
      </w:numPr>
      <w:tabs>
        <w:tab w:val="left" w:pos="1418"/>
      </w:tabs>
      <w:spacing w:before="120" w:after="120"/>
      <w:outlineLvl w:val="3"/>
    </w:pPr>
    <w:rPr>
      <w:b/>
      <w:bCs/>
    </w:rPr>
  </w:style>
  <w:style w:type="paragraph" w:styleId="Heading5">
    <w:name w:val="heading 5"/>
    <w:basedOn w:val="Normal"/>
    <w:next w:val="Normal"/>
    <w:qFormat/>
    <w:rsid w:val="009D1AB2"/>
    <w:pPr>
      <w:numPr>
        <w:ilvl w:val="4"/>
        <w:numId w:val="9"/>
      </w:numPr>
      <w:tabs>
        <w:tab w:val="left" w:pos="1701"/>
      </w:tabs>
      <w:spacing w:before="120" w:after="120"/>
      <w:outlineLvl w:val="4"/>
    </w:pPr>
    <w:rPr>
      <w:b/>
      <w:bCs/>
      <w:iCs/>
    </w:rPr>
  </w:style>
  <w:style w:type="paragraph" w:styleId="Heading6">
    <w:name w:val="heading 6"/>
    <w:basedOn w:val="Normal"/>
    <w:next w:val="Normal"/>
    <w:qFormat/>
    <w:rsid w:val="009D1AB2"/>
    <w:pPr>
      <w:numPr>
        <w:ilvl w:val="5"/>
        <w:numId w:val="10"/>
      </w:numPr>
      <w:tabs>
        <w:tab w:val="left" w:pos="1985"/>
      </w:tabs>
      <w:spacing w:before="120" w:after="120"/>
      <w:outlineLvl w:val="5"/>
    </w:pPr>
    <w:rPr>
      <w:b/>
      <w:bCs/>
    </w:rPr>
  </w:style>
  <w:style w:type="paragraph" w:styleId="Heading7">
    <w:name w:val="heading 7"/>
    <w:basedOn w:val="Normal"/>
    <w:next w:val="Normal"/>
    <w:qFormat/>
    <w:rsid w:val="009D1AB2"/>
    <w:pPr>
      <w:numPr>
        <w:ilvl w:val="6"/>
        <w:numId w:val="10"/>
      </w:numPr>
      <w:tabs>
        <w:tab w:val="left" w:pos="2268"/>
      </w:tabs>
      <w:spacing w:before="120" w:after="120"/>
      <w:outlineLvl w:val="6"/>
    </w:pPr>
    <w:rPr>
      <w:b/>
    </w:rPr>
  </w:style>
  <w:style w:type="paragraph" w:styleId="Heading8">
    <w:name w:val="heading 8"/>
    <w:basedOn w:val="Normal"/>
    <w:next w:val="Normal"/>
    <w:qFormat/>
    <w:rsid w:val="009D1AB2"/>
    <w:pPr>
      <w:numPr>
        <w:ilvl w:val="7"/>
        <w:numId w:val="10"/>
      </w:numPr>
      <w:tabs>
        <w:tab w:val="left" w:pos="2552"/>
      </w:tabs>
      <w:spacing w:before="120" w:after="120"/>
      <w:outlineLvl w:val="7"/>
    </w:pPr>
    <w:rPr>
      <w:b/>
      <w:iCs/>
    </w:rPr>
  </w:style>
  <w:style w:type="paragraph" w:styleId="Heading9">
    <w:name w:val="heading 9"/>
    <w:basedOn w:val="Normal"/>
    <w:next w:val="Normal"/>
    <w:qFormat/>
    <w:rsid w:val="009D1AB2"/>
    <w:pPr>
      <w:numPr>
        <w:ilvl w:val="8"/>
        <w:numId w:val="10"/>
      </w:numPr>
      <w:tabs>
        <w:tab w:val="left" w:pos="2835"/>
      </w:tabs>
      <w:spacing w:before="120" w:after="120"/>
      <w:outlineLvl w:val="8"/>
    </w:pPr>
    <w:rPr>
      <w:rFonts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290A70"/>
    <w:pPr>
      <w:numPr>
        <w:numId w:val="1"/>
      </w:numPr>
    </w:pPr>
  </w:style>
  <w:style w:type="numbering" w:styleId="1ai">
    <w:name w:val="Outline List 1"/>
    <w:basedOn w:val="NoList"/>
    <w:semiHidden/>
    <w:rsid w:val="00290A70"/>
    <w:pPr>
      <w:numPr>
        <w:numId w:val="2"/>
      </w:numPr>
    </w:pPr>
  </w:style>
  <w:style w:type="paragraph" w:styleId="TableofFigures">
    <w:name w:val="table of figures"/>
    <w:basedOn w:val="Normal"/>
    <w:next w:val="Normal"/>
    <w:rsid w:val="00290A70"/>
    <w:pPr>
      <w:ind w:left="400" w:hanging="400"/>
    </w:pPr>
  </w:style>
  <w:style w:type="paragraph" w:styleId="Salutation">
    <w:name w:val="Salutation"/>
    <w:basedOn w:val="Normal"/>
    <w:next w:val="Normal"/>
    <w:semiHidden/>
    <w:rsid w:val="00290A70"/>
  </w:style>
  <w:style w:type="numbering" w:styleId="ArticleSection">
    <w:name w:val="Outline List 3"/>
    <w:basedOn w:val="NoList"/>
    <w:semiHidden/>
    <w:rsid w:val="00290A70"/>
    <w:pPr>
      <w:numPr>
        <w:numId w:val="3"/>
      </w:numPr>
    </w:pPr>
  </w:style>
  <w:style w:type="paragraph" w:styleId="ListBullet">
    <w:name w:val="List Bullet"/>
    <w:basedOn w:val="Normal"/>
    <w:autoRedefine/>
    <w:rsid w:val="00290A70"/>
  </w:style>
  <w:style w:type="paragraph" w:styleId="ListBullet2">
    <w:name w:val="List Bullet 2"/>
    <w:basedOn w:val="Normal"/>
    <w:autoRedefine/>
    <w:rsid w:val="00290A70"/>
    <w:pPr>
      <w:numPr>
        <w:numId w:val="4"/>
      </w:numPr>
      <w:tabs>
        <w:tab w:val="clear" w:pos="643"/>
        <w:tab w:val="num" w:pos="360"/>
      </w:tabs>
      <w:ind w:left="360"/>
    </w:pPr>
  </w:style>
  <w:style w:type="paragraph" w:styleId="ListBullet3">
    <w:name w:val="List Bullet 3"/>
    <w:basedOn w:val="Normal"/>
    <w:autoRedefine/>
    <w:rsid w:val="00290A70"/>
    <w:pPr>
      <w:numPr>
        <w:numId w:val="5"/>
      </w:numPr>
      <w:tabs>
        <w:tab w:val="clear" w:pos="926"/>
        <w:tab w:val="num" w:pos="360"/>
      </w:tabs>
      <w:ind w:left="360"/>
    </w:pPr>
  </w:style>
  <w:style w:type="paragraph" w:styleId="ListBullet4">
    <w:name w:val="List Bullet 4"/>
    <w:basedOn w:val="Normal"/>
    <w:autoRedefine/>
    <w:rsid w:val="00290A70"/>
    <w:pPr>
      <w:numPr>
        <w:numId w:val="6"/>
      </w:numPr>
      <w:tabs>
        <w:tab w:val="clear" w:pos="1209"/>
        <w:tab w:val="num" w:pos="360"/>
      </w:tabs>
      <w:ind w:left="360"/>
    </w:pPr>
  </w:style>
  <w:style w:type="paragraph" w:styleId="ListBullet5">
    <w:name w:val="List Bullet 5"/>
    <w:basedOn w:val="Normal"/>
    <w:autoRedefine/>
    <w:rsid w:val="00290A70"/>
    <w:pPr>
      <w:numPr>
        <w:numId w:val="7"/>
      </w:numPr>
      <w:tabs>
        <w:tab w:val="clear" w:pos="1492"/>
        <w:tab w:val="num" w:pos="360"/>
      </w:tabs>
      <w:ind w:left="360"/>
    </w:pPr>
  </w:style>
  <w:style w:type="paragraph" w:styleId="Caption">
    <w:name w:val="caption"/>
    <w:basedOn w:val="Normal"/>
    <w:next w:val="Normal"/>
    <w:qFormat/>
    <w:rsid w:val="009D1AB2"/>
    <w:pPr>
      <w:spacing w:before="120" w:after="120"/>
    </w:pPr>
    <w:rPr>
      <w:b/>
      <w:bCs/>
    </w:rPr>
  </w:style>
  <w:style w:type="character" w:styleId="FollowedHyperlink">
    <w:name w:val="FollowedHyperlink"/>
    <w:uiPriority w:val="99"/>
    <w:rsid w:val="00290A70"/>
    <w:rPr>
      <w:rFonts w:ascii="Verdana" w:hAnsi="Verdana"/>
      <w:color w:val="800080"/>
      <w:sz w:val="20"/>
      <w:szCs w:val="20"/>
      <w:u w:val="single"/>
    </w:rPr>
  </w:style>
  <w:style w:type="paragraph" w:styleId="BlockText">
    <w:name w:val="Block Text"/>
    <w:basedOn w:val="Normal"/>
    <w:semiHidden/>
    <w:rsid w:val="00290A70"/>
    <w:pPr>
      <w:spacing w:after="120"/>
      <w:ind w:left="1440" w:right="1440"/>
    </w:pPr>
  </w:style>
  <w:style w:type="paragraph" w:styleId="DocumentMap">
    <w:name w:val="Document Map"/>
    <w:basedOn w:val="Normal"/>
    <w:rsid w:val="00290A70"/>
    <w:pPr>
      <w:shd w:val="clear" w:color="auto" w:fill="000080"/>
    </w:pPr>
    <w:rPr>
      <w:rFonts w:cs="Tahoma"/>
    </w:rPr>
  </w:style>
  <w:style w:type="paragraph" w:styleId="E-mailSignature">
    <w:name w:val="E-mail Signature"/>
    <w:basedOn w:val="Normal"/>
    <w:semiHidden/>
    <w:rsid w:val="00290A70"/>
  </w:style>
  <w:style w:type="paragraph" w:styleId="EndnoteText">
    <w:name w:val="endnote text"/>
    <w:basedOn w:val="Normal"/>
    <w:semiHidden/>
    <w:rsid w:val="00290A70"/>
  </w:style>
  <w:style w:type="character" w:styleId="EndnoteReference">
    <w:name w:val="endnote reference"/>
    <w:semiHidden/>
    <w:rsid w:val="00290A70"/>
    <w:rPr>
      <w:rFonts w:ascii="Verdana" w:hAnsi="Verdana"/>
      <w:vertAlign w:val="superscript"/>
    </w:rPr>
  </w:style>
  <w:style w:type="character" w:styleId="Strong">
    <w:name w:val="Strong"/>
    <w:qFormat/>
    <w:rsid w:val="009D1AB2"/>
    <w:rPr>
      <w:rFonts w:ascii="Verdana" w:hAnsi="Verdana"/>
      <w:b/>
      <w:bCs/>
    </w:rPr>
  </w:style>
  <w:style w:type="paragraph" w:styleId="NoteHeading">
    <w:name w:val="Note Heading"/>
    <w:basedOn w:val="Normal"/>
    <w:next w:val="Normal"/>
    <w:semiHidden/>
    <w:rsid w:val="00290A70"/>
  </w:style>
  <w:style w:type="paragraph" w:styleId="FootnoteText">
    <w:name w:val="footnote text"/>
    <w:basedOn w:val="Normal"/>
    <w:rsid w:val="00290A70"/>
  </w:style>
  <w:style w:type="character" w:styleId="FootnoteReference">
    <w:name w:val="footnote reference"/>
    <w:rsid w:val="00290A70"/>
    <w:rPr>
      <w:rFonts w:ascii="Verdana" w:hAnsi="Verdana"/>
      <w:vertAlign w:val="superscript"/>
    </w:rPr>
  </w:style>
  <w:style w:type="paragraph" w:styleId="Footer">
    <w:name w:val="footer"/>
    <w:basedOn w:val="Normal"/>
    <w:link w:val="FooterChar"/>
    <w:uiPriority w:val="99"/>
    <w:rsid w:val="00290A70"/>
    <w:pPr>
      <w:tabs>
        <w:tab w:val="center" w:pos="4536"/>
        <w:tab w:val="right" w:pos="9072"/>
      </w:tabs>
    </w:pPr>
  </w:style>
  <w:style w:type="paragraph" w:styleId="Closing">
    <w:name w:val="Closing"/>
    <w:basedOn w:val="Normal"/>
    <w:semiHidden/>
    <w:rsid w:val="00290A70"/>
  </w:style>
  <w:style w:type="character" w:styleId="Emphasis">
    <w:name w:val="Emphasis"/>
    <w:qFormat/>
    <w:rsid w:val="009D1AB2"/>
    <w:rPr>
      <w:rFonts w:ascii="Verdana" w:hAnsi="Verdana"/>
      <w:iCs/>
      <w:sz w:val="20"/>
      <w:szCs w:val="20"/>
    </w:rPr>
  </w:style>
  <w:style w:type="character" w:styleId="HTMLAcronym">
    <w:name w:val="HTML Acronym"/>
    <w:semiHidden/>
    <w:rsid w:val="00290A70"/>
    <w:rPr>
      <w:rFonts w:ascii="Verdana" w:hAnsi="Verdana"/>
    </w:rPr>
  </w:style>
  <w:style w:type="character" w:styleId="HTMLSample">
    <w:name w:val="HTML Sample"/>
    <w:semiHidden/>
    <w:rsid w:val="00290A70"/>
    <w:rPr>
      <w:rFonts w:ascii="Verdana" w:hAnsi="Verdana" w:cs="Courier New"/>
    </w:rPr>
  </w:style>
  <w:style w:type="character" w:styleId="HTMLCode">
    <w:name w:val="HTML Code"/>
    <w:semiHidden/>
    <w:rsid w:val="00290A70"/>
    <w:rPr>
      <w:rFonts w:ascii="Courier New" w:hAnsi="Courier New" w:cs="Courier New"/>
      <w:sz w:val="20"/>
      <w:szCs w:val="20"/>
    </w:rPr>
  </w:style>
  <w:style w:type="character" w:styleId="HTMLDefinition">
    <w:name w:val="HTML Definition"/>
    <w:semiHidden/>
    <w:rsid w:val="00290A70"/>
    <w:rPr>
      <w:i/>
      <w:iCs/>
    </w:rPr>
  </w:style>
  <w:style w:type="character" w:styleId="HTMLTypewriter">
    <w:name w:val="HTML Typewriter"/>
    <w:semiHidden/>
    <w:rsid w:val="00290A70"/>
    <w:rPr>
      <w:rFonts w:ascii="Courier New" w:hAnsi="Courier New" w:cs="Courier New"/>
      <w:sz w:val="20"/>
      <w:szCs w:val="20"/>
    </w:rPr>
  </w:style>
  <w:style w:type="character" w:styleId="HTMLKeyboard">
    <w:name w:val="HTML Keyboard"/>
    <w:semiHidden/>
    <w:rsid w:val="00290A70"/>
    <w:rPr>
      <w:rFonts w:ascii="Courier New" w:hAnsi="Courier New" w:cs="Courier New"/>
      <w:sz w:val="20"/>
      <w:szCs w:val="20"/>
    </w:rPr>
  </w:style>
  <w:style w:type="character" w:styleId="HTMLVariable">
    <w:name w:val="HTML Variable"/>
    <w:semiHidden/>
    <w:rsid w:val="00290A70"/>
    <w:rPr>
      <w:i/>
      <w:iCs/>
    </w:rPr>
  </w:style>
  <w:style w:type="paragraph" w:styleId="HTMLPreformatted">
    <w:name w:val="HTML Preformatted"/>
    <w:basedOn w:val="Normal"/>
    <w:semiHidden/>
    <w:rsid w:val="00290A70"/>
    <w:rPr>
      <w:rFonts w:ascii="Courier New" w:hAnsi="Courier New" w:cs="Courier New"/>
    </w:rPr>
  </w:style>
  <w:style w:type="character" w:styleId="HTMLCite">
    <w:name w:val="HTML Cite"/>
    <w:semiHidden/>
    <w:rsid w:val="00290A70"/>
    <w:rPr>
      <w:i/>
      <w:iCs/>
    </w:rPr>
  </w:style>
  <w:style w:type="character" w:styleId="Hyperlink">
    <w:name w:val="Hyperlink"/>
    <w:uiPriority w:val="99"/>
    <w:rsid w:val="00290A70"/>
    <w:rPr>
      <w:rFonts w:ascii="Verdana" w:hAnsi="Verdana"/>
      <w:color w:val="0000FF"/>
      <w:sz w:val="20"/>
      <w:szCs w:val="20"/>
      <w:u w:val="single"/>
    </w:rPr>
  </w:style>
  <w:style w:type="paragraph" w:styleId="Index1">
    <w:name w:val="index 1"/>
    <w:basedOn w:val="Normal"/>
    <w:next w:val="Normal"/>
    <w:autoRedefine/>
    <w:rsid w:val="00290A70"/>
    <w:pPr>
      <w:ind w:left="200" w:hanging="200"/>
    </w:pPr>
  </w:style>
  <w:style w:type="paragraph" w:styleId="Index2">
    <w:name w:val="index 2"/>
    <w:basedOn w:val="Normal"/>
    <w:next w:val="Normal"/>
    <w:autoRedefine/>
    <w:rsid w:val="00290A70"/>
    <w:pPr>
      <w:ind w:left="400" w:hanging="200"/>
    </w:pPr>
  </w:style>
  <w:style w:type="paragraph" w:styleId="Index3">
    <w:name w:val="index 3"/>
    <w:basedOn w:val="Normal"/>
    <w:next w:val="Normal"/>
    <w:autoRedefine/>
    <w:rsid w:val="00290A70"/>
    <w:pPr>
      <w:ind w:left="600" w:hanging="200"/>
    </w:pPr>
  </w:style>
  <w:style w:type="paragraph" w:styleId="Index4">
    <w:name w:val="index 4"/>
    <w:basedOn w:val="Normal"/>
    <w:next w:val="Normal"/>
    <w:autoRedefine/>
    <w:rsid w:val="00290A70"/>
    <w:pPr>
      <w:ind w:left="800" w:hanging="200"/>
    </w:pPr>
  </w:style>
  <w:style w:type="paragraph" w:styleId="Index5">
    <w:name w:val="index 5"/>
    <w:basedOn w:val="Normal"/>
    <w:next w:val="Normal"/>
    <w:autoRedefine/>
    <w:rsid w:val="00290A70"/>
    <w:pPr>
      <w:ind w:left="1000" w:hanging="200"/>
    </w:pPr>
  </w:style>
  <w:style w:type="paragraph" w:styleId="Index6">
    <w:name w:val="index 6"/>
    <w:basedOn w:val="Normal"/>
    <w:next w:val="Normal"/>
    <w:autoRedefine/>
    <w:rsid w:val="00290A70"/>
    <w:pPr>
      <w:ind w:left="1200" w:hanging="200"/>
    </w:pPr>
  </w:style>
  <w:style w:type="paragraph" w:styleId="Index7">
    <w:name w:val="index 7"/>
    <w:basedOn w:val="Normal"/>
    <w:next w:val="Normal"/>
    <w:autoRedefine/>
    <w:rsid w:val="00290A70"/>
    <w:pPr>
      <w:ind w:left="1400" w:hanging="200"/>
    </w:pPr>
  </w:style>
  <w:style w:type="paragraph" w:styleId="Index8">
    <w:name w:val="index 8"/>
    <w:basedOn w:val="Normal"/>
    <w:next w:val="Normal"/>
    <w:autoRedefine/>
    <w:rsid w:val="00290A70"/>
    <w:pPr>
      <w:ind w:left="1600" w:hanging="200"/>
    </w:pPr>
  </w:style>
  <w:style w:type="paragraph" w:styleId="Index9">
    <w:name w:val="index 9"/>
    <w:basedOn w:val="Normal"/>
    <w:next w:val="Normal"/>
    <w:autoRedefine/>
    <w:rsid w:val="00290A70"/>
    <w:pPr>
      <w:ind w:left="1800" w:hanging="200"/>
    </w:pPr>
  </w:style>
  <w:style w:type="paragraph" w:styleId="IndexHeading">
    <w:name w:val="index heading"/>
    <w:basedOn w:val="Normal"/>
    <w:next w:val="Index1"/>
    <w:rsid w:val="00290A70"/>
    <w:rPr>
      <w:rFonts w:cs="Arial"/>
      <w:b/>
      <w:bCs/>
    </w:rPr>
  </w:style>
  <w:style w:type="paragraph" w:styleId="CommentText">
    <w:name w:val="annotation text"/>
    <w:basedOn w:val="Normal"/>
    <w:semiHidden/>
    <w:rsid w:val="00290A70"/>
  </w:style>
  <w:style w:type="paragraph" w:styleId="CommentSubject">
    <w:name w:val="annotation subject"/>
    <w:basedOn w:val="CommentText"/>
    <w:next w:val="CommentText"/>
    <w:semiHidden/>
    <w:rsid w:val="00290A70"/>
    <w:rPr>
      <w:b/>
      <w:bCs/>
    </w:rPr>
  </w:style>
  <w:style w:type="character" w:styleId="CommentReference">
    <w:name w:val="annotation reference"/>
    <w:semiHidden/>
    <w:rsid w:val="00290A70"/>
    <w:rPr>
      <w:rFonts w:ascii="Verdana" w:hAnsi="Verdana"/>
      <w:sz w:val="16"/>
      <w:szCs w:val="16"/>
    </w:rPr>
  </w:style>
  <w:style w:type="paragraph" w:styleId="ListContinue">
    <w:name w:val="List Continue"/>
    <w:basedOn w:val="Normal"/>
    <w:semiHidden/>
    <w:rsid w:val="00290A70"/>
    <w:pPr>
      <w:spacing w:after="120"/>
      <w:ind w:left="283"/>
    </w:pPr>
  </w:style>
  <w:style w:type="paragraph" w:styleId="ListContinue2">
    <w:name w:val="List Continue 2"/>
    <w:basedOn w:val="Normal"/>
    <w:semiHidden/>
    <w:rsid w:val="00290A70"/>
    <w:pPr>
      <w:spacing w:after="120"/>
      <w:ind w:left="566"/>
    </w:pPr>
  </w:style>
  <w:style w:type="paragraph" w:styleId="ListContinue3">
    <w:name w:val="List Continue 3"/>
    <w:basedOn w:val="Normal"/>
    <w:semiHidden/>
    <w:rsid w:val="00290A70"/>
    <w:pPr>
      <w:spacing w:after="120"/>
      <w:ind w:left="849"/>
    </w:pPr>
  </w:style>
  <w:style w:type="paragraph" w:styleId="ListContinue4">
    <w:name w:val="List Continue 4"/>
    <w:basedOn w:val="Normal"/>
    <w:semiHidden/>
    <w:rsid w:val="00290A70"/>
    <w:pPr>
      <w:spacing w:after="120"/>
      <w:ind w:left="1132"/>
    </w:pPr>
  </w:style>
  <w:style w:type="paragraph" w:styleId="ListContinue5">
    <w:name w:val="List Continue 5"/>
    <w:basedOn w:val="Normal"/>
    <w:semiHidden/>
    <w:rsid w:val="00290A70"/>
    <w:pPr>
      <w:spacing w:after="120"/>
      <w:ind w:left="1415"/>
    </w:pPr>
  </w:style>
  <w:style w:type="paragraph" w:styleId="ListNumber">
    <w:name w:val="List Number"/>
    <w:basedOn w:val="Normal"/>
    <w:rsid w:val="00290A70"/>
    <w:pPr>
      <w:numPr>
        <w:numId w:val="8"/>
      </w:numPr>
    </w:pPr>
  </w:style>
  <w:style w:type="paragraph" w:styleId="MacroText">
    <w:name w:val="macro"/>
    <w:semiHidden/>
    <w:rsid w:val="00290A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CH"/>
    </w:rPr>
  </w:style>
  <w:style w:type="paragraph" w:styleId="MessageHeader">
    <w:name w:val="Message Header"/>
    <w:basedOn w:val="Normal"/>
    <w:semiHidden/>
    <w:rsid w:val="00290A70"/>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290A70"/>
    <w:rPr>
      <w:rFonts w:cs="Courier New"/>
    </w:rPr>
  </w:style>
  <w:style w:type="paragraph" w:styleId="TableofAuthorities">
    <w:name w:val="table of authorities"/>
    <w:basedOn w:val="Normal"/>
    <w:next w:val="Normal"/>
    <w:semiHidden/>
    <w:rsid w:val="00290A70"/>
    <w:pPr>
      <w:ind w:left="200" w:hanging="200"/>
    </w:pPr>
  </w:style>
  <w:style w:type="paragraph" w:styleId="TOAHeading">
    <w:name w:val="toa heading"/>
    <w:basedOn w:val="Normal"/>
    <w:next w:val="Normal"/>
    <w:semiHidden/>
    <w:rsid w:val="00290A70"/>
    <w:pPr>
      <w:spacing w:before="120"/>
    </w:pPr>
    <w:rPr>
      <w:rFonts w:cs="Arial"/>
      <w:b/>
      <w:bCs/>
      <w:sz w:val="22"/>
      <w:szCs w:val="22"/>
    </w:rPr>
  </w:style>
  <w:style w:type="character" w:styleId="PageNumber">
    <w:name w:val="page number"/>
    <w:rsid w:val="00290A70"/>
    <w:rPr>
      <w:rFonts w:ascii="Verdana" w:hAnsi="Verdana"/>
      <w:sz w:val="20"/>
      <w:szCs w:val="20"/>
    </w:rPr>
  </w:style>
  <w:style w:type="paragraph" w:styleId="BalloonText">
    <w:name w:val="Balloon Text"/>
    <w:basedOn w:val="Normal"/>
    <w:semiHidden/>
    <w:rsid w:val="00290A70"/>
    <w:rPr>
      <w:rFonts w:cs="Tahoma"/>
      <w:sz w:val="16"/>
      <w:szCs w:val="16"/>
    </w:rPr>
  </w:style>
  <w:style w:type="paragraph" w:styleId="NormalWeb">
    <w:name w:val="Normal (Web)"/>
    <w:basedOn w:val="Normal"/>
    <w:rsid w:val="00290A70"/>
  </w:style>
  <w:style w:type="table" w:styleId="Table3Deffects1">
    <w:name w:val="Table 3D effects 1"/>
    <w:basedOn w:val="TableNormal"/>
    <w:semiHidden/>
    <w:rsid w:val="00290A70"/>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90A70"/>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90A70"/>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90A70"/>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90A70"/>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90A70"/>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90A70"/>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90A70"/>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90A70"/>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90A70"/>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90A70"/>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90A70"/>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90A70"/>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90A70"/>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90A70"/>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90A70"/>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90A70"/>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90A70"/>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90A70"/>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90A70"/>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90A70"/>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90A70"/>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90A70"/>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90A70"/>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90A70"/>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90A70"/>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90A70"/>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90A70"/>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90A70"/>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90A70"/>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90A70"/>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90A70"/>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90A70"/>
    <w:rPr>
      <w:rFonts w:ascii="Verdana" w:hAnsi="Verdana"/>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90A70"/>
    <w:rPr>
      <w:rFonts w:ascii="Verdana" w:hAnsi="Verdana"/>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90A70"/>
    <w:rPr>
      <w:rFonts w:ascii="Verdana" w:hAnsi="Verdana"/>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90A70"/>
    <w:rPr>
      <w:rFonts w:ascii="Verdana" w:hAnsi="Verdan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90A70"/>
    <w:rPr>
      <w:rFonts w:ascii="Verdana" w:hAnsi="Verdan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90A70"/>
    <w:rPr>
      <w:rFonts w:ascii="Verdana" w:hAnsi="Verdan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90A70"/>
    <w:rPr>
      <w:rFonts w:ascii="Verdana" w:hAnsi="Verdan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90A70"/>
    <w:rPr>
      <w:rFonts w:ascii="Verdana" w:hAnsi="Verdan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90A70"/>
    <w:rPr>
      <w:rFonts w:ascii="Verdana" w:hAnsi="Verdan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90A70"/>
    <w:rPr>
      <w:rFonts w:ascii="Verdana" w:hAnsi="Verdan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290A70"/>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290A70"/>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90A70"/>
    <w:pPr>
      <w:spacing w:after="120"/>
    </w:pPr>
  </w:style>
  <w:style w:type="paragraph" w:styleId="BodyText2">
    <w:name w:val="Body Text 2"/>
    <w:basedOn w:val="Normal"/>
    <w:semiHidden/>
    <w:rsid w:val="00290A70"/>
    <w:pPr>
      <w:spacing w:after="120" w:line="480" w:lineRule="auto"/>
    </w:pPr>
  </w:style>
  <w:style w:type="paragraph" w:styleId="BodyText3">
    <w:name w:val="Body Text 3"/>
    <w:basedOn w:val="Normal"/>
    <w:semiHidden/>
    <w:rsid w:val="00290A70"/>
    <w:pPr>
      <w:spacing w:after="120"/>
    </w:pPr>
    <w:rPr>
      <w:sz w:val="16"/>
      <w:szCs w:val="16"/>
    </w:rPr>
  </w:style>
  <w:style w:type="paragraph" w:styleId="BodyTextIndent2">
    <w:name w:val="Body Text Indent 2"/>
    <w:basedOn w:val="Normal"/>
    <w:semiHidden/>
    <w:rsid w:val="00290A70"/>
    <w:pPr>
      <w:spacing w:after="120" w:line="480" w:lineRule="auto"/>
      <w:ind w:left="283"/>
    </w:pPr>
  </w:style>
  <w:style w:type="paragraph" w:styleId="BodyTextIndent3">
    <w:name w:val="Body Text Indent 3"/>
    <w:basedOn w:val="Normal"/>
    <w:semiHidden/>
    <w:rsid w:val="00290A70"/>
    <w:pPr>
      <w:spacing w:after="120"/>
      <w:ind w:left="283"/>
    </w:pPr>
    <w:rPr>
      <w:sz w:val="16"/>
      <w:szCs w:val="16"/>
    </w:rPr>
  </w:style>
  <w:style w:type="paragraph" w:styleId="BodyTextFirstIndent">
    <w:name w:val="Body Text First Indent"/>
    <w:basedOn w:val="BodyText"/>
    <w:semiHidden/>
    <w:rsid w:val="00290A70"/>
    <w:pPr>
      <w:ind w:firstLine="210"/>
    </w:pPr>
  </w:style>
  <w:style w:type="paragraph" w:styleId="BodyTextIndent">
    <w:name w:val="Body Text Indent"/>
    <w:basedOn w:val="Normal"/>
    <w:semiHidden/>
    <w:rsid w:val="00290A70"/>
    <w:pPr>
      <w:spacing w:after="120"/>
      <w:ind w:left="283"/>
    </w:pPr>
  </w:style>
  <w:style w:type="paragraph" w:styleId="BodyTextFirstIndent2">
    <w:name w:val="Body Text First Indent 2"/>
    <w:basedOn w:val="BodyTextIndent"/>
    <w:semiHidden/>
    <w:rsid w:val="00290A70"/>
    <w:pPr>
      <w:ind w:firstLine="210"/>
    </w:pPr>
  </w:style>
  <w:style w:type="paragraph" w:styleId="Title">
    <w:name w:val="Title"/>
    <w:basedOn w:val="Normal"/>
    <w:qFormat/>
    <w:rsid w:val="009D1AB2"/>
    <w:pPr>
      <w:spacing w:before="240" w:after="60"/>
      <w:outlineLvl w:val="0"/>
    </w:pPr>
    <w:rPr>
      <w:rFonts w:cs="Arial"/>
      <w:b/>
      <w:bCs/>
      <w:kern w:val="28"/>
      <w:sz w:val="24"/>
      <w:szCs w:val="24"/>
    </w:rPr>
  </w:style>
  <w:style w:type="paragraph" w:styleId="EnvelopeReturn">
    <w:name w:val="envelope return"/>
    <w:basedOn w:val="Normal"/>
    <w:rsid w:val="00290A70"/>
    <w:rPr>
      <w:rFonts w:cs="Arial"/>
    </w:rPr>
  </w:style>
  <w:style w:type="paragraph" w:styleId="EnvelopeAddress">
    <w:name w:val="envelope address"/>
    <w:basedOn w:val="Normal"/>
    <w:rsid w:val="00290A70"/>
    <w:pPr>
      <w:framePr w:w="4320" w:h="2160" w:hRule="exact" w:hSpace="141" w:wrap="auto" w:hAnchor="page" w:xAlign="center" w:yAlign="bottom"/>
      <w:ind w:left="1"/>
    </w:pPr>
    <w:rPr>
      <w:rFonts w:cs="Arial"/>
      <w:sz w:val="22"/>
      <w:szCs w:val="22"/>
    </w:rPr>
  </w:style>
  <w:style w:type="paragraph" w:styleId="Signature">
    <w:name w:val="Signature"/>
    <w:basedOn w:val="Normal"/>
    <w:semiHidden/>
    <w:rsid w:val="00290A70"/>
    <w:pPr>
      <w:ind w:left="4252"/>
    </w:pPr>
  </w:style>
  <w:style w:type="paragraph" w:styleId="Subtitle">
    <w:name w:val="Subtitle"/>
    <w:basedOn w:val="Normal"/>
    <w:qFormat/>
    <w:rsid w:val="009D1AB2"/>
    <w:pPr>
      <w:spacing w:after="60"/>
      <w:jc w:val="center"/>
      <w:outlineLvl w:val="1"/>
    </w:pPr>
    <w:rPr>
      <w:rFonts w:cs="Arial"/>
      <w:sz w:val="22"/>
      <w:szCs w:val="22"/>
    </w:rPr>
  </w:style>
  <w:style w:type="paragraph" w:styleId="TOC1">
    <w:name w:val="toc 1"/>
    <w:basedOn w:val="Normal"/>
    <w:next w:val="Normal"/>
    <w:autoRedefine/>
    <w:rsid w:val="00290A70"/>
  </w:style>
  <w:style w:type="paragraph" w:styleId="TOC2">
    <w:name w:val="toc 2"/>
    <w:basedOn w:val="Normal"/>
    <w:next w:val="Normal"/>
    <w:autoRedefine/>
    <w:rsid w:val="00290A70"/>
    <w:pPr>
      <w:ind w:left="200"/>
    </w:pPr>
  </w:style>
  <w:style w:type="paragraph" w:styleId="TOC3">
    <w:name w:val="toc 3"/>
    <w:basedOn w:val="Normal"/>
    <w:next w:val="Normal"/>
    <w:autoRedefine/>
    <w:rsid w:val="00290A70"/>
    <w:pPr>
      <w:ind w:left="400"/>
    </w:pPr>
  </w:style>
  <w:style w:type="paragraph" w:styleId="TOC4">
    <w:name w:val="toc 4"/>
    <w:basedOn w:val="Normal"/>
    <w:next w:val="Normal"/>
    <w:autoRedefine/>
    <w:rsid w:val="00290A70"/>
    <w:pPr>
      <w:ind w:left="600"/>
    </w:pPr>
  </w:style>
  <w:style w:type="paragraph" w:styleId="TOC5">
    <w:name w:val="toc 5"/>
    <w:basedOn w:val="Normal"/>
    <w:next w:val="Normal"/>
    <w:autoRedefine/>
    <w:rsid w:val="00290A70"/>
    <w:pPr>
      <w:ind w:left="800"/>
    </w:pPr>
  </w:style>
  <w:style w:type="paragraph" w:styleId="TOC6">
    <w:name w:val="toc 6"/>
    <w:basedOn w:val="Normal"/>
    <w:next w:val="Normal"/>
    <w:autoRedefine/>
    <w:rsid w:val="00290A70"/>
    <w:pPr>
      <w:ind w:left="1000"/>
    </w:pPr>
  </w:style>
  <w:style w:type="paragraph" w:styleId="TOC7">
    <w:name w:val="toc 7"/>
    <w:basedOn w:val="Normal"/>
    <w:next w:val="Normal"/>
    <w:autoRedefine/>
    <w:rsid w:val="00290A70"/>
    <w:pPr>
      <w:ind w:left="1200"/>
    </w:pPr>
  </w:style>
  <w:style w:type="paragraph" w:styleId="TOC8">
    <w:name w:val="toc 8"/>
    <w:basedOn w:val="Normal"/>
    <w:next w:val="Normal"/>
    <w:autoRedefine/>
    <w:rsid w:val="00290A70"/>
    <w:pPr>
      <w:ind w:left="1400"/>
    </w:pPr>
  </w:style>
  <w:style w:type="paragraph" w:styleId="TOC9">
    <w:name w:val="toc 9"/>
    <w:basedOn w:val="Normal"/>
    <w:next w:val="Normal"/>
    <w:autoRedefine/>
    <w:rsid w:val="00290A70"/>
    <w:pPr>
      <w:ind w:left="1600"/>
    </w:pPr>
  </w:style>
  <w:style w:type="character" w:styleId="LineNumber">
    <w:name w:val="line number"/>
    <w:rsid w:val="00290A70"/>
    <w:rPr>
      <w:rFonts w:ascii="Verdana" w:hAnsi="Verdana"/>
    </w:rPr>
  </w:style>
  <w:style w:type="paragraph" w:styleId="ListParagraph">
    <w:name w:val="List Paragraph"/>
    <w:basedOn w:val="Normal"/>
    <w:uiPriority w:val="34"/>
    <w:qFormat/>
    <w:rsid w:val="009D1AB2"/>
    <w:pPr>
      <w:ind w:left="720"/>
      <w:contextualSpacing/>
    </w:pPr>
  </w:style>
  <w:style w:type="paragraph" w:customStyle="1" w:styleId="xl65">
    <w:name w:val="xl65"/>
    <w:basedOn w:val="Normal"/>
    <w:rsid w:val="00DD2315"/>
    <w:pPr>
      <w:spacing w:before="100" w:beforeAutospacing="1" w:after="100" w:afterAutospacing="1"/>
    </w:pPr>
    <w:rPr>
      <w:rFonts w:ascii="Century" w:hAnsi="Century" w:cs="Century"/>
      <w:b/>
      <w:bCs/>
      <w:sz w:val="24"/>
      <w:szCs w:val="24"/>
      <w:lang w:val="en-US" w:eastAsia="en-US"/>
    </w:rPr>
  </w:style>
  <w:style w:type="paragraph" w:customStyle="1" w:styleId="xl66">
    <w:name w:val="xl66"/>
    <w:basedOn w:val="Normal"/>
    <w:rsid w:val="00DD2315"/>
    <w:pPr>
      <w:pBdr>
        <w:bottom w:val="single" w:sz="4" w:space="0" w:color="auto"/>
      </w:pBdr>
      <w:spacing w:before="100" w:beforeAutospacing="1" w:after="100" w:afterAutospacing="1"/>
    </w:pPr>
    <w:rPr>
      <w:rFonts w:ascii="Century" w:hAnsi="Century" w:cs="Century"/>
      <w:sz w:val="24"/>
      <w:szCs w:val="24"/>
      <w:lang w:val="en-US" w:eastAsia="en-US"/>
    </w:rPr>
  </w:style>
  <w:style w:type="paragraph" w:customStyle="1" w:styleId="xl67">
    <w:name w:val="xl67"/>
    <w:basedOn w:val="Normal"/>
    <w:rsid w:val="00DD2315"/>
    <w:pPr>
      <w:pBdr>
        <w:bottom w:val="single" w:sz="4" w:space="0" w:color="auto"/>
      </w:pBdr>
      <w:spacing w:before="100" w:beforeAutospacing="1" w:after="100" w:afterAutospacing="1"/>
      <w:jc w:val="center"/>
      <w:textAlignment w:val="center"/>
    </w:pPr>
    <w:rPr>
      <w:rFonts w:ascii="Century" w:hAnsi="Century" w:cs="Century"/>
      <w:b/>
      <w:bCs/>
      <w:i/>
      <w:iCs/>
      <w:sz w:val="24"/>
      <w:szCs w:val="24"/>
      <w:lang w:val="en-US" w:eastAsia="en-US"/>
    </w:rPr>
  </w:style>
  <w:style w:type="paragraph" w:customStyle="1" w:styleId="xl68">
    <w:name w:val="xl68"/>
    <w:basedOn w:val="Normal"/>
    <w:rsid w:val="00DD2315"/>
    <w:pPr>
      <w:spacing w:before="100" w:beforeAutospacing="1" w:after="100" w:afterAutospacing="1"/>
      <w:jc w:val="center"/>
    </w:pPr>
    <w:rPr>
      <w:rFonts w:ascii="Century" w:hAnsi="Century" w:cs="Century"/>
      <w:b/>
      <w:bCs/>
      <w:sz w:val="24"/>
      <w:szCs w:val="24"/>
      <w:lang w:val="en-US" w:eastAsia="en-US"/>
    </w:rPr>
  </w:style>
  <w:style w:type="paragraph" w:customStyle="1" w:styleId="xl69">
    <w:name w:val="xl69"/>
    <w:basedOn w:val="Normal"/>
    <w:rsid w:val="00DD2315"/>
    <w:pPr>
      <w:spacing w:before="100" w:beforeAutospacing="1" w:after="100" w:afterAutospacing="1"/>
      <w:jc w:val="center"/>
    </w:pPr>
    <w:rPr>
      <w:rFonts w:ascii="Century" w:hAnsi="Century" w:cs="Century"/>
      <w:sz w:val="24"/>
      <w:szCs w:val="24"/>
      <w:lang w:val="en-US" w:eastAsia="en-US"/>
    </w:rPr>
  </w:style>
  <w:style w:type="paragraph" w:customStyle="1" w:styleId="xl70">
    <w:name w:val="xl70"/>
    <w:basedOn w:val="Normal"/>
    <w:rsid w:val="00DD2315"/>
    <w:pPr>
      <w:pBdr>
        <w:right w:val="single" w:sz="4" w:space="0" w:color="auto"/>
      </w:pBdr>
      <w:spacing w:before="100" w:beforeAutospacing="1" w:after="100" w:afterAutospacing="1"/>
      <w:jc w:val="center"/>
    </w:pPr>
    <w:rPr>
      <w:rFonts w:ascii="Century" w:hAnsi="Century" w:cs="Century"/>
      <w:b/>
      <w:bCs/>
      <w:sz w:val="24"/>
      <w:szCs w:val="24"/>
      <w:lang w:val="en-US" w:eastAsia="en-US"/>
    </w:rPr>
  </w:style>
  <w:style w:type="paragraph" w:customStyle="1" w:styleId="xl71">
    <w:name w:val="xl71"/>
    <w:basedOn w:val="Normal"/>
    <w:rsid w:val="00DD2315"/>
    <w:pPr>
      <w:pBdr>
        <w:right w:val="single" w:sz="4" w:space="0" w:color="auto"/>
      </w:pBdr>
      <w:spacing w:before="100" w:beforeAutospacing="1" w:after="100" w:afterAutospacing="1"/>
      <w:jc w:val="center"/>
    </w:pPr>
    <w:rPr>
      <w:rFonts w:ascii="Century" w:hAnsi="Century" w:cs="Century"/>
      <w:sz w:val="24"/>
      <w:szCs w:val="24"/>
      <w:lang w:val="en-US" w:eastAsia="en-US"/>
    </w:rPr>
  </w:style>
  <w:style w:type="paragraph" w:customStyle="1" w:styleId="xl72">
    <w:name w:val="xl72"/>
    <w:basedOn w:val="Normal"/>
    <w:rsid w:val="00DD2315"/>
    <w:pPr>
      <w:pBdr>
        <w:bottom w:val="single" w:sz="4" w:space="0" w:color="auto"/>
        <w:right w:val="single" w:sz="4" w:space="0" w:color="auto"/>
      </w:pBdr>
      <w:spacing w:before="100" w:beforeAutospacing="1" w:after="100" w:afterAutospacing="1"/>
      <w:jc w:val="center"/>
    </w:pPr>
    <w:rPr>
      <w:rFonts w:ascii="Century" w:hAnsi="Century" w:cs="Century"/>
      <w:sz w:val="24"/>
      <w:szCs w:val="24"/>
      <w:lang w:val="en-US" w:eastAsia="en-US"/>
    </w:rPr>
  </w:style>
  <w:style w:type="paragraph" w:customStyle="1" w:styleId="xl73">
    <w:name w:val="xl73"/>
    <w:basedOn w:val="Normal"/>
    <w:rsid w:val="00DD2315"/>
    <w:pPr>
      <w:pBdr>
        <w:left w:val="single" w:sz="4" w:space="0" w:color="auto"/>
        <w:right w:val="single" w:sz="4" w:space="0" w:color="auto"/>
      </w:pBdr>
      <w:spacing w:before="100" w:beforeAutospacing="1" w:after="100" w:afterAutospacing="1"/>
    </w:pPr>
    <w:rPr>
      <w:rFonts w:ascii="Century" w:hAnsi="Century" w:cs="Century"/>
      <w:b/>
      <w:bCs/>
      <w:sz w:val="24"/>
      <w:szCs w:val="24"/>
      <w:lang w:val="en-US" w:eastAsia="en-US"/>
    </w:rPr>
  </w:style>
  <w:style w:type="paragraph" w:customStyle="1" w:styleId="xl74">
    <w:name w:val="xl74"/>
    <w:basedOn w:val="Normal"/>
    <w:rsid w:val="00DD2315"/>
    <w:pPr>
      <w:pBdr>
        <w:left w:val="single" w:sz="4" w:space="0" w:color="auto"/>
        <w:right w:val="single" w:sz="4" w:space="0" w:color="auto"/>
      </w:pBdr>
      <w:spacing w:before="100" w:beforeAutospacing="1" w:after="100" w:afterAutospacing="1"/>
    </w:pPr>
    <w:rPr>
      <w:rFonts w:ascii="Century" w:hAnsi="Century" w:cs="Century"/>
      <w:sz w:val="24"/>
      <w:szCs w:val="24"/>
      <w:lang w:val="en-US" w:eastAsia="en-US"/>
    </w:rPr>
  </w:style>
  <w:style w:type="paragraph" w:customStyle="1" w:styleId="xl75">
    <w:name w:val="xl75"/>
    <w:basedOn w:val="Normal"/>
    <w:rsid w:val="00DD2315"/>
    <w:pPr>
      <w:pBdr>
        <w:left w:val="single" w:sz="4" w:space="0" w:color="auto"/>
        <w:bottom w:val="single" w:sz="4" w:space="0" w:color="auto"/>
        <w:right w:val="single" w:sz="4" w:space="0" w:color="auto"/>
      </w:pBdr>
      <w:spacing w:before="100" w:beforeAutospacing="1" w:after="100" w:afterAutospacing="1"/>
    </w:pPr>
    <w:rPr>
      <w:rFonts w:ascii="Century" w:hAnsi="Century" w:cs="Century"/>
      <w:sz w:val="24"/>
      <w:szCs w:val="24"/>
      <w:lang w:val="en-US" w:eastAsia="en-US"/>
    </w:rPr>
  </w:style>
  <w:style w:type="paragraph" w:customStyle="1" w:styleId="xl76">
    <w:name w:val="xl76"/>
    <w:basedOn w:val="Normal"/>
    <w:rsid w:val="00DD2315"/>
    <w:pPr>
      <w:pBdr>
        <w:top w:val="single" w:sz="4" w:space="0" w:color="auto"/>
      </w:pBdr>
      <w:spacing w:before="100" w:beforeAutospacing="1" w:after="100" w:afterAutospacing="1"/>
      <w:jc w:val="center"/>
      <w:textAlignment w:val="center"/>
    </w:pPr>
    <w:rPr>
      <w:rFonts w:ascii="Century" w:hAnsi="Century" w:cs="Century"/>
      <w:b/>
      <w:bCs/>
      <w:sz w:val="28"/>
      <w:szCs w:val="28"/>
      <w:lang w:val="en-US" w:eastAsia="en-US"/>
    </w:rPr>
  </w:style>
  <w:style w:type="paragraph" w:customStyle="1" w:styleId="xl77">
    <w:name w:val="xl77"/>
    <w:basedOn w:val="Normal"/>
    <w:rsid w:val="00DD2315"/>
    <w:pPr>
      <w:pBdr>
        <w:top w:val="single" w:sz="4" w:space="0" w:color="auto"/>
        <w:right w:val="single" w:sz="4" w:space="0" w:color="auto"/>
      </w:pBdr>
      <w:spacing w:before="100" w:beforeAutospacing="1" w:after="100" w:afterAutospacing="1"/>
      <w:jc w:val="center"/>
      <w:textAlignment w:val="center"/>
    </w:pPr>
    <w:rPr>
      <w:rFonts w:ascii="Century" w:hAnsi="Century" w:cs="Century"/>
      <w:b/>
      <w:bCs/>
      <w:sz w:val="28"/>
      <w:szCs w:val="28"/>
      <w:lang w:val="en-US" w:eastAsia="en-US"/>
    </w:rPr>
  </w:style>
  <w:style w:type="paragraph" w:customStyle="1" w:styleId="xl78">
    <w:name w:val="xl78"/>
    <w:basedOn w:val="Normal"/>
    <w:rsid w:val="00DD2315"/>
    <w:pPr>
      <w:spacing w:before="100" w:beforeAutospacing="1" w:after="100" w:afterAutospacing="1"/>
      <w:jc w:val="center"/>
      <w:textAlignment w:val="center"/>
    </w:pPr>
    <w:rPr>
      <w:rFonts w:ascii="Century" w:hAnsi="Century" w:cs="Century"/>
      <w:b/>
      <w:bCs/>
      <w:sz w:val="24"/>
      <w:szCs w:val="24"/>
      <w:lang w:val="en-US" w:eastAsia="en-US"/>
    </w:rPr>
  </w:style>
  <w:style w:type="paragraph" w:customStyle="1" w:styleId="xl79">
    <w:name w:val="xl79"/>
    <w:basedOn w:val="Normal"/>
    <w:rsid w:val="00DD2315"/>
    <w:pPr>
      <w:pBdr>
        <w:bottom w:val="single" w:sz="4" w:space="0" w:color="auto"/>
      </w:pBdr>
      <w:spacing w:before="100" w:beforeAutospacing="1" w:after="100" w:afterAutospacing="1"/>
      <w:jc w:val="center"/>
      <w:textAlignment w:val="center"/>
    </w:pPr>
    <w:rPr>
      <w:rFonts w:ascii="Century" w:hAnsi="Century" w:cs="Century"/>
      <w:sz w:val="24"/>
      <w:szCs w:val="24"/>
      <w:lang w:val="en-US" w:eastAsia="en-US"/>
    </w:rPr>
  </w:style>
  <w:style w:type="paragraph" w:customStyle="1" w:styleId="xl80">
    <w:name w:val="xl80"/>
    <w:basedOn w:val="Normal"/>
    <w:rsid w:val="00DD2315"/>
    <w:pPr>
      <w:pBdr>
        <w:right w:val="single" w:sz="4" w:space="0" w:color="auto"/>
      </w:pBdr>
      <w:spacing w:before="100" w:beforeAutospacing="1" w:after="100" w:afterAutospacing="1"/>
      <w:jc w:val="center"/>
      <w:textAlignment w:val="center"/>
    </w:pPr>
    <w:rPr>
      <w:rFonts w:ascii="Century" w:hAnsi="Century" w:cs="Century"/>
      <w:b/>
      <w:bCs/>
      <w:sz w:val="24"/>
      <w:szCs w:val="24"/>
      <w:lang w:val="en-US" w:eastAsia="en-US"/>
    </w:rPr>
  </w:style>
  <w:style w:type="paragraph" w:customStyle="1" w:styleId="xl81">
    <w:name w:val="xl81"/>
    <w:basedOn w:val="Normal"/>
    <w:rsid w:val="00DD2315"/>
    <w:pPr>
      <w:pBdr>
        <w:bottom w:val="single" w:sz="4" w:space="0" w:color="auto"/>
        <w:right w:val="single" w:sz="4" w:space="0" w:color="auto"/>
      </w:pBdr>
      <w:spacing w:before="100" w:beforeAutospacing="1" w:after="100" w:afterAutospacing="1"/>
      <w:jc w:val="center"/>
      <w:textAlignment w:val="center"/>
    </w:pPr>
    <w:rPr>
      <w:rFonts w:ascii="Century" w:hAnsi="Century" w:cs="Century"/>
      <w:sz w:val="24"/>
      <w:szCs w:val="24"/>
      <w:lang w:val="en-US" w:eastAsia="en-US"/>
    </w:rPr>
  </w:style>
  <w:style w:type="paragraph" w:customStyle="1" w:styleId="xl82">
    <w:name w:val="xl82"/>
    <w:basedOn w:val="Normal"/>
    <w:rsid w:val="00DD2315"/>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w:hAnsi="Century" w:cs="Century"/>
      <w:b/>
      <w:bCs/>
      <w:sz w:val="28"/>
      <w:szCs w:val="28"/>
      <w:lang w:val="en-US" w:eastAsia="en-US"/>
    </w:rPr>
  </w:style>
  <w:style w:type="paragraph" w:customStyle="1" w:styleId="xl83">
    <w:name w:val="xl83"/>
    <w:basedOn w:val="Normal"/>
    <w:rsid w:val="00DD2315"/>
    <w:pPr>
      <w:pBdr>
        <w:left w:val="single" w:sz="4" w:space="0" w:color="auto"/>
        <w:right w:val="single" w:sz="4" w:space="0" w:color="auto"/>
      </w:pBdr>
      <w:spacing w:before="100" w:beforeAutospacing="1" w:after="100" w:afterAutospacing="1"/>
      <w:jc w:val="center"/>
      <w:textAlignment w:val="center"/>
    </w:pPr>
    <w:rPr>
      <w:rFonts w:ascii="Century" w:hAnsi="Century" w:cs="Century"/>
      <w:b/>
      <w:bCs/>
      <w:sz w:val="28"/>
      <w:szCs w:val="28"/>
      <w:lang w:val="en-US" w:eastAsia="en-US"/>
    </w:rPr>
  </w:style>
  <w:style w:type="paragraph" w:customStyle="1" w:styleId="xl84">
    <w:name w:val="xl84"/>
    <w:basedOn w:val="Normal"/>
    <w:rsid w:val="00DD2315"/>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w:hAnsi="Century" w:cs="Century"/>
      <w:b/>
      <w:bCs/>
      <w:sz w:val="28"/>
      <w:szCs w:val="28"/>
      <w:lang w:val="en-US" w:eastAsia="en-US"/>
    </w:rPr>
  </w:style>
  <w:style w:type="paragraph" w:customStyle="1" w:styleId="xl85">
    <w:name w:val="xl85"/>
    <w:basedOn w:val="Normal"/>
    <w:rsid w:val="00DD2315"/>
    <w:pPr>
      <w:pBdr>
        <w:bottom w:val="single" w:sz="4" w:space="0" w:color="auto"/>
      </w:pBdr>
      <w:spacing w:before="100" w:beforeAutospacing="1" w:after="100" w:afterAutospacing="1"/>
    </w:pPr>
    <w:rPr>
      <w:rFonts w:ascii="Century" w:hAnsi="Century" w:cs="Century"/>
      <w:sz w:val="24"/>
      <w:szCs w:val="24"/>
      <w:lang w:val="en-US" w:eastAsia="en-US"/>
    </w:rPr>
  </w:style>
  <w:style w:type="paragraph" w:customStyle="1" w:styleId="xl86">
    <w:name w:val="xl86"/>
    <w:basedOn w:val="Normal"/>
    <w:rsid w:val="00DD2315"/>
    <w:pPr>
      <w:spacing w:before="100" w:beforeAutospacing="1" w:after="100" w:afterAutospacing="1"/>
      <w:jc w:val="center"/>
    </w:pPr>
    <w:rPr>
      <w:rFonts w:ascii="Century" w:hAnsi="Century" w:cs="Century"/>
      <w:b/>
      <w:bCs/>
      <w:sz w:val="24"/>
      <w:szCs w:val="24"/>
      <w:lang w:val="en-US" w:eastAsia="en-US"/>
    </w:rPr>
  </w:style>
  <w:style w:type="paragraph" w:customStyle="1" w:styleId="xl87">
    <w:name w:val="xl87"/>
    <w:basedOn w:val="Normal"/>
    <w:rsid w:val="00DD2315"/>
    <w:pPr>
      <w:pBdr>
        <w:bottom w:val="single" w:sz="4" w:space="0" w:color="auto"/>
      </w:pBdr>
      <w:spacing w:before="100" w:beforeAutospacing="1" w:after="100" w:afterAutospacing="1"/>
      <w:jc w:val="center"/>
      <w:textAlignment w:val="center"/>
    </w:pPr>
    <w:rPr>
      <w:rFonts w:ascii="Century" w:hAnsi="Century" w:cs="Century"/>
      <w:b/>
      <w:bCs/>
      <w:i/>
      <w:iCs/>
      <w:sz w:val="24"/>
      <w:szCs w:val="24"/>
      <w:lang w:val="en-US" w:eastAsia="en-US"/>
    </w:rPr>
  </w:style>
  <w:style w:type="paragraph" w:customStyle="1" w:styleId="xl88">
    <w:name w:val="xl88"/>
    <w:basedOn w:val="Normal"/>
    <w:rsid w:val="00DD2315"/>
    <w:pPr>
      <w:spacing w:before="100" w:beforeAutospacing="1" w:after="100" w:afterAutospacing="1"/>
    </w:pPr>
    <w:rPr>
      <w:rFonts w:ascii="Century" w:hAnsi="Century" w:cs="Century"/>
      <w:b/>
      <w:bCs/>
      <w:sz w:val="24"/>
      <w:szCs w:val="24"/>
      <w:lang w:val="en-US" w:eastAsia="en-US"/>
    </w:rPr>
  </w:style>
  <w:style w:type="paragraph" w:customStyle="1" w:styleId="xl89">
    <w:name w:val="xl89"/>
    <w:basedOn w:val="Normal"/>
    <w:rsid w:val="00DD2315"/>
    <w:pPr>
      <w:spacing w:before="100" w:beforeAutospacing="1" w:after="100" w:afterAutospacing="1"/>
    </w:pPr>
    <w:rPr>
      <w:rFonts w:ascii="Century" w:hAnsi="Century" w:cs="Century"/>
      <w:sz w:val="24"/>
      <w:szCs w:val="24"/>
      <w:lang w:val="en-US" w:eastAsia="en-US"/>
    </w:rPr>
  </w:style>
  <w:style w:type="table" w:styleId="ColorfulShading-Accent1">
    <w:name w:val="Colorful Shading Accent 1"/>
    <w:basedOn w:val="TableNormal"/>
    <w:uiPriority w:val="71"/>
    <w:rsid w:val="00984C14"/>
    <w:rPr>
      <w:color w:val="000000" w:themeColor="text1"/>
    </w:rPr>
    <w:tblPr>
      <w:tblStyleRowBandSize w:val="1"/>
      <w:tblStyleColBandSize w:val="1"/>
      <w:tblBorders>
        <w:top w:val="single" w:sz="24" w:space="0" w:color="F5C201" w:themeColor="accent2"/>
        <w:left w:val="single" w:sz="4" w:space="0" w:color="7A7A7A" w:themeColor="accent1"/>
        <w:bottom w:val="single" w:sz="4" w:space="0" w:color="7A7A7A" w:themeColor="accent1"/>
        <w:right w:val="single" w:sz="4" w:space="0" w:color="7A7A7A" w:themeColor="accent1"/>
        <w:insideH w:val="single" w:sz="4" w:space="0" w:color="FFFFFF" w:themeColor="background1"/>
        <w:insideV w:val="single" w:sz="4" w:space="0" w:color="FFFFFF" w:themeColor="background1"/>
      </w:tblBorders>
    </w:tblPr>
    <w:tcPr>
      <w:shd w:val="clear" w:color="auto" w:fill="F1F1F1" w:themeFill="accent1" w:themeFillTint="19"/>
    </w:tcPr>
    <w:tblStylePr w:type="firstRow">
      <w:rPr>
        <w:b/>
        <w:bCs/>
      </w:rPr>
      <w:tblPr/>
      <w:tcPr>
        <w:tcBorders>
          <w:top w:val="nil"/>
          <w:left w:val="nil"/>
          <w:bottom w:val="single" w:sz="24" w:space="0" w:color="F5C20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4949" w:themeFill="accent1" w:themeFillShade="99"/>
      </w:tcPr>
    </w:tblStylePr>
    <w:tblStylePr w:type="firstCol">
      <w:rPr>
        <w:color w:val="FFFFFF" w:themeColor="background1"/>
      </w:rPr>
      <w:tblPr/>
      <w:tcPr>
        <w:tcBorders>
          <w:top w:val="nil"/>
          <w:left w:val="nil"/>
          <w:bottom w:val="nil"/>
          <w:right w:val="nil"/>
          <w:insideH w:val="single" w:sz="4" w:space="0" w:color="494949" w:themeColor="accent1" w:themeShade="99"/>
          <w:insideV w:val="nil"/>
        </w:tcBorders>
        <w:shd w:val="clear" w:color="auto" w:fill="49494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94949" w:themeFill="accent1" w:themeFillShade="99"/>
      </w:tcPr>
    </w:tblStylePr>
    <w:tblStylePr w:type="band1Vert">
      <w:tblPr/>
      <w:tcPr>
        <w:shd w:val="clear" w:color="auto" w:fill="C9C9C9" w:themeFill="accent1" w:themeFillTint="66"/>
      </w:tcPr>
    </w:tblStylePr>
    <w:tblStylePr w:type="band1Horz">
      <w:tblPr/>
      <w:tcPr>
        <w:shd w:val="clear" w:color="auto" w:fill="BCBCBC" w:themeFill="accent1" w:themeFillTint="7F"/>
      </w:tcPr>
    </w:tblStylePr>
    <w:tblStylePr w:type="neCell">
      <w:rPr>
        <w:color w:val="000000" w:themeColor="text1"/>
      </w:rPr>
    </w:tblStylePr>
    <w:tblStylePr w:type="nwCell">
      <w:rPr>
        <w:color w:val="000000" w:themeColor="text1"/>
      </w:rPr>
    </w:tblStylePr>
  </w:style>
  <w:style w:type="table" w:styleId="MediumGrid2-Accent5">
    <w:name w:val="Medium Grid 2 Accent 5"/>
    <w:basedOn w:val="TableNormal"/>
    <w:uiPriority w:val="68"/>
    <w:rsid w:val="000537A0"/>
    <w:rPr>
      <w:rFonts w:asciiTheme="majorHAnsi" w:eastAsiaTheme="majorEastAsia" w:hAnsiTheme="majorHAnsi" w:cstheme="majorBidi"/>
      <w:color w:val="000000" w:themeColor="text1"/>
    </w:rPr>
    <w:tblPr>
      <w:tblStyleRowBandSize w:val="1"/>
      <w:tblStyleColBandSize w:val="1"/>
      <w:tblBorders>
        <w:top w:val="single" w:sz="8" w:space="0" w:color="DC5924" w:themeColor="accent5"/>
        <w:left w:val="single" w:sz="8" w:space="0" w:color="DC5924" w:themeColor="accent5"/>
        <w:bottom w:val="single" w:sz="8" w:space="0" w:color="DC5924" w:themeColor="accent5"/>
        <w:right w:val="single" w:sz="8" w:space="0" w:color="DC5924" w:themeColor="accent5"/>
        <w:insideH w:val="single" w:sz="8" w:space="0" w:color="DC5924" w:themeColor="accent5"/>
        <w:insideV w:val="single" w:sz="8" w:space="0" w:color="DC5924" w:themeColor="accent5"/>
      </w:tblBorders>
    </w:tblPr>
    <w:tcPr>
      <w:shd w:val="clear" w:color="auto" w:fill="F6D5C8" w:themeFill="accent5" w:themeFillTint="3F"/>
    </w:tcPr>
    <w:tblStylePr w:type="firstRow">
      <w:rPr>
        <w:b/>
        <w:bCs/>
        <w:color w:val="000000" w:themeColor="text1"/>
      </w:rPr>
      <w:tblPr/>
      <w:tcPr>
        <w:shd w:val="clear" w:color="auto" w:fill="FBEE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DD3" w:themeFill="accent5" w:themeFillTint="33"/>
      </w:tcPr>
    </w:tblStylePr>
    <w:tblStylePr w:type="band1Vert">
      <w:tblPr/>
      <w:tcPr>
        <w:shd w:val="clear" w:color="auto" w:fill="EDAC91" w:themeFill="accent5" w:themeFillTint="7F"/>
      </w:tcPr>
    </w:tblStylePr>
    <w:tblStylePr w:type="band1Horz">
      <w:tblPr/>
      <w:tcPr>
        <w:tcBorders>
          <w:insideH w:val="single" w:sz="6" w:space="0" w:color="DC5924" w:themeColor="accent5"/>
          <w:insideV w:val="single" w:sz="6" w:space="0" w:color="DC5924" w:themeColor="accent5"/>
        </w:tcBorders>
        <w:shd w:val="clear" w:color="auto" w:fill="EDAC91" w:themeFill="accent5" w:themeFillTint="7F"/>
      </w:tcPr>
    </w:tblStylePr>
    <w:tblStylePr w:type="nwCell">
      <w:tblPr/>
      <w:tcPr>
        <w:shd w:val="clear" w:color="auto" w:fill="FFFFFF" w:themeFill="background1"/>
      </w:tcPr>
    </w:tblStylePr>
  </w:style>
  <w:style w:type="table" w:styleId="MediumList1-Accent6">
    <w:name w:val="Medium List 1 Accent 6"/>
    <w:basedOn w:val="TableNormal"/>
    <w:uiPriority w:val="65"/>
    <w:rsid w:val="00C62C5D"/>
    <w:rPr>
      <w:color w:val="000000" w:themeColor="text1"/>
    </w:rPr>
    <w:tblPr>
      <w:tblStyleRowBandSize w:val="1"/>
      <w:tblStyleColBandSize w:val="1"/>
      <w:tblBorders>
        <w:top w:val="single" w:sz="8" w:space="0" w:color="B4B392" w:themeColor="accent6"/>
        <w:bottom w:val="single" w:sz="8" w:space="0" w:color="B4B392" w:themeColor="accent6"/>
      </w:tblBorders>
    </w:tblPr>
    <w:tblStylePr w:type="firstRow">
      <w:rPr>
        <w:rFonts w:asciiTheme="majorHAnsi" w:eastAsiaTheme="majorEastAsia" w:hAnsiTheme="majorHAnsi" w:cstheme="majorBidi"/>
      </w:rPr>
      <w:tblPr/>
      <w:tcPr>
        <w:tcBorders>
          <w:top w:val="nil"/>
          <w:bottom w:val="single" w:sz="8" w:space="0" w:color="B4B392" w:themeColor="accent6"/>
        </w:tcBorders>
      </w:tcPr>
    </w:tblStylePr>
    <w:tblStylePr w:type="lastRow">
      <w:rPr>
        <w:b/>
        <w:bCs/>
        <w:color w:val="D1282E" w:themeColor="text2"/>
      </w:rPr>
      <w:tblPr/>
      <w:tcPr>
        <w:tcBorders>
          <w:top w:val="single" w:sz="8" w:space="0" w:color="B4B392" w:themeColor="accent6"/>
          <w:bottom w:val="single" w:sz="8" w:space="0" w:color="B4B392" w:themeColor="accent6"/>
        </w:tcBorders>
      </w:tcPr>
    </w:tblStylePr>
    <w:tblStylePr w:type="firstCol">
      <w:rPr>
        <w:b/>
        <w:bCs/>
      </w:rPr>
    </w:tblStylePr>
    <w:tblStylePr w:type="lastCol">
      <w:rPr>
        <w:b/>
        <w:bCs/>
      </w:rPr>
      <w:tblPr/>
      <w:tcPr>
        <w:tcBorders>
          <w:top w:val="single" w:sz="8" w:space="0" w:color="B4B392" w:themeColor="accent6"/>
          <w:bottom w:val="single" w:sz="8" w:space="0" w:color="B4B392" w:themeColor="accent6"/>
        </w:tcBorders>
      </w:tcPr>
    </w:tblStylePr>
    <w:tblStylePr w:type="band1Vert">
      <w:tblPr/>
      <w:tcPr>
        <w:shd w:val="clear" w:color="auto" w:fill="ECECE3" w:themeFill="accent6" w:themeFillTint="3F"/>
      </w:tcPr>
    </w:tblStylePr>
    <w:tblStylePr w:type="band1Horz">
      <w:tblPr/>
      <w:tcPr>
        <w:shd w:val="clear" w:color="auto" w:fill="ECECE3" w:themeFill="accent6" w:themeFillTint="3F"/>
      </w:tcPr>
    </w:tblStylePr>
  </w:style>
  <w:style w:type="table" w:styleId="MediumList2-Accent3">
    <w:name w:val="Medium List 2 Accent 3"/>
    <w:basedOn w:val="TableNormal"/>
    <w:uiPriority w:val="66"/>
    <w:rsid w:val="00C62C5D"/>
    <w:rPr>
      <w:rFonts w:asciiTheme="majorHAnsi" w:eastAsiaTheme="majorEastAsia" w:hAnsiTheme="majorHAnsi" w:cstheme="majorBidi"/>
      <w:color w:val="000000" w:themeColor="text1"/>
    </w:rPr>
    <w:tblPr>
      <w:tblStyleRowBandSize w:val="1"/>
      <w:tblStyleColBandSize w:val="1"/>
      <w:tblBorders>
        <w:top w:val="single" w:sz="8" w:space="0" w:color="526DB0" w:themeColor="accent3"/>
        <w:left w:val="single" w:sz="8" w:space="0" w:color="526DB0" w:themeColor="accent3"/>
        <w:bottom w:val="single" w:sz="8" w:space="0" w:color="526DB0" w:themeColor="accent3"/>
        <w:right w:val="single" w:sz="8" w:space="0" w:color="526DB0" w:themeColor="accent3"/>
      </w:tblBorders>
    </w:tblPr>
    <w:tblStylePr w:type="firstRow">
      <w:rPr>
        <w:sz w:val="24"/>
        <w:szCs w:val="24"/>
      </w:rPr>
      <w:tblPr/>
      <w:tcPr>
        <w:tcBorders>
          <w:top w:val="nil"/>
          <w:left w:val="nil"/>
          <w:bottom w:val="single" w:sz="24" w:space="0" w:color="526DB0" w:themeColor="accent3"/>
          <w:right w:val="nil"/>
          <w:insideH w:val="nil"/>
          <w:insideV w:val="nil"/>
        </w:tcBorders>
        <w:shd w:val="clear" w:color="auto" w:fill="FFFFFF" w:themeFill="background1"/>
      </w:tcPr>
    </w:tblStylePr>
    <w:tblStylePr w:type="lastRow">
      <w:tblPr/>
      <w:tcPr>
        <w:tcBorders>
          <w:top w:val="single" w:sz="8" w:space="0" w:color="526DB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6DB0" w:themeColor="accent3"/>
          <w:insideH w:val="nil"/>
          <w:insideV w:val="nil"/>
        </w:tcBorders>
        <w:shd w:val="clear" w:color="auto" w:fill="FFFFFF" w:themeFill="background1"/>
      </w:tcPr>
    </w:tblStylePr>
    <w:tblStylePr w:type="lastCol">
      <w:tblPr/>
      <w:tcPr>
        <w:tcBorders>
          <w:top w:val="nil"/>
          <w:left w:val="single" w:sz="8" w:space="0" w:color="526DB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AEB" w:themeFill="accent3" w:themeFillTint="3F"/>
      </w:tcPr>
    </w:tblStylePr>
    <w:tblStylePr w:type="band1Horz">
      <w:tblPr/>
      <w:tcPr>
        <w:tcBorders>
          <w:top w:val="nil"/>
          <w:bottom w:val="nil"/>
          <w:insideH w:val="nil"/>
          <w:insideV w:val="nil"/>
        </w:tcBorders>
        <w:shd w:val="clear" w:color="auto" w:fill="D4DA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6">
    <w:name w:val="Light Grid Accent 6"/>
    <w:basedOn w:val="TableNormal"/>
    <w:uiPriority w:val="62"/>
    <w:rsid w:val="00C62C5D"/>
    <w:tblPr>
      <w:tblStyleRowBandSize w:val="1"/>
      <w:tblStyleColBandSize w:val="1"/>
      <w:tblBorders>
        <w:top w:val="single" w:sz="8" w:space="0" w:color="B4B392" w:themeColor="accent6"/>
        <w:left w:val="single" w:sz="8" w:space="0" w:color="B4B392" w:themeColor="accent6"/>
        <w:bottom w:val="single" w:sz="8" w:space="0" w:color="B4B392" w:themeColor="accent6"/>
        <w:right w:val="single" w:sz="8" w:space="0" w:color="B4B392" w:themeColor="accent6"/>
        <w:insideH w:val="single" w:sz="8" w:space="0" w:color="B4B392" w:themeColor="accent6"/>
        <w:insideV w:val="single" w:sz="8" w:space="0" w:color="B4B39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B392" w:themeColor="accent6"/>
          <w:left w:val="single" w:sz="8" w:space="0" w:color="B4B392" w:themeColor="accent6"/>
          <w:bottom w:val="single" w:sz="18" w:space="0" w:color="B4B392" w:themeColor="accent6"/>
          <w:right w:val="single" w:sz="8" w:space="0" w:color="B4B392" w:themeColor="accent6"/>
          <w:insideH w:val="nil"/>
          <w:insideV w:val="single" w:sz="8" w:space="0" w:color="B4B39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B392" w:themeColor="accent6"/>
          <w:left w:val="single" w:sz="8" w:space="0" w:color="B4B392" w:themeColor="accent6"/>
          <w:bottom w:val="single" w:sz="8" w:space="0" w:color="B4B392" w:themeColor="accent6"/>
          <w:right w:val="single" w:sz="8" w:space="0" w:color="B4B392" w:themeColor="accent6"/>
          <w:insideH w:val="nil"/>
          <w:insideV w:val="single" w:sz="8" w:space="0" w:color="B4B39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B392" w:themeColor="accent6"/>
          <w:left w:val="single" w:sz="8" w:space="0" w:color="B4B392" w:themeColor="accent6"/>
          <w:bottom w:val="single" w:sz="8" w:space="0" w:color="B4B392" w:themeColor="accent6"/>
          <w:right w:val="single" w:sz="8" w:space="0" w:color="B4B392" w:themeColor="accent6"/>
        </w:tcBorders>
      </w:tcPr>
    </w:tblStylePr>
    <w:tblStylePr w:type="band1Vert">
      <w:tblPr/>
      <w:tcPr>
        <w:tcBorders>
          <w:top w:val="single" w:sz="8" w:space="0" w:color="B4B392" w:themeColor="accent6"/>
          <w:left w:val="single" w:sz="8" w:space="0" w:color="B4B392" w:themeColor="accent6"/>
          <w:bottom w:val="single" w:sz="8" w:space="0" w:color="B4B392" w:themeColor="accent6"/>
          <w:right w:val="single" w:sz="8" w:space="0" w:color="B4B392" w:themeColor="accent6"/>
        </w:tcBorders>
        <w:shd w:val="clear" w:color="auto" w:fill="ECECE3" w:themeFill="accent6" w:themeFillTint="3F"/>
      </w:tcPr>
    </w:tblStylePr>
    <w:tblStylePr w:type="band1Horz">
      <w:tblPr/>
      <w:tcPr>
        <w:tcBorders>
          <w:top w:val="single" w:sz="8" w:space="0" w:color="B4B392" w:themeColor="accent6"/>
          <w:left w:val="single" w:sz="8" w:space="0" w:color="B4B392" w:themeColor="accent6"/>
          <w:bottom w:val="single" w:sz="8" w:space="0" w:color="B4B392" w:themeColor="accent6"/>
          <w:right w:val="single" w:sz="8" w:space="0" w:color="B4B392" w:themeColor="accent6"/>
          <w:insideV w:val="single" w:sz="8" w:space="0" w:color="B4B392" w:themeColor="accent6"/>
        </w:tcBorders>
        <w:shd w:val="clear" w:color="auto" w:fill="ECECE3" w:themeFill="accent6" w:themeFillTint="3F"/>
      </w:tcPr>
    </w:tblStylePr>
    <w:tblStylePr w:type="band2Horz">
      <w:tblPr/>
      <w:tcPr>
        <w:tcBorders>
          <w:top w:val="single" w:sz="8" w:space="0" w:color="B4B392" w:themeColor="accent6"/>
          <w:left w:val="single" w:sz="8" w:space="0" w:color="B4B392" w:themeColor="accent6"/>
          <w:bottom w:val="single" w:sz="8" w:space="0" w:color="B4B392" w:themeColor="accent6"/>
          <w:right w:val="single" w:sz="8" w:space="0" w:color="B4B392" w:themeColor="accent6"/>
          <w:insideV w:val="single" w:sz="8" w:space="0" w:color="B4B392" w:themeColor="accent6"/>
        </w:tcBorders>
      </w:tcPr>
    </w:tblStylePr>
  </w:style>
  <w:style w:type="table" w:styleId="LightList-Accent2">
    <w:name w:val="Light List Accent 2"/>
    <w:basedOn w:val="TableNormal"/>
    <w:uiPriority w:val="61"/>
    <w:rsid w:val="00F74C51"/>
    <w:tblPr>
      <w:tblStyleRowBandSize w:val="1"/>
      <w:tblStyleColBandSize w:val="1"/>
      <w:tblBorders>
        <w:top w:val="single" w:sz="8" w:space="0" w:color="F5C201" w:themeColor="accent2"/>
        <w:left w:val="single" w:sz="8" w:space="0" w:color="F5C201" w:themeColor="accent2"/>
        <w:bottom w:val="single" w:sz="8" w:space="0" w:color="F5C201" w:themeColor="accent2"/>
        <w:right w:val="single" w:sz="8" w:space="0" w:color="F5C201" w:themeColor="accent2"/>
      </w:tblBorders>
    </w:tblPr>
    <w:tblStylePr w:type="firstRow">
      <w:pPr>
        <w:spacing w:before="0" w:after="0" w:line="240" w:lineRule="auto"/>
      </w:pPr>
      <w:rPr>
        <w:b/>
        <w:bCs/>
        <w:color w:val="FFFFFF" w:themeColor="background1"/>
      </w:rPr>
      <w:tblPr/>
      <w:tcPr>
        <w:shd w:val="clear" w:color="auto" w:fill="F5C201" w:themeFill="accent2"/>
      </w:tcPr>
    </w:tblStylePr>
    <w:tblStylePr w:type="lastRow">
      <w:pPr>
        <w:spacing w:before="0" w:after="0" w:line="240" w:lineRule="auto"/>
      </w:pPr>
      <w:rPr>
        <w:b/>
        <w:bCs/>
      </w:rPr>
      <w:tblPr/>
      <w:tcPr>
        <w:tcBorders>
          <w:top w:val="double" w:sz="6" w:space="0" w:color="F5C201" w:themeColor="accent2"/>
          <w:left w:val="single" w:sz="8" w:space="0" w:color="F5C201" w:themeColor="accent2"/>
          <w:bottom w:val="single" w:sz="8" w:space="0" w:color="F5C201" w:themeColor="accent2"/>
          <w:right w:val="single" w:sz="8" w:space="0" w:color="F5C201" w:themeColor="accent2"/>
        </w:tcBorders>
      </w:tcPr>
    </w:tblStylePr>
    <w:tblStylePr w:type="firstCol">
      <w:rPr>
        <w:b/>
        <w:bCs/>
      </w:rPr>
    </w:tblStylePr>
    <w:tblStylePr w:type="lastCol">
      <w:rPr>
        <w:b/>
        <w:bCs/>
      </w:rPr>
    </w:tblStylePr>
    <w:tblStylePr w:type="band1Vert">
      <w:tblPr/>
      <w:tcPr>
        <w:tcBorders>
          <w:top w:val="single" w:sz="8" w:space="0" w:color="F5C201" w:themeColor="accent2"/>
          <w:left w:val="single" w:sz="8" w:space="0" w:color="F5C201" w:themeColor="accent2"/>
          <w:bottom w:val="single" w:sz="8" w:space="0" w:color="F5C201" w:themeColor="accent2"/>
          <w:right w:val="single" w:sz="8" w:space="0" w:color="F5C201" w:themeColor="accent2"/>
        </w:tcBorders>
      </w:tcPr>
    </w:tblStylePr>
    <w:tblStylePr w:type="band1Horz">
      <w:tblPr/>
      <w:tcPr>
        <w:tcBorders>
          <w:top w:val="single" w:sz="8" w:space="0" w:color="F5C201" w:themeColor="accent2"/>
          <w:left w:val="single" w:sz="8" w:space="0" w:color="F5C201" w:themeColor="accent2"/>
          <w:bottom w:val="single" w:sz="8" w:space="0" w:color="F5C201" w:themeColor="accent2"/>
          <w:right w:val="single" w:sz="8" w:space="0" w:color="F5C201" w:themeColor="accent2"/>
        </w:tcBorders>
      </w:tcPr>
    </w:tblStylePr>
  </w:style>
  <w:style w:type="paragraph" w:styleId="Header">
    <w:name w:val="header"/>
    <w:basedOn w:val="Normal"/>
    <w:link w:val="HeaderChar"/>
    <w:uiPriority w:val="99"/>
    <w:unhideWhenUsed/>
    <w:rsid w:val="00FC05AD"/>
    <w:pPr>
      <w:tabs>
        <w:tab w:val="center" w:pos="4703"/>
        <w:tab w:val="right" w:pos="9406"/>
      </w:tabs>
    </w:pPr>
  </w:style>
  <w:style w:type="character" w:customStyle="1" w:styleId="HeaderChar">
    <w:name w:val="Header Char"/>
    <w:basedOn w:val="DefaultParagraphFont"/>
    <w:link w:val="Header"/>
    <w:uiPriority w:val="99"/>
    <w:rsid w:val="00FC05AD"/>
    <w:rPr>
      <w:rFonts w:ascii="Arial" w:hAnsi="Arial"/>
      <w:lang w:val="en-GB" w:eastAsia="de-CH"/>
    </w:rPr>
  </w:style>
  <w:style w:type="character" w:customStyle="1" w:styleId="FooterChar">
    <w:name w:val="Footer Char"/>
    <w:basedOn w:val="DefaultParagraphFont"/>
    <w:link w:val="Footer"/>
    <w:uiPriority w:val="99"/>
    <w:rsid w:val="00FC05AD"/>
    <w:rPr>
      <w:rFonts w:ascii="Arial" w:hAnsi="Arial"/>
      <w:lang w:val="en-GB" w:eastAsia="de-CH"/>
    </w:rPr>
  </w:style>
  <w:style w:type="table" w:styleId="MediumList2-Accent1">
    <w:name w:val="Medium List 2 Accent 1"/>
    <w:basedOn w:val="TableNormal"/>
    <w:uiPriority w:val="66"/>
    <w:rsid w:val="00110C3D"/>
    <w:rPr>
      <w:rFonts w:asciiTheme="majorHAnsi" w:eastAsiaTheme="majorEastAsia" w:hAnsiTheme="majorHAnsi" w:cstheme="majorBidi"/>
      <w:color w:val="000000" w:themeColor="text1"/>
    </w:rPr>
    <w:tblPr>
      <w:tblStyleRowBandSize w:val="1"/>
      <w:tblStyleColBandSize w:val="1"/>
      <w:tblBorders>
        <w:top w:val="single" w:sz="8" w:space="0" w:color="7A7A7A" w:themeColor="accent1"/>
        <w:left w:val="single" w:sz="8" w:space="0" w:color="7A7A7A" w:themeColor="accent1"/>
        <w:bottom w:val="single" w:sz="8" w:space="0" w:color="7A7A7A" w:themeColor="accent1"/>
        <w:right w:val="single" w:sz="8" w:space="0" w:color="7A7A7A" w:themeColor="accent1"/>
      </w:tblBorders>
    </w:tblPr>
    <w:tblStylePr w:type="firstRow">
      <w:rPr>
        <w:sz w:val="24"/>
        <w:szCs w:val="24"/>
      </w:rPr>
      <w:tblPr/>
      <w:tcPr>
        <w:tcBorders>
          <w:top w:val="nil"/>
          <w:left w:val="nil"/>
          <w:bottom w:val="single" w:sz="24" w:space="0" w:color="7A7A7A" w:themeColor="accent1"/>
          <w:right w:val="nil"/>
          <w:insideH w:val="nil"/>
          <w:insideV w:val="nil"/>
        </w:tcBorders>
        <w:shd w:val="clear" w:color="auto" w:fill="FFFFFF" w:themeFill="background1"/>
      </w:tcPr>
    </w:tblStylePr>
    <w:tblStylePr w:type="lastRow">
      <w:tblPr/>
      <w:tcPr>
        <w:tcBorders>
          <w:top w:val="single" w:sz="8" w:space="0" w:color="7A7A7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7A7A" w:themeColor="accent1"/>
          <w:insideH w:val="nil"/>
          <w:insideV w:val="nil"/>
        </w:tcBorders>
        <w:shd w:val="clear" w:color="auto" w:fill="FFFFFF" w:themeFill="background1"/>
      </w:tcPr>
    </w:tblStylePr>
    <w:tblStylePr w:type="lastCol">
      <w:tblPr/>
      <w:tcPr>
        <w:tcBorders>
          <w:top w:val="nil"/>
          <w:left w:val="single" w:sz="8" w:space="0" w:color="7A7A7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EDE" w:themeFill="accent1" w:themeFillTint="3F"/>
      </w:tcPr>
    </w:tblStylePr>
    <w:tblStylePr w:type="band1Horz">
      <w:tblPr/>
      <w:tcPr>
        <w:tcBorders>
          <w:top w:val="nil"/>
          <w:bottom w:val="nil"/>
          <w:insideH w:val="nil"/>
          <w:insideV w:val="nil"/>
        </w:tcBorders>
        <w:shd w:val="clear" w:color="auto" w:fill="DEDED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AB2"/>
    <w:rPr>
      <w:rFonts w:ascii="Arial" w:hAnsi="Arial"/>
      <w:lang w:val="en-GB" w:eastAsia="de-CH"/>
    </w:rPr>
  </w:style>
  <w:style w:type="paragraph" w:styleId="Heading1">
    <w:name w:val="heading 1"/>
    <w:basedOn w:val="Normal"/>
    <w:next w:val="Normal"/>
    <w:qFormat/>
    <w:rsid w:val="009D1AB2"/>
    <w:pPr>
      <w:keepNext/>
      <w:numPr>
        <w:numId w:val="9"/>
      </w:numPr>
      <w:tabs>
        <w:tab w:val="left" w:pos="567"/>
      </w:tabs>
      <w:spacing w:before="120" w:after="120"/>
      <w:outlineLvl w:val="0"/>
    </w:pPr>
    <w:rPr>
      <w:rFonts w:cs="Arial"/>
      <w:b/>
      <w:bCs/>
      <w:kern w:val="32"/>
      <w:sz w:val="24"/>
      <w:szCs w:val="24"/>
    </w:rPr>
  </w:style>
  <w:style w:type="paragraph" w:styleId="Heading2">
    <w:name w:val="heading 2"/>
    <w:basedOn w:val="Normal"/>
    <w:next w:val="Normal"/>
    <w:qFormat/>
    <w:rsid w:val="009D1AB2"/>
    <w:pPr>
      <w:keepNext/>
      <w:numPr>
        <w:ilvl w:val="1"/>
        <w:numId w:val="9"/>
      </w:numPr>
      <w:tabs>
        <w:tab w:val="left" w:pos="851"/>
      </w:tabs>
      <w:spacing w:before="120" w:after="120"/>
      <w:outlineLvl w:val="1"/>
    </w:pPr>
    <w:rPr>
      <w:rFonts w:cs="Arial"/>
      <w:b/>
      <w:bCs/>
      <w:iCs/>
      <w:sz w:val="22"/>
      <w:szCs w:val="22"/>
    </w:rPr>
  </w:style>
  <w:style w:type="paragraph" w:styleId="Heading3">
    <w:name w:val="heading 3"/>
    <w:basedOn w:val="Normal"/>
    <w:next w:val="Normal"/>
    <w:qFormat/>
    <w:rsid w:val="009D1AB2"/>
    <w:pPr>
      <w:keepNext/>
      <w:numPr>
        <w:ilvl w:val="2"/>
        <w:numId w:val="9"/>
      </w:numPr>
      <w:tabs>
        <w:tab w:val="left" w:pos="1134"/>
      </w:tabs>
      <w:spacing w:before="120" w:after="120"/>
      <w:outlineLvl w:val="2"/>
    </w:pPr>
    <w:rPr>
      <w:rFonts w:cs="Arial"/>
      <w:b/>
      <w:bCs/>
    </w:rPr>
  </w:style>
  <w:style w:type="paragraph" w:styleId="Heading4">
    <w:name w:val="heading 4"/>
    <w:basedOn w:val="Normal"/>
    <w:next w:val="Normal"/>
    <w:qFormat/>
    <w:rsid w:val="009D1AB2"/>
    <w:pPr>
      <w:keepNext/>
      <w:numPr>
        <w:ilvl w:val="3"/>
        <w:numId w:val="9"/>
      </w:numPr>
      <w:tabs>
        <w:tab w:val="left" w:pos="1418"/>
      </w:tabs>
      <w:spacing w:before="120" w:after="120"/>
      <w:outlineLvl w:val="3"/>
    </w:pPr>
    <w:rPr>
      <w:b/>
      <w:bCs/>
    </w:rPr>
  </w:style>
  <w:style w:type="paragraph" w:styleId="Heading5">
    <w:name w:val="heading 5"/>
    <w:basedOn w:val="Normal"/>
    <w:next w:val="Normal"/>
    <w:qFormat/>
    <w:rsid w:val="009D1AB2"/>
    <w:pPr>
      <w:numPr>
        <w:ilvl w:val="4"/>
        <w:numId w:val="9"/>
      </w:numPr>
      <w:tabs>
        <w:tab w:val="left" w:pos="1701"/>
      </w:tabs>
      <w:spacing w:before="120" w:after="120"/>
      <w:outlineLvl w:val="4"/>
    </w:pPr>
    <w:rPr>
      <w:b/>
      <w:bCs/>
      <w:iCs/>
    </w:rPr>
  </w:style>
  <w:style w:type="paragraph" w:styleId="Heading6">
    <w:name w:val="heading 6"/>
    <w:basedOn w:val="Normal"/>
    <w:next w:val="Normal"/>
    <w:qFormat/>
    <w:rsid w:val="009D1AB2"/>
    <w:pPr>
      <w:numPr>
        <w:ilvl w:val="5"/>
        <w:numId w:val="10"/>
      </w:numPr>
      <w:tabs>
        <w:tab w:val="left" w:pos="1985"/>
      </w:tabs>
      <w:spacing w:before="120" w:after="120"/>
      <w:outlineLvl w:val="5"/>
    </w:pPr>
    <w:rPr>
      <w:b/>
      <w:bCs/>
    </w:rPr>
  </w:style>
  <w:style w:type="paragraph" w:styleId="Heading7">
    <w:name w:val="heading 7"/>
    <w:basedOn w:val="Normal"/>
    <w:next w:val="Normal"/>
    <w:qFormat/>
    <w:rsid w:val="009D1AB2"/>
    <w:pPr>
      <w:numPr>
        <w:ilvl w:val="6"/>
        <w:numId w:val="10"/>
      </w:numPr>
      <w:tabs>
        <w:tab w:val="left" w:pos="2268"/>
      </w:tabs>
      <w:spacing w:before="120" w:after="120"/>
      <w:outlineLvl w:val="6"/>
    </w:pPr>
    <w:rPr>
      <w:b/>
    </w:rPr>
  </w:style>
  <w:style w:type="paragraph" w:styleId="Heading8">
    <w:name w:val="heading 8"/>
    <w:basedOn w:val="Normal"/>
    <w:next w:val="Normal"/>
    <w:qFormat/>
    <w:rsid w:val="009D1AB2"/>
    <w:pPr>
      <w:numPr>
        <w:ilvl w:val="7"/>
        <w:numId w:val="10"/>
      </w:numPr>
      <w:tabs>
        <w:tab w:val="left" w:pos="2552"/>
      </w:tabs>
      <w:spacing w:before="120" w:after="120"/>
      <w:outlineLvl w:val="7"/>
    </w:pPr>
    <w:rPr>
      <w:b/>
      <w:iCs/>
    </w:rPr>
  </w:style>
  <w:style w:type="paragraph" w:styleId="Heading9">
    <w:name w:val="heading 9"/>
    <w:basedOn w:val="Normal"/>
    <w:next w:val="Normal"/>
    <w:qFormat/>
    <w:rsid w:val="009D1AB2"/>
    <w:pPr>
      <w:numPr>
        <w:ilvl w:val="8"/>
        <w:numId w:val="10"/>
      </w:numPr>
      <w:tabs>
        <w:tab w:val="left" w:pos="2835"/>
      </w:tabs>
      <w:spacing w:before="120" w:after="120"/>
      <w:outlineLvl w:val="8"/>
    </w:pPr>
    <w:rPr>
      <w:rFonts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290A70"/>
    <w:pPr>
      <w:numPr>
        <w:numId w:val="1"/>
      </w:numPr>
    </w:pPr>
  </w:style>
  <w:style w:type="numbering" w:styleId="1ai">
    <w:name w:val="Outline List 1"/>
    <w:basedOn w:val="NoList"/>
    <w:semiHidden/>
    <w:rsid w:val="00290A70"/>
    <w:pPr>
      <w:numPr>
        <w:numId w:val="2"/>
      </w:numPr>
    </w:pPr>
  </w:style>
  <w:style w:type="paragraph" w:styleId="TableofFigures">
    <w:name w:val="table of figures"/>
    <w:basedOn w:val="Normal"/>
    <w:next w:val="Normal"/>
    <w:rsid w:val="00290A70"/>
    <w:pPr>
      <w:ind w:left="400" w:hanging="400"/>
    </w:pPr>
  </w:style>
  <w:style w:type="paragraph" w:styleId="Salutation">
    <w:name w:val="Salutation"/>
    <w:basedOn w:val="Normal"/>
    <w:next w:val="Normal"/>
    <w:semiHidden/>
    <w:rsid w:val="00290A70"/>
  </w:style>
  <w:style w:type="numbering" w:styleId="ArticleSection">
    <w:name w:val="Outline List 3"/>
    <w:basedOn w:val="NoList"/>
    <w:semiHidden/>
    <w:rsid w:val="00290A70"/>
    <w:pPr>
      <w:numPr>
        <w:numId w:val="3"/>
      </w:numPr>
    </w:pPr>
  </w:style>
  <w:style w:type="paragraph" w:styleId="ListBullet">
    <w:name w:val="List Bullet"/>
    <w:basedOn w:val="Normal"/>
    <w:autoRedefine/>
    <w:rsid w:val="00290A70"/>
  </w:style>
  <w:style w:type="paragraph" w:styleId="ListBullet2">
    <w:name w:val="List Bullet 2"/>
    <w:basedOn w:val="Normal"/>
    <w:autoRedefine/>
    <w:rsid w:val="00290A70"/>
    <w:pPr>
      <w:numPr>
        <w:numId w:val="4"/>
      </w:numPr>
      <w:tabs>
        <w:tab w:val="clear" w:pos="643"/>
        <w:tab w:val="num" w:pos="360"/>
      </w:tabs>
      <w:ind w:left="360"/>
    </w:pPr>
  </w:style>
  <w:style w:type="paragraph" w:styleId="ListBullet3">
    <w:name w:val="List Bullet 3"/>
    <w:basedOn w:val="Normal"/>
    <w:autoRedefine/>
    <w:rsid w:val="00290A70"/>
    <w:pPr>
      <w:numPr>
        <w:numId w:val="5"/>
      </w:numPr>
      <w:tabs>
        <w:tab w:val="clear" w:pos="926"/>
        <w:tab w:val="num" w:pos="360"/>
      </w:tabs>
      <w:ind w:left="360"/>
    </w:pPr>
  </w:style>
  <w:style w:type="paragraph" w:styleId="ListBullet4">
    <w:name w:val="List Bullet 4"/>
    <w:basedOn w:val="Normal"/>
    <w:autoRedefine/>
    <w:rsid w:val="00290A70"/>
    <w:pPr>
      <w:numPr>
        <w:numId w:val="6"/>
      </w:numPr>
      <w:tabs>
        <w:tab w:val="clear" w:pos="1209"/>
        <w:tab w:val="num" w:pos="360"/>
      </w:tabs>
      <w:ind w:left="360"/>
    </w:pPr>
  </w:style>
  <w:style w:type="paragraph" w:styleId="ListBullet5">
    <w:name w:val="List Bullet 5"/>
    <w:basedOn w:val="Normal"/>
    <w:autoRedefine/>
    <w:rsid w:val="00290A70"/>
    <w:pPr>
      <w:numPr>
        <w:numId w:val="7"/>
      </w:numPr>
      <w:tabs>
        <w:tab w:val="clear" w:pos="1492"/>
        <w:tab w:val="num" w:pos="360"/>
      </w:tabs>
      <w:ind w:left="360"/>
    </w:pPr>
  </w:style>
  <w:style w:type="paragraph" w:styleId="Caption">
    <w:name w:val="caption"/>
    <w:basedOn w:val="Normal"/>
    <w:next w:val="Normal"/>
    <w:qFormat/>
    <w:rsid w:val="009D1AB2"/>
    <w:pPr>
      <w:spacing w:before="120" w:after="120"/>
    </w:pPr>
    <w:rPr>
      <w:b/>
      <w:bCs/>
    </w:rPr>
  </w:style>
  <w:style w:type="character" w:styleId="FollowedHyperlink">
    <w:name w:val="FollowedHyperlink"/>
    <w:uiPriority w:val="99"/>
    <w:rsid w:val="00290A70"/>
    <w:rPr>
      <w:rFonts w:ascii="Verdana" w:hAnsi="Verdana"/>
      <w:color w:val="800080"/>
      <w:sz w:val="20"/>
      <w:szCs w:val="20"/>
      <w:u w:val="single"/>
    </w:rPr>
  </w:style>
  <w:style w:type="paragraph" w:styleId="BlockText">
    <w:name w:val="Block Text"/>
    <w:basedOn w:val="Normal"/>
    <w:semiHidden/>
    <w:rsid w:val="00290A70"/>
    <w:pPr>
      <w:spacing w:after="120"/>
      <w:ind w:left="1440" w:right="1440"/>
    </w:pPr>
  </w:style>
  <w:style w:type="paragraph" w:styleId="DocumentMap">
    <w:name w:val="Document Map"/>
    <w:basedOn w:val="Normal"/>
    <w:rsid w:val="00290A70"/>
    <w:pPr>
      <w:shd w:val="clear" w:color="auto" w:fill="000080"/>
    </w:pPr>
    <w:rPr>
      <w:rFonts w:cs="Tahoma"/>
    </w:rPr>
  </w:style>
  <w:style w:type="paragraph" w:styleId="E-mailSignature">
    <w:name w:val="E-mail Signature"/>
    <w:basedOn w:val="Normal"/>
    <w:semiHidden/>
    <w:rsid w:val="00290A70"/>
  </w:style>
  <w:style w:type="paragraph" w:styleId="EndnoteText">
    <w:name w:val="endnote text"/>
    <w:basedOn w:val="Normal"/>
    <w:semiHidden/>
    <w:rsid w:val="00290A70"/>
  </w:style>
  <w:style w:type="character" w:styleId="EndnoteReference">
    <w:name w:val="endnote reference"/>
    <w:semiHidden/>
    <w:rsid w:val="00290A70"/>
    <w:rPr>
      <w:rFonts w:ascii="Verdana" w:hAnsi="Verdana"/>
      <w:vertAlign w:val="superscript"/>
    </w:rPr>
  </w:style>
  <w:style w:type="character" w:styleId="Strong">
    <w:name w:val="Strong"/>
    <w:qFormat/>
    <w:rsid w:val="009D1AB2"/>
    <w:rPr>
      <w:rFonts w:ascii="Verdana" w:hAnsi="Verdana"/>
      <w:b/>
      <w:bCs/>
    </w:rPr>
  </w:style>
  <w:style w:type="paragraph" w:styleId="NoteHeading">
    <w:name w:val="Note Heading"/>
    <w:basedOn w:val="Normal"/>
    <w:next w:val="Normal"/>
    <w:semiHidden/>
    <w:rsid w:val="00290A70"/>
  </w:style>
  <w:style w:type="paragraph" w:styleId="FootnoteText">
    <w:name w:val="footnote text"/>
    <w:basedOn w:val="Normal"/>
    <w:rsid w:val="00290A70"/>
  </w:style>
  <w:style w:type="character" w:styleId="FootnoteReference">
    <w:name w:val="footnote reference"/>
    <w:rsid w:val="00290A70"/>
    <w:rPr>
      <w:rFonts w:ascii="Verdana" w:hAnsi="Verdana"/>
      <w:vertAlign w:val="superscript"/>
    </w:rPr>
  </w:style>
  <w:style w:type="paragraph" w:styleId="Footer">
    <w:name w:val="footer"/>
    <w:basedOn w:val="Normal"/>
    <w:link w:val="FooterChar"/>
    <w:uiPriority w:val="99"/>
    <w:rsid w:val="00290A70"/>
    <w:pPr>
      <w:tabs>
        <w:tab w:val="center" w:pos="4536"/>
        <w:tab w:val="right" w:pos="9072"/>
      </w:tabs>
    </w:pPr>
  </w:style>
  <w:style w:type="paragraph" w:styleId="Closing">
    <w:name w:val="Closing"/>
    <w:basedOn w:val="Normal"/>
    <w:semiHidden/>
    <w:rsid w:val="00290A70"/>
  </w:style>
  <w:style w:type="character" w:styleId="Emphasis">
    <w:name w:val="Emphasis"/>
    <w:qFormat/>
    <w:rsid w:val="009D1AB2"/>
    <w:rPr>
      <w:rFonts w:ascii="Verdana" w:hAnsi="Verdana"/>
      <w:iCs/>
      <w:sz w:val="20"/>
      <w:szCs w:val="20"/>
    </w:rPr>
  </w:style>
  <w:style w:type="character" w:styleId="HTMLAcronym">
    <w:name w:val="HTML Acronym"/>
    <w:semiHidden/>
    <w:rsid w:val="00290A70"/>
    <w:rPr>
      <w:rFonts w:ascii="Verdana" w:hAnsi="Verdana"/>
    </w:rPr>
  </w:style>
  <w:style w:type="character" w:styleId="HTMLSample">
    <w:name w:val="HTML Sample"/>
    <w:semiHidden/>
    <w:rsid w:val="00290A70"/>
    <w:rPr>
      <w:rFonts w:ascii="Verdana" w:hAnsi="Verdana" w:cs="Courier New"/>
    </w:rPr>
  </w:style>
  <w:style w:type="character" w:styleId="HTMLCode">
    <w:name w:val="HTML Code"/>
    <w:semiHidden/>
    <w:rsid w:val="00290A70"/>
    <w:rPr>
      <w:rFonts w:ascii="Courier New" w:hAnsi="Courier New" w:cs="Courier New"/>
      <w:sz w:val="20"/>
      <w:szCs w:val="20"/>
    </w:rPr>
  </w:style>
  <w:style w:type="character" w:styleId="HTMLDefinition">
    <w:name w:val="HTML Definition"/>
    <w:semiHidden/>
    <w:rsid w:val="00290A70"/>
    <w:rPr>
      <w:i/>
      <w:iCs/>
    </w:rPr>
  </w:style>
  <w:style w:type="character" w:styleId="HTMLTypewriter">
    <w:name w:val="HTML Typewriter"/>
    <w:semiHidden/>
    <w:rsid w:val="00290A70"/>
    <w:rPr>
      <w:rFonts w:ascii="Courier New" w:hAnsi="Courier New" w:cs="Courier New"/>
      <w:sz w:val="20"/>
      <w:szCs w:val="20"/>
    </w:rPr>
  </w:style>
  <w:style w:type="character" w:styleId="HTMLKeyboard">
    <w:name w:val="HTML Keyboard"/>
    <w:semiHidden/>
    <w:rsid w:val="00290A70"/>
    <w:rPr>
      <w:rFonts w:ascii="Courier New" w:hAnsi="Courier New" w:cs="Courier New"/>
      <w:sz w:val="20"/>
      <w:szCs w:val="20"/>
    </w:rPr>
  </w:style>
  <w:style w:type="character" w:styleId="HTMLVariable">
    <w:name w:val="HTML Variable"/>
    <w:semiHidden/>
    <w:rsid w:val="00290A70"/>
    <w:rPr>
      <w:i/>
      <w:iCs/>
    </w:rPr>
  </w:style>
  <w:style w:type="paragraph" w:styleId="HTMLPreformatted">
    <w:name w:val="HTML Preformatted"/>
    <w:basedOn w:val="Normal"/>
    <w:semiHidden/>
    <w:rsid w:val="00290A70"/>
    <w:rPr>
      <w:rFonts w:ascii="Courier New" w:hAnsi="Courier New" w:cs="Courier New"/>
    </w:rPr>
  </w:style>
  <w:style w:type="character" w:styleId="HTMLCite">
    <w:name w:val="HTML Cite"/>
    <w:semiHidden/>
    <w:rsid w:val="00290A70"/>
    <w:rPr>
      <w:i/>
      <w:iCs/>
    </w:rPr>
  </w:style>
  <w:style w:type="character" w:styleId="Hyperlink">
    <w:name w:val="Hyperlink"/>
    <w:uiPriority w:val="99"/>
    <w:rsid w:val="00290A70"/>
    <w:rPr>
      <w:rFonts w:ascii="Verdana" w:hAnsi="Verdana"/>
      <w:color w:val="0000FF"/>
      <w:sz w:val="20"/>
      <w:szCs w:val="20"/>
      <w:u w:val="single"/>
    </w:rPr>
  </w:style>
  <w:style w:type="paragraph" w:styleId="Index1">
    <w:name w:val="index 1"/>
    <w:basedOn w:val="Normal"/>
    <w:next w:val="Normal"/>
    <w:autoRedefine/>
    <w:rsid w:val="00290A70"/>
    <w:pPr>
      <w:ind w:left="200" w:hanging="200"/>
    </w:pPr>
  </w:style>
  <w:style w:type="paragraph" w:styleId="Index2">
    <w:name w:val="index 2"/>
    <w:basedOn w:val="Normal"/>
    <w:next w:val="Normal"/>
    <w:autoRedefine/>
    <w:rsid w:val="00290A70"/>
    <w:pPr>
      <w:ind w:left="400" w:hanging="200"/>
    </w:pPr>
  </w:style>
  <w:style w:type="paragraph" w:styleId="Index3">
    <w:name w:val="index 3"/>
    <w:basedOn w:val="Normal"/>
    <w:next w:val="Normal"/>
    <w:autoRedefine/>
    <w:rsid w:val="00290A70"/>
    <w:pPr>
      <w:ind w:left="600" w:hanging="200"/>
    </w:pPr>
  </w:style>
  <w:style w:type="paragraph" w:styleId="Index4">
    <w:name w:val="index 4"/>
    <w:basedOn w:val="Normal"/>
    <w:next w:val="Normal"/>
    <w:autoRedefine/>
    <w:rsid w:val="00290A70"/>
    <w:pPr>
      <w:ind w:left="800" w:hanging="200"/>
    </w:pPr>
  </w:style>
  <w:style w:type="paragraph" w:styleId="Index5">
    <w:name w:val="index 5"/>
    <w:basedOn w:val="Normal"/>
    <w:next w:val="Normal"/>
    <w:autoRedefine/>
    <w:rsid w:val="00290A70"/>
    <w:pPr>
      <w:ind w:left="1000" w:hanging="200"/>
    </w:pPr>
  </w:style>
  <w:style w:type="paragraph" w:styleId="Index6">
    <w:name w:val="index 6"/>
    <w:basedOn w:val="Normal"/>
    <w:next w:val="Normal"/>
    <w:autoRedefine/>
    <w:rsid w:val="00290A70"/>
    <w:pPr>
      <w:ind w:left="1200" w:hanging="200"/>
    </w:pPr>
  </w:style>
  <w:style w:type="paragraph" w:styleId="Index7">
    <w:name w:val="index 7"/>
    <w:basedOn w:val="Normal"/>
    <w:next w:val="Normal"/>
    <w:autoRedefine/>
    <w:rsid w:val="00290A70"/>
    <w:pPr>
      <w:ind w:left="1400" w:hanging="200"/>
    </w:pPr>
  </w:style>
  <w:style w:type="paragraph" w:styleId="Index8">
    <w:name w:val="index 8"/>
    <w:basedOn w:val="Normal"/>
    <w:next w:val="Normal"/>
    <w:autoRedefine/>
    <w:rsid w:val="00290A70"/>
    <w:pPr>
      <w:ind w:left="1600" w:hanging="200"/>
    </w:pPr>
  </w:style>
  <w:style w:type="paragraph" w:styleId="Index9">
    <w:name w:val="index 9"/>
    <w:basedOn w:val="Normal"/>
    <w:next w:val="Normal"/>
    <w:autoRedefine/>
    <w:rsid w:val="00290A70"/>
    <w:pPr>
      <w:ind w:left="1800" w:hanging="200"/>
    </w:pPr>
  </w:style>
  <w:style w:type="paragraph" w:styleId="IndexHeading">
    <w:name w:val="index heading"/>
    <w:basedOn w:val="Normal"/>
    <w:next w:val="Index1"/>
    <w:rsid w:val="00290A70"/>
    <w:rPr>
      <w:rFonts w:cs="Arial"/>
      <w:b/>
      <w:bCs/>
    </w:rPr>
  </w:style>
  <w:style w:type="paragraph" w:styleId="CommentText">
    <w:name w:val="annotation text"/>
    <w:basedOn w:val="Normal"/>
    <w:semiHidden/>
    <w:rsid w:val="00290A70"/>
  </w:style>
  <w:style w:type="paragraph" w:styleId="CommentSubject">
    <w:name w:val="annotation subject"/>
    <w:basedOn w:val="CommentText"/>
    <w:next w:val="CommentText"/>
    <w:semiHidden/>
    <w:rsid w:val="00290A70"/>
    <w:rPr>
      <w:b/>
      <w:bCs/>
    </w:rPr>
  </w:style>
  <w:style w:type="character" w:styleId="CommentReference">
    <w:name w:val="annotation reference"/>
    <w:semiHidden/>
    <w:rsid w:val="00290A70"/>
    <w:rPr>
      <w:rFonts w:ascii="Verdana" w:hAnsi="Verdana"/>
      <w:sz w:val="16"/>
      <w:szCs w:val="16"/>
    </w:rPr>
  </w:style>
  <w:style w:type="paragraph" w:styleId="ListContinue">
    <w:name w:val="List Continue"/>
    <w:basedOn w:val="Normal"/>
    <w:semiHidden/>
    <w:rsid w:val="00290A70"/>
    <w:pPr>
      <w:spacing w:after="120"/>
      <w:ind w:left="283"/>
    </w:pPr>
  </w:style>
  <w:style w:type="paragraph" w:styleId="ListContinue2">
    <w:name w:val="List Continue 2"/>
    <w:basedOn w:val="Normal"/>
    <w:semiHidden/>
    <w:rsid w:val="00290A70"/>
    <w:pPr>
      <w:spacing w:after="120"/>
      <w:ind w:left="566"/>
    </w:pPr>
  </w:style>
  <w:style w:type="paragraph" w:styleId="ListContinue3">
    <w:name w:val="List Continue 3"/>
    <w:basedOn w:val="Normal"/>
    <w:semiHidden/>
    <w:rsid w:val="00290A70"/>
    <w:pPr>
      <w:spacing w:after="120"/>
      <w:ind w:left="849"/>
    </w:pPr>
  </w:style>
  <w:style w:type="paragraph" w:styleId="ListContinue4">
    <w:name w:val="List Continue 4"/>
    <w:basedOn w:val="Normal"/>
    <w:semiHidden/>
    <w:rsid w:val="00290A70"/>
    <w:pPr>
      <w:spacing w:after="120"/>
      <w:ind w:left="1132"/>
    </w:pPr>
  </w:style>
  <w:style w:type="paragraph" w:styleId="ListContinue5">
    <w:name w:val="List Continue 5"/>
    <w:basedOn w:val="Normal"/>
    <w:semiHidden/>
    <w:rsid w:val="00290A70"/>
    <w:pPr>
      <w:spacing w:after="120"/>
      <w:ind w:left="1415"/>
    </w:pPr>
  </w:style>
  <w:style w:type="paragraph" w:styleId="ListNumber">
    <w:name w:val="List Number"/>
    <w:basedOn w:val="Normal"/>
    <w:rsid w:val="00290A70"/>
    <w:pPr>
      <w:numPr>
        <w:numId w:val="8"/>
      </w:numPr>
    </w:pPr>
  </w:style>
  <w:style w:type="paragraph" w:styleId="MacroText">
    <w:name w:val="macro"/>
    <w:semiHidden/>
    <w:rsid w:val="00290A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CH"/>
    </w:rPr>
  </w:style>
  <w:style w:type="paragraph" w:styleId="MessageHeader">
    <w:name w:val="Message Header"/>
    <w:basedOn w:val="Normal"/>
    <w:semiHidden/>
    <w:rsid w:val="00290A70"/>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290A70"/>
    <w:rPr>
      <w:rFonts w:cs="Courier New"/>
    </w:rPr>
  </w:style>
  <w:style w:type="paragraph" w:styleId="TableofAuthorities">
    <w:name w:val="table of authorities"/>
    <w:basedOn w:val="Normal"/>
    <w:next w:val="Normal"/>
    <w:semiHidden/>
    <w:rsid w:val="00290A70"/>
    <w:pPr>
      <w:ind w:left="200" w:hanging="200"/>
    </w:pPr>
  </w:style>
  <w:style w:type="paragraph" w:styleId="TOAHeading">
    <w:name w:val="toa heading"/>
    <w:basedOn w:val="Normal"/>
    <w:next w:val="Normal"/>
    <w:semiHidden/>
    <w:rsid w:val="00290A70"/>
    <w:pPr>
      <w:spacing w:before="120"/>
    </w:pPr>
    <w:rPr>
      <w:rFonts w:cs="Arial"/>
      <w:b/>
      <w:bCs/>
      <w:sz w:val="22"/>
      <w:szCs w:val="22"/>
    </w:rPr>
  </w:style>
  <w:style w:type="character" w:styleId="PageNumber">
    <w:name w:val="page number"/>
    <w:rsid w:val="00290A70"/>
    <w:rPr>
      <w:rFonts w:ascii="Verdana" w:hAnsi="Verdana"/>
      <w:sz w:val="20"/>
      <w:szCs w:val="20"/>
    </w:rPr>
  </w:style>
  <w:style w:type="paragraph" w:styleId="BalloonText">
    <w:name w:val="Balloon Text"/>
    <w:basedOn w:val="Normal"/>
    <w:semiHidden/>
    <w:rsid w:val="00290A70"/>
    <w:rPr>
      <w:rFonts w:cs="Tahoma"/>
      <w:sz w:val="16"/>
      <w:szCs w:val="16"/>
    </w:rPr>
  </w:style>
  <w:style w:type="paragraph" w:styleId="NormalWeb">
    <w:name w:val="Normal (Web)"/>
    <w:basedOn w:val="Normal"/>
    <w:rsid w:val="00290A70"/>
  </w:style>
  <w:style w:type="table" w:styleId="Table3Deffects1">
    <w:name w:val="Table 3D effects 1"/>
    <w:basedOn w:val="TableNormal"/>
    <w:semiHidden/>
    <w:rsid w:val="00290A70"/>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90A70"/>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90A70"/>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90A70"/>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90A70"/>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90A70"/>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90A70"/>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90A70"/>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90A70"/>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90A70"/>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90A70"/>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90A70"/>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90A70"/>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90A70"/>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90A70"/>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90A70"/>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90A70"/>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90A70"/>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90A70"/>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90A70"/>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90A70"/>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90A70"/>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90A70"/>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90A70"/>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90A70"/>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90A70"/>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90A70"/>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90A70"/>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90A70"/>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90A70"/>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90A70"/>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90A70"/>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90A70"/>
    <w:rPr>
      <w:rFonts w:ascii="Verdana" w:hAnsi="Verdana"/>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90A70"/>
    <w:rPr>
      <w:rFonts w:ascii="Verdana" w:hAnsi="Verdana"/>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90A70"/>
    <w:rPr>
      <w:rFonts w:ascii="Verdana" w:hAnsi="Verdana"/>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90A70"/>
    <w:rPr>
      <w:rFonts w:ascii="Verdana" w:hAnsi="Verdan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90A70"/>
    <w:rPr>
      <w:rFonts w:ascii="Verdana" w:hAnsi="Verdan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90A70"/>
    <w:rPr>
      <w:rFonts w:ascii="Verdana" w:hAnsi="Verdan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90A70"/>
    <w:rPr>
      <w:rFonts w:ascii="Verdana" w:hAnsi="Verdan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90A70"/>
    <w:rPr>
      <w:rFonts w:ascii="Verdana" w:hAnsi="Verdan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90A70"/>
    <w:rPr>
      <w:rFonts w:ascii="Verdana" w:hAnsi="Verdan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90A70"/>
    <w:rPr>
      <w:rFonts w:ascii="Verdana" w:hAnsi="Verdan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290A70"/>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290A70"/>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90A70"/>
    <w:pPr>
      <w:spacing w:after="120"/>
    </w:pPr>
  </w:style>
  <w:style w:type="paragraph" w:styleId="BodyText2">
    <w:name w:val="Body Text 2"/>
    <w:basedOn w:val="Normal"/>
    <w:semiHidden/>
    <w:rsid w:val="00290A70"/>
    <w:pPr>
      <w:spacing w:after="120" w:line="480" w:lineRule="auto"/>
    </w:pPr>
  </w:style>
  <w:style w:type="paragraph" w:styleId="BodyText3">
    <w:name w:val="Body Text 3"/>
    <w:basedOn w:val="Normal"/>
    <w:semiHidden/>
    <w:rsid w:val="00290A70"/>
    <w:pPr>
      <w:spacing w:after="120"/>
    </w:pPr>
    <w:rPr>
      <w:sz w:val="16"/>
      <w:szCs w:val="16"/>
    </w:rPr>
  </w:style>
  <w:style w:type="paragraph" w:styleId="BodyTextIndent2">
    <w:name w:val="Body Text Indent 2"/>
    <w:basedOn w:val="Normal"/>
    <w:semiHidden/>
    <w:rsid w:val="00290A70"/>
    <w:pPr>
      <w:spacing w:after="120" w:line="480" w:lineRule="auto"/>
      <w:ind w:left="283"/>
    </w:pPr>
  </w:style>
  <w:style w:type="paragraph" w:styleId="BodyTextIndent3">
    <w:name w:val="Body Text Indent 3"/>
    <w:basedOn w:val="Normal"/>
    <w:semiHidden/>
    <w:rsid w:val="00290A70"/>
    <w:pPr>
      <w:spacing w:after="120"/>
      <w:ind w:left="283"/>
    </w:pPr>
    <w:rPr>
      <w:sz w:val="16"/>
      <w:szCs w:val="16"/>
    </w:rPr>
  </w:style>
  <w:style w:type="paragraph" w:styleId="BodyTextFirstIndent">
    <w:name w:val="Body Text First Indent"/>
    <w:basedOn w:val="BodyText"/>
    <w:semiHidden/>
    <w:rsid w:val="00290A70"/>
    <w:pPr>
      <w:ind w:firstLine="210"/>
    </w:pPr>
  </w:style>
  <w:style w:type="paragraph" w:styleId="BodyTextIndent">
    <w:name w:val="Body Text Indent"/>
    <w:basedOn w:val="Normal"/>
    <w:semiHidden/>
    <w:rsid w:val="00290A70"/>
    <w:pPr>
      <w:spacing w:after="120"/>
      <w:ind w:left="283"/>
    </w:pPr>
  </w:style>
  <w:style w:type="paragraph" w:styleId="BodyTextFirstIndent2">
    <w:name w:val="Body Text First Indent 2"/>
    <w:basedOn w:val="BodyTextIndent"/>
    <w:semiHidden/>
    <w:rsid w:val="00290A70"/>
    <w:pPr>
      <w:ind w:firstLine="210"/>
    </w:pPr>
  </w:style>
  <w:style w:type="paragraph" w:styleId="Title">
    <w:name w:val="Title"/>
    <w:basedOn w:val="Normal"/>
    <w:qFormat/>
    <w:rsid w:val="009D1AB2"/>
    <w:pPr>
      <w:spacing w:before="240" w:after="60"/>
      <w:outlineLvl w:val="0"/>
    </w:pPr>
    <w:rPr>
      <w:rFonts w:cs="Arial"/>
      <w:b/>
      <w:bCs/>
      <w:kern w:val="28"/>
      <w:sz w:val="24"/>
      <w:szCs w:val="24"/>
    </w:rPr>
  </w:style>
  <w:style w:type="paragraph" w:styleId="EnvelopeReturn">
    <w:name w:val="envelope return"/>
    <w:basedOn w:val="Normal"/>
    <w:rsid w:val="00290A70"/>
    <w:rPr>
      <w:rFonts w:cs="Arial"/>
    </w:rPr>
  </w:style>
  <w:style w:type="paragraph" w:styleId="EnvelopeAddress">
    <w:name w:val="envelope address"/>
    <w:basedOn w:val="Normal"/>
    <w:rsid w:val="00290A70"/>
    <w:pPr>
      <w:framePr w:w="4320" w:h="2160" w:hRule="exact" w:hSpace="141" w:wrap="auto" w:hAnchor="page" w:xAlign="center" w:yAlign="bottom"/>
      <w:ind w:left="1"/>
    </w:pPr>
    <w:rPr>
      <w:rFonts w:cs="Arial"/>
      <w:sz w:val="22"/>
      <w:szCs w:val="22"/>
    </w:rPr>
  </w:style>
  <w:style w:type="paragraph" w:styleId="Signature">
    <w:name w:val="Signature"/>
    <w:basedOn w:val="Normal"/>
    <w:semiHidden/>
    <w:rsid w:val="00290A70"/>
    <w:pPr>
      <w:ind w:left="4252"/>
    </w:pPr>
  </w:style>
  <w:style w:type="paragraph" w:styleId="Subtitle">
    <w:name w:val="Subtitle"/>
    <w:basedOn w:val="Normal"/>
    <w:qFormat/>
    <w:rsid w:val="009D1AB2"/>
    <w:pPr>
      <w:spacing w:after="60"/>
      <w:jc w:val="center"/>
      <w:outlineLvl w:val="1"/>
    </w:pPr>
    <w:rPr>
      <w:rFonts w:cs="Arial"/>
      <w:sz w:val="22"/>
      <w:szCs w:val="22"/>
    </w:rPr>
  </w:style>
  <w:style w:type="paragraph" w:styleId="TOC1">
    <w:name w:val="toc 1"/>
    <w:basedOn w:val="Normal"/>
    <w:next w:val="Normal"/>
    <w:autoRedefine/>
    <w:rsid w:val="00290A70"/>
  </w:style>
  <w:style w:type="paragraph" w:styleId="TOC2">
    <w:name w:val="toc 2"/>
    <w:basedOn w:val="Normal"/>
    <w:next w:val="Normal"/>
    <w:autoRedefine/>
    <w:rsid w:val="00290A70"/>
    <w:pPr>
      <w:ind w:left="200"/>
    </w:pPr>
  </w:style>
  <w:style w:type="paragraph" w:styleId="TOC3">
    <w:name w:val="toc 3"/>
    <w:basedOn w:val="Normal"/>
    <w:next w:val="Normal"/>
    <w:autoRedefine/>
    <w:rsid w:val="00290A70"/>
    <w:pPr>
      <w:ind w:left="400"/>
    </w:pPr>
  </w:style>
  <w:style w:type="paragraph" w:styleId="TOC4">
    <w:name w:val="toc 4"/>
    <w:basedOn w:val="Normal"/>
    <w:next w:val="Normal"/>
    <w:autoRedefine/>
    <w:rsid w:val="00290A70"/>
    <w:pPr>
      <w:ind w:left="600"/>
    </w:pPr>
  </w:style>
  <w:style w:type="paragraph" w:styleId="TOC5">
    <w:name w:val="toc 5"/>
    <w:basedOn w:val="Normal"/>
    <w:next w:val="Normal"/>
    <w:autoRedefine/>
    <w:rsid w:val="00290A70"/>
    <w:pPr>
      <w:ind w:left="800"/>
    </w:pPr>
  </w:style>
  <w:style w:type="paragraph" w:styleId="TOC6">
    <w:name w:val="toc 6"/>
    <w:basedOn w:val="Normal"/>
    <w:next w:val="Normal"/>
    <w:autoRedefine/>
    <w:rsid w:val="00290A70"/>
    <w:pPr>
      <w:ind w:left="1000"/>
    </w:pPr>
  </w:style>
  <w:style w:type="paragraph" w:styleId="TOC7">
    <w:name w:val="toc 7"/>
    <w:basedOn w:val="Normal"/>
    <w:next w:val="Normal"/>
    <w:autoRedefine/>
    <w:rsid w:val="00290A70"/>
    <w:pPr>
      <w:ind w:left="1200"/>
    </w:pPr>
  </w:style>
  <w:style w:type="paragraph" w:styleId="TOC8">
    <w:name w:val="toc 8"/>
    <w:basedOn w:val="Normal"/>
    <w:next w:val="Normal"/>
    <w:autoRedefine/>
    <w:rsid w:val="00290A70"/>
    <w:pPr>
      <w:ind w:left="1400"/>
    </w:pPr>
  </w:style>
  <w:style w:type="paragraph" w:styleId="TOC9">
    <w:name w:val="toc 9"/>
    <w:basedOn w:val="Normal"/>
    <w:next w:val="Normal"/>
    <w:autoRedefine/>
    <w:rsid w:val="00290A70"/>
    <w:pPr>
      <w:ind w:left="1600"/>
    </w:pPr>
  </w:style>
  <w:style w:type="character" w:styleId="LineNumber">
    <w:name w:val="line number"/>
    <w:rsid w:val="00290A70"/>
    <w:rPr>
      <w:rFonts w:ascii="Verdana" w:hAnsi="Verdana"/>
    </w:rPr>
  </w:style>
  <w:style w:type="paragraph" w:styleId="ListParagraph">
    <w:name w:val="List Paragraph"/>
    <w:basedOn w:val="Normal"/>
    <w:uiPriority w:val="34"/>
    <w:qFormat/>
    <w:rsid w:val="009D1AB2"/>
    <w:pPr>
      <w:ind w:left="720"/>
      <w:contextualSpacing/>
    </w:pPr>
  </w:style>
  <w:style w:type="paragraph" w:customStyle="1" w:styleId="xl65">
    <w:name w:val="xl65"/>
    <w:basedOn w:val="Normal"/>
    <w:rsid w:val="00DD2315"/>
    <w:pPr>
      <w:spacing w:before="100" w:beforeAutospacing="1" w:after="100" w:afterAutospacing="1"/>
    </w:pPr>
    <w:rPr>
      <w:rFonts w:ascii="Century" w:hAnsi="Century" w:cs="Century"/>
      <w:b/>
      <w:bCs/>
      <w:sz w:val="24"/>
      <w:szCs w:val="24"/>
      <w:lang w:val="en-US" w:eastAsia="en-US"/>
    </w:rPr>
  </w:style>
  <w:style w:type="paragraph" w:customStyle="1" w:styleId="xl66">
    <w:name w:val="xl66"/>
    <w:basedOn w:val="Normal"/>
    <w:rsid w:val="00DD2315"/>
    <w:pPr>
      <w:pBdr>
        <w:bottom w:val="single" w:sz="4" w:space="0" w:color="auto"/>
      </w:pBdr>
      <w:spacing w:before="100" w:beforeAutospacing="1" w:after="100" w:afterAutospacing="1"/>
    </w:pPr>
    <w:rPr>
      <w:rFonts w:ascii="Century" w:hAnsi="Century" w:cs="Century"/>
      <w:sz w:val="24"/>
      <w:szCs w:val="24"/>
      <w:lang w:val="en-US" w:eastAsia="en-US"/>
    </w:rPr>
  </w:style>
  <w:style w:type="paragraph" w:customStyle="1" w:styleId="xl67">
    <w:name w:val="xl67"/>
    <w:basedOn w:val="Normal"/>
    <w:rsid w:val="00DD2315"/>
    <w:pPr>
      <w:pBdr>
        <w:bottom w:val="single" w:sz="4" w:space="0" w:color="auto"/>
      </w:pBdr>
      <w:spacing w:before="100" w:beforeAutospacing="1" w:after="100" w:afterAutospacing="1"/>
      <w:jc w:val="center"/>
      <w:textAlignment w:val="center"/>
    </w:pPr>
    <w:rPr>
      <w:rFonts w:ascii="Century" w:hAnsi="Century" w:cs="Century"/>
      <w:b/>
      <w:bCs/>
      <w:i/>
      <w:iCs/>
      <w:sz w:val="24"/>
      <w:szCs w:val="24"/>
      <w:lang w:val="en-US" w:eastAsia="en-US"/>
    </w:rPr>
  </w:style>
  <w:style w:type="paragraph" w:customStyle="1" w:styleId="xl68">
    <w:name w:val="xl68"/>
    <w:basedOn w:val="Normal"/>
    <w:rsid w:val="00DD2315"/>
    <w:pPr>
      <w:spacing w:before="100" w:beforeAutospacing="1" w:after="100" w:afterAutospacing="1"/>
      <w:jc w:val="center"/>
    </w:pPr>
    <w:rPr>
      <w:rFonts w:ascii="Century" w:hAnsi="Century" w:cs="Century"/>
      <w:b/>
      <w:bCs/>
      <w:sz w:val="24"/>
      <w:szCs w:val="24"/>
      <w:lang w:val="en-US" w:eastAsia="en-US"/>
    </w:rPr>
  </w:style>
  <w:style w:type="paragraph" w:customStyle="1" w:styleId="xl69">
    <w:name w:val="xl69"/>
    <w:basedOn w:val="Normal"/>
    <w:rsid w:val="00DD2315"/>
    <w:pPr>
      <w:spacing w:before="100" w:beforeAutospacing="1" w:after="100" w:afterAutospacing="1"/>
      <w:jc w:val="center"/>
    </w:pPr>
    <w:rPr>
      <w:rFonts w:ascii="Century" w:hAnsi="Century" w:cs="Century"/>
      <w:sz w:val="24"/>
      <w:szCs w:val="24"/>
      <w:lang w:val="en-US" w:eastAsia="en-US"/>
    </w:rPr>
  </w:style>
  <w:style w:type="paragraph" w:customStyle="1" w:styleId="xl70">
    <w:name w:val="xl70"/>
    <w:basedOn w:val="Normal"/>
    <w:rsid w:val="00DD2315"/>
    <w:pPr>
      <w:pBdr>
        <w:right w:val="single" w:sz="4" w:space="0" w:color="auto"/>
      </w:pBdr>
      <w:spacing w:before="100" w:beforeAutospacing="1" w:after="100" w:afterAutospacing="1"/>
      <w:jc w:val="center"/>
    </w:pPr>
    <w:rPr>
      <w:rFonts w:ascii="Century" w:hAnsi="Century" w:cs="Century"/>
      <w:b/>
      <w:bCs/>
      <w:sz w:val="24"/>
      <w:szCs w:val="24"/>
      <w:lang w:val="en-US" w:eastAsia="en-US"/>
    </w:rPr>
  </w:style>
  <w:style w:type="paragraph" w:customStyle="1" w:styleId="xl71">
    <w:name w:val="xl71"/>
    <w:basedOn w:val="Normal"/>
    <w:rsid w:val="00DD2315"/>
    <w:pPr>
      <w:pBdr>
        <w:right w:val="single" w:sz="4" w:space="0" w:color="auto"/>
      </w:pBdr>
      <w:spacing w:before="100" w:beforeAutospacing="1" w:after="100" w:afterAutospacing="1"/>
      <w:jc w:val="center"/>
    </w:pPr>
    <w:rPr>
      <w:rFonts w:ascii="Century" w:hAnsi="Century" w:cs="Century"/>
      <w:sz w:val="24"/>
      <w:szCs w:val="24"/>
      <w:lang w:val="en-US" w:eastAsia="en-US"/>
    </w:rPr>
  </w:style>
  <w:style w:type="paragraph" w:customStyle="1" w:styleId="xl72">
    <w:name w:val="xl72"/>
    <w:basedOn w:val="Normal"/>
    <w:rsid w:val="00DD2315"/>
    <w:pPr>
      <w:pBdr>
        <w:bottom w:val="single" w:sz="4" w:space="0" w:color="auto"/>
        <w:right w:val="single" w:sz="4" w:space="0" w:color="auto"/>
      </w:pBdr>
      <w:spacing w:before="100" w:beforeAutospacing="1" w:after="100" w:afterAutospacing="1"/>
      <w:jc w:val="center"/>
    </w:pPr>
    <w:rPr>
      <w:rFonts w:ascii="Century" w:hAnsi="Century" w:cs="Century"/>
      <w:sz w:val="24"/>
      <w:szCs w:val="24"/>
      <w:lang w:val="en-US" w:eastAsia="en-US"/>
    </w:rPr>
  </w:style>
  <w:style w:type="paragraph" w:customStyle="1" w:styleId="xl73">
    <w:name w:val="xl73"/>
    <w:basedOn w:val="Normal"/>
    <w:rsid w:val="00DD2315"/>
    <w:pPr>
      <w:pBdr>
        <w:left w:val="single" w:sz="4" w:space="0" w:color="auto"/>
        <w:right w:val="single" w:sz="4" w:space="0" w:color="auto"/>
      </w:pBdr>
      <w:spacing w:before="100" w:beforeAutospacing="1" w:after="100" w:afterAutospacing="1"/>
    </w:pPr>
    <w:rPr>
      <w:rFonts w:ascii="Century" w:hAnsi="Century" w:cs="Century"/>
      <w:b/>
      <w:bCs/>
      <w:sz w:val="24"/>
      <w:szCs w:val="24"/>
      <w:lang w:val="en-US" w:eastAsia="en-US"/>
    </w:rPr>
  </w:style>
  <w:style w:type="paragraph" w:customStyle="1" w:styleId="xl74">
    <w:name w:val="xl74"/>
    <w:basedOn w:val="Normal"/>
    <w:rsid w:val="00DD2315"/>
    <w:pPr>
      <w:pBdr>
        <w:left w:val="single" w:sz="4" w:space="0" w:color="auto"/>
        <w:right w:val="single" w:sz="4" w:space="0" w:color="auto"/>
      </w:pBdr>
      <w:spacing w:before="100" w:beforeAutospacing="1" w:after="100" w:afterAutospacing="1"/>
    </w:pPr>
    <w:rPr>
      <w:rFonts w:ascii="Century" w:hAnsi="Century" w:cs="Century"/>
      <w:sz w:val="24"/>
      <w:szCs w:val="24"/>
      <w:lang w:val="en-US" w:eastAsia="en-US"/>
    </w:rPr>
  </w:style>
  <w:style w:type="paragraph" w:customStyle="1" w:styleId="xl75">
    <w:name w:val="xl75"/>
    <w:basedOn w:val="Normal"/>
    <w:rsid w:val="00DD2315"/>
    <w:pPr>
      <w:pBdr>
        <w:left w:val="single" w:sz="4" w:space="0" w:color="auto"/>
        <w:bottom w:val="single" w:sz="4" w:space="0" w:color="auto"/>
        <w:right w:val="single" w:sz="4" w:space="0" w:color="auto"/>
      </w:pBdr>
      <w:spacing w:before="100" w:beforeAutospacing="1" w:after="100" w:afterAutospacing="1"/>
    </w:pPr>
    <w:rPr>
      <w:rFonts w:ascii="Century" w:hAnsi="Century" w:cs="Century"/>
      <w:sz w:val="24"/>
      <w:szCs w:val="24"/>
      <w:lang w:val="en-US" w:eastAsia="en-US"/>
    </w:rPr>
  </w:style>
  <w:style w:type="paragraph" w:customStyle="1" w:styleId="xl76">
    <w:name w:val="xl76"/>
    <w:basedOn w:val="Normal"/>
    <w:rsid w:val="00DD2315"/>
    <w:pPr>
      <w:pBdr>
        <w:top w:val="single" w:sz="4" w:space="0" w:color="auto"/>
      </w:pBdr>
      <w:spacing w:before="100" w:beforeAutospacing="1" w:after="100" w:afterAutospacing="1"/>
      <w:jc w:val="center"/>
      <w:textAlignment w:val="center"/>
    </w:pPr>
    <w:rPr>
      <w:rFonts w:ascii="Century" w:hAnsi="Century" w:cs="Century"/>
      <w:b/>
      <w:bCs/>
      <w:sz w:val="28"/>
      <w:szCs w:val="28"/>
      <w:lang w:val="en-US" w:eastAsia="en-US"/>
    </w:rPr>
  </w:style>
  <w:style w:type="paragraph" w:customStyle="1" w:styleId="xl77">
    <w:name w:val="xl77"/>
    <w:basedOn w:val="Normal"/>
    <w:rsid w:val="00DD2315"/>
    <w:pPr>
      <w:pBdr>
        <w:top w:val="single" w:sz="4" w:space="0" w:color="auto"/>
        <w:right w:val="single" w:sz="4" w:space="0" w:color="auto"/>
      </w:pBdr>
      <w:spacing w:before="100" w:beforeAutospacing="1" w:after="100" w:afterAutospacing="1"/>
      <w:jc w:val="center"/>
      <w:textAlignment w:val="center"/>
    </w:pPr>
    <w:rPr>
      <w:rFonts w:ascii="Century" w:hAnsi="Century" w:cs="Century"/>
      <w:b/>
      <w:bCs/>
      <w:sz w:val="28"/>
      <w:szCs w:val="28"/>
      <w:lang w:val="en-US" w:eastAsia="en-US"/>
    </w:rPr>
  </w:style>
  <w:style w:type="paragraph" w:customStyle="1" w:styleId="xl78">
    <w:name w:val="xl78"/>
    <w:basedOn w:val="Normal"/>
    <w:rsid w:val="00DD2315"/>
    <w:pPr>
      <w:spacing w:before="100" w:beforeAutospacing="1" w:after="100" w:afterAutospacing="1"/>
      <w:jc w:val="center"/>
      <w:textAlignment w:val="center"/>
    </w:pPr>
    <w:rPr>
      <w:rFonts w:ascii="Century" w:hAnsi="Century" w:cs="Century"/>
      <w:b/>
      <w:bCs/>
      <w:sz w:val="24"/>
      <w:szCs w:val="24"/>
      <w:lang w:val="en-US" w:eastAsia="en-US"/>
    </w:rPr>
  </w:style>
  <w:style w:type="paragraph" w:customStyle="1" w:styleId="xl79">
    <w:name w:val="xl79"/>
    <w:basedOn w:val="Normal"/>
    <w:rsid w:val="00DD2315"/>
    <w:pPr>
      <w:pBdr>
        <w:bottom w:val="single" w:sz="4" w:space="0" w:color="auto"/>
      </w:pBdr>
      <w:spacing w:before="100" w:beforeAutospacing="1" w:after="100" w:afterAutospacing="1"/>
      <w:jc w:val="center"/>
      <w:textAlignment w:val="center"/>
    </w:pPr>
    <w:rPr>
      <w:rFonts w:ascii="Century" w:hAnsi="Century" w:cs="Century"/>
      <w:sz w:val="24"/>
      <w:szCs w:val="24"/>
      <w:lang w:val="en-US" w:eastAsia="en-US"/>
    </w:rPr>
  </w:style>
  <w:style w:type="paragraph" w:customStyle="1" w:styleId="xl80">
    <w:name w:val="xl80"/>
    <w:basedOn w:val="Normal"/>
    <w:rsid w:val="00DD2315"/>
    <w:pPr>
      <w:pBdr>
        <w:right w:val="single" w:sz="4" w:space="0" w:color="auto"/>
      </w:pBdr>
      <w:spacing w:before="100" w:beforeAutospacing="1" w:after="100" w:afterAutospacing="1"/>
      <w:jc w:val="center"/>
      <w:textAlignment w:val="center"/>
    </w:pPr>
    <w:rPr>
      <w:rFonts w:ascii="Century" w:hAnsi="Century" w:cs="Century"/>
      <w:b/>
      <w:bCs/>
      <w:sz w:val="24"/>
      <w:szCs w:val="24"/>
      <w:lang w:val="en-US" w:eastAsia="en-US"/>
    </w:rPr>
  </w:style>
  <w:style w:type="paragraph" w:customStyle="1" w:styleId="xl81">
    <w:name w:val="xl81"/>
    <w:basedOn w:val="Normal"/>
    <w:rsid w:val="00DD2315"/>
    <w:pPr>
      <w:pBdr>
        <w:bottom w:val="single" w:sz="4" w:space="0" w:color="auto"/>
        <w:right w:val="single" w:sz="4" w:space="0" w:color="auto"/>
      </w:pBdr>
      <w:spacing w:before="100" w:beforeAutospacing="1" w:after="100" w:afterAutospacing="1"/>
      <w:jc w:val="center"/>
      <w:textAlignment w:val="center"/>
    </w:pPr>
    <w:rPr>
      <w:rFonts w:ascii="Century" w:hAnsi="Century" w:cs="Century"/>
      <w:sz w:val="24"/>
      <w:szCs w:val="24"/>
      <w:lang w:val="en-US" w:eastAsia="en-US"/>
    </w:rPr>
  </w:style>
  <w:style w:type="paragraph" w:customStyle="1" w:styleId="xl82">
    <w:name w:val="xl82"/>
    <w:basedOn w:val="Normal"/>
    <w:rsid w:val="00DD2315"/>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w:hAnsi="Century" w:cs="Century"/>
      <w:b/>
      <w:bCs/>
      <w:sz w:val="28"/>
      <w:szCs w:val="28"/>
      <w:lang w:val="en-US" w:eastAsia="en-US"/>
    </w:rPr>
  </w:style>
  <w:style w:type="paragraph" w:customStyle="1" w:styleId="xl83">
    <w:name w:val="xl83"/>
    <w:basedOn w:val="Normal"/>
    <w:rsid w:val="00DD2315"/>
    <w:pPr>
      <w:pBdr>
        <w:left w:val="single" w:sz="4" w:space="0" w:color="auto"/>
        <w:right w:val="single" w:sz="4" w:space="0" w:color="auto"/>
      </w:pBdr>
      <w:spacing w:before="100" w:beforeAutospacing="1" w:after="100" w:afterAutospacing="1"/>
      <w:jc w:val="center"/>
      <w:textAlignment w:val="center"/>
    </w:pPr>
    <w:rPr>
      <w:rFonts w:ascii="Century" w:hAnsi="Century" w:cs="Century"/>
      <w:b/>
      <w:bCs/>
      <w:sz w:val="28"/>
      <w:szCs w:val="28"/>
      <w:lang w:val="en-US" w:eastAsia="en-US"/>
    </w:rPr>
  </w:style>
  <w:style w:type="paragraph" w:customStyle="1" w:styleId="xl84">
    <w:name w:val="xl84"/>
    <w:basedOn w:val="Normal"/>
    <w:rsid w:val="00DD2315"/>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w:hAnsi="Century" w:cs="Century"/>
      <w:b/>
      <w:bCs/>
      <w:sz w:val="28"/>
      <w:szCs w:val="28"/>
      <w:lang w:val="en-US" w:eastAsia="en-US"/>
    </w:rPr>
  </w:style>
  <w:style w:type="paragraph" w:customStyle="1" w:styleId="xl85">
    <w:name w:val="xl85"/>
    <w:basedOn w:val="Normal"/>
    <w:rsid w:val="00DD2315"/>
    <w:pPr>
      <w:pBdr>
        <w:bottom w:val="single" w:sz="4" w:space="0" w:color="auto"/>
      </w:pBdr>
      <w:spacing w:before="100" w:beforeAutospacing="1" w:after="100" w:afterAutospacing="1"/>
    </w:pPr>
    <w:rPr>
      <w:rFonts w:ascii="Century" w:hAnsi="Century" w:cs="Century"/>
      <w:sz w:val="24"/>
      <w:szCs w:val="24"/>
      <w:lang w:val="en-US" w:eastAsia="en-US"/>
    </w:rPr>
  </w:style>
  <w:style w:type="paragraph" w:customStyle="1" w:styleId="xl86">
    <w:name w:val="xl86"/>
    <w:basedOn w:val="Normal"/>
    <w:rsid w:val="00DD2315"/>
    <w:pPr>
      <w:spacing w:before="100" w:beforeAutospacing="1" w:after="100" w:afterAutospacing="1"/>
      <w:jc w:val="center"/>
    </w:pPr>
    <w:rPr>
      <w:rFonts w:ascii="Century" w:hAnsi="Century" w:cs="Century"/>
      <w:b/>
      <w:bCs/>
      <w:sz w:val="24"/>
      <w:szCs w:val="24"/>
      <w:lang w:val="en-US" w:eastAsia="en-US"/>
    </w:rPr>
  </w:style>
  <w:style w:type="paragraph" w:customStyle="1" w:styleId="xl87">
    <w:name w:val="xl87"/>
    <w:basedOn w:val="Normal"/>
    <w:rsid w:val="00DD2315"/>
    <w:pPr>
      <w:pBdr>
        <w:bottom w:val="single" w:sz="4" w:space="0" w:color="auto"/>
      </w:pBdr>
      <w:spacing w:before="100" w:beforeAutospacing="1" w:after="100" w:afterAutospacing="1"/>
      <w:jc w:val="center"/>
      <w:textAlignment w:val="center"/>
    </w:pPr>
    <w:rPr>
      <w:rFonts w:ascii="Century" w:hAnsi="Century" w:cs="Century"/>
      <w:b/>
      <w:bCs/>
      <w:i/>
      <w:iCs/>
      <w:sz w:val="24"/>
      <w:szCs w:val="24"/>
      <w:lang w:val="en-US" w:eastAsia="en-US"/>
    </w:rPr>
  </w:style>
  <w:style w:type="paragraph" w:customStyle="1" w:styleId="xl88">
    <w:name w:val="xl88"/>
    <w:basedOn w:val="Normal"/>
    <w:rsid w:val="00DD2315"/>
    <w:pPr>
      <w:spacing w:before="100" w:beforeAutospacing="1" w:after="100" w:afterAutospacing="1"/>
    </w:pPr>
    <w:rPr>
      <w:rFonts w:ascii="Century" w:hAnsi="Century" w:cs="Century"/>
      <w:b/>
      <w:bCs/>
      <w:sz w:val="24"/>
      <w:szCs w:val="24"/>
      <w:lang w:val="en-US" w:eastAsia="en-US"/>
    </w:rPr>
  </w:style>
  <w:style w:type="paragraph" w:customStyle="1" w:styleId="xl89">
    <w:name w:val="xl89"/>
    <w:basedOn w:val="Normal"/>
    <w:rsid w:val="00DD2315"/>
    <w:pPr>
      <w:spacing w:before="100" w:beforeAutospacing="1" w:after="100" w:afterAutospacing="1"/>
    </w:pPr>
    <w:rPr>
      <w:rFonts w:ascii="Century" w:hAnsi="Century" w:cs="Century"/>
      <w:sz w:val="24"/>
      <w:szCs w:val="24"/>
      <w:lang w:val="en-US" w:eastAsia="en-US"/>
    </w:rPr>
  </w:style>
  <w:style w:type="table" w:styleId="ColorfulShading-Accent1">
    <w:name w:val="Colorful Shading Accent 1"/>
    <w:basedOn w:val="TableNormal"/>
    <w:uiPriority w:val="71"/>
    <w:rsid w:val="00984C14"/>
    <w:rPr>
      <w:color w:val="000000" w:themeColor="text1"/>
    </w:rPr>
    <w:tblPr>
      <w:tblStyleRowBandSize w:val="1"/>
      <w:tblStyleColBandSize w:val="1"/>
      <w:tblBorders>
        <w:top w:val="single" w:sz="24" w:space="0" w:color="F5C201" w:themeColor="accent2"/>
        <w:left w:val="single" w:sz="4" w:space="0" w:color="7A7A7A" w:themeColor="accent1"/>
        <w:bottom w:val="single" w:sz="4" w:space="0" w:color="7A7A7A" w:themeColor="accent1"/>
        <w:right w:val="single" w:sz="4" w:space="0" w:color="7A7A7A" w:themeColor="accent1"/>
        <w:insideH w:val="single" w:sz="4" w:space="0" w:color="FFFFFF" w:themeColor="background1"/>
        <w:insideV w:val="single" w:sz="4" w:space="0" w:color="FFFFFF" w:themeColor="background1"/>
      </w:tblBorders>
    </w:tblPr>
    <w:tcPr>
      <w:shd w:val="clear" w:color="auto" w:fill="F1F1F1" w:themeFill="accent1" w:themeFillTint="19"/>
    </w:tcPr>
    <w:tblStylePr w:type="firstRow">
      <w:rPr>
        <w:b/>
        <w:bCs/>
      </w:rPr>
      <w:tblPr/>
      <w:tcPr>
        <w:tcBorders>
          <w:top w:val="nil"/>
          <w:left w:val="nil"/>
          <w:bottom w:val="single" w:sz="24" w:space="0" w:color="F5C20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4949" w:themeFill="accent1" w:themeFillShade="99"/>
      </w:tcPr>
    </w:tblStylePr>
    <w:tblStylePr w:type="firstCol">
      <w:rPr>
        <w:color w:val="FFFFFF" w:themeColor="background1"/>
      </w:rPr>
      <w:tblPr/>
      <w:tcPr>
        <w:tcBorders>
          <w:top w:val="nil"/>
          <w:left w:val="nil"/>
          <w:bottom w:val="nil"/>
          <w:right w:val="nil"/>
          <w:insideH w:val="single" w:sz="4" w:space="0" w:color="494949" w:themeColor="accent1" w:themeShade="99"/>
          <w:insideV w:val="nil"/>
        </w:tcBorders>
        <w:shd w:val="clear" w:color="auto" w:fill="49494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94949" w:themeFill="accent1" w:themeFillShade="99"/>
      </w:tcPr>
    </w:tblStylePr>
    <w:tblStylePr w:type="band1Vert">
      <w:tblPr/>
      <w:tcPr>
        <w:shd w:val="clear" w:color="auto" w:fill="C9C9C9" w:themeFill="accent1" w:themeFillTint="66"/>
      </w:tcPr>
    </w:tblStylePr>
    <w:tblStylePr w:type="band1Horz">
      <w:tblPr/>
      <w:tcPr>
        <w:shd w:val="clear" w:color="auto" w:fill="BCBCBC" w:themeFill="accent1" w:themeFillTint="7F"/>
      </w:tcPr>
    </w:tblStylePr>
    <w:tblStylePr w:type="neCell">
      <w:rPr>
        <w:color w:val="000000" w:themeColor="text1"/>
      </w:rPr>
    </w:tblStylePr>
    <w:tblStylePr w:type="nwCell">
      <w:rPr>
        <w:color w:val="000000" w:themeColor="text1"/>
      </w:rPr>
    </w:tblStylePr>
  </w:style>
  <w:style w:type="table" w:styleId="MediumGrid2-Accent5">
    <w:name w:val="Medium Grid 2 Accent 5"/>
    <w:basedOn w:val="TableNormal"/>
    <w:uiPriority w:val="68"/>
    <w:rsid w:val="000537A0"/>
    <w:rPr>
      <w:rFonts w:asciiTheme="majorHAnsi" w:eastAsiaTheme="majorEastAsia" w:hAnsiTheme="majorHAnsi" w:cstheme="majorBidi"/>
      <w:color w:val="000000" w:themeColor="text1"/>
    </w:rPr>
    <w:tblPr>
      <w:tblStyleRowBandSize w:val="1"/>
      <w:tblStyleColBandSize w:val="1"/>
      <w:tblBorders>
        <w:top w:val="single" w:sz="8" w:space="0" w:color="DC5924" w:themeColor="accent5"/>
        <w:left w:val="single" w:sz="8" w:space="0" w:color="DC5924" w:themeColor="accent5"/>
        <w:bottom w:val="single" w:sz="8" w:space="0" w:color="DC5924" w:themeColor="accent5"/>
        <w:right w:val="single" w:sz="8" w:space="0" w:color="DC5924" w:themeColor="accent5"/>
        <w:insideH w:val="single" w:sz="8" w:space="0" w:color="DC5924" w:themeColor="accent5"/>
        <w:insideV w:val="single" w:sz="8" w:space="0" w:color="DC5924" w:themeColor="accent5"/>
      </w:tblBorders>
    </w:tblPr>
    <w:tcPr>
      <w:shd w:val="clear" w:color="auto" w:fill="F6D5C8" w:themeFill="accent5" w:themeFillTint="3F"/>
    </w:tcPr>
    <w:tblStylePr w:type="firstRow">
      <w:rPr>
        <w:b/>
        <w:bCs/>
        <w:color w:val="000000" w:themeColor="text1"/>
      </w:rPr>
      <w:tblPr/>
      <w:tcPr>
        <w:shd w:val="clear" w:color="auto" w:fill="FBEE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DD3" w:themeFill="accent5" w:themeFillTint="33"/>
      </w:tcPr>
    </w:tblStylePr>
    <w:tblStylePr w:type="band1Vert">
      <w:tblPr/>
      <w:tcPr>
        <w:shd w:val="clear" w:color="auto" w:fill="EDAC91" w:themeFill="accent5" w:themeFillTint="7F"/>
      </w:tcPr>
    </w:tblStylePr>
    <w:tblStylePr w:type="band1Horz">
      <w:tblPr/>
      <w:tcPr>
        <w:tcBorders>
          <w:insideH w:val="single" w:sz="6" w:space="0" w:color="DC5924" w:themeColor="accent5"/>
          <w:insideV w:val="single" w:sz="6" w:space="0" w:color="DC5924" w:themeColor="accent5"/>
        </w:tcBorders>
        <w:shd w:val="clear" w:color="auto" w:fill="EDAC91" w:themeFill="accent5" w:themeFillTint="7F"/>
      </w:tcPr>
    </w:tblStylePr>
    <w:tblStylePr w:type="nwCell">
      <w:tblPr/>
      <w:tcPr>
        <w:shd w:val="clear" w:color="auto" w:fill="FFFFFF" w:themeFill="background1"/>
      </w:tcPr>
    </w:tblStylePr>
  </w:style>
  <w:style w:type="table" w:styleId="MediumList1-Accent6">
    <w:name w:val="Medium List 1 Accent 6"/>
    <w:basedOn w:val="TableNormal"/>
    <w:uiPriority w:val="65"/>
    <w:rsid w:val="00C62C5D"/>
    <w:rPr>
      <w:color w:val="000000" w:themeColor="text1"/>
    </w:rPr>
    <w:tblPr>
      <w:tblStyleRowBandSize w:val="1"/>
      <w:tblStyleColBandSize w:val="1"/>
      <w:tblBorders>
        <w:top w:val="single" w:sz="8" w:space="0" w:color="B4B392" w:themeColor="accent6"/>
        <w:bottom w:val="single" w:sz="8" w:space="0" w:color="B4B392" w:themeColor="accent6"/>
      </w:tblBorders>
    </w:tblPr>
    <w:tblStylePr w:type="firstRow">
      <w:rPr>
        <w:rFonts w:asciiTheme="majorHAnsi" w:eastAsiaTheme="majorEastAsia" w:hAnsiTheme="majorHAnsi" w:cstheme="majorBidi"/>
      </w:rPr>
      <w:tblPr/>
      <w:tcPr>
        <w:tcBorders>
          <w:top w:val="nil"/>
          <w:bottom w:val="single" w:sz="8" w:space="0" w:color="B4B392" w:themeColor="accent6"/>
        </w:tcBorders>
      </w:tcPr>
    </w:tblStylePr>
    <w:tblStylePr w:type="lastRow">
      <w:rPr>
        <w:b/>
        <w:bCs/>
        <w:color w:val="D1282E" w:themeColor="text2"/>
      </w:rPr>
      <w:tblPr/>
      <w:tcPr>
        <w:tcBorders>
          <w:top w:val="single" w:sz="8" w:space="0" w:color="B4B392" w:themeColor="accent6"/>
          <w:bottom w:val="single" w:sz="8" w:space="0" w:color="B4B392" w:themeColor="accent6"/>
        </w:tcBorders>
      </w:tcPr>
    </w:tblStylePr>
    <w:tblStylePr w:type="firstCol">
      <w:rPr>
        <w:b/>
        <w:bCs/>
      </w:rPr>
    </w:tblStylePr>
    <w:tblStylePr w:type="lastCol">
      <w:rPr>
        <w:b/>
        <w:bCs/>
      </w:rPr>
      <w:tblPr/>
      <w:tcPr>
        <w:tcBorders>
          <w:top w:val="single" w:sz="8" w:space="0" w:color="B4B392" w:themeColor="accent6"/>
          <w:bottom w:val="single" w:sz="8" w:space="0" w:color="B4B392" w:themeColor="accent6"/>
        </w:tcBorders>
      </w:tcPr>
    </w:tblStylePr>
    <w:tblStylePr w:type="band1Vert">
      <w:tblPr/>
      <w:tcPr>
        <w:shd w:val="clear" w:color="auto" w:fill="ECECE3" w:themeFill="accent6" w:themeFillTint="3F"/>
      </w:tcPr>
    </w:tblStylePr>
    <w:tblStylePr w:type="band1Horz">
      <w:tblPr/>
      <w:tcPr>
        <w:shd w:val="clear" w:color="auto" w:fill="ECECE3" w:themeFill="accent6" w:themeFillTint="3F"/>
      </w:tcPr>
    </w:tblStylePr>
  </w:style>
  <w:style w:type="table" w:styleId="MediumList2-Accent3">
    <w:name w:val="Medium List 2 Accent 3"/>
    <w:basedOn w:val="TableNormal"/>
    <w:uiPriority w:val="66"/>
    <w:rsid w:val="00C62C5D"/>
    <w:rPr>
      <w:rFonts w:asciiTheme="majorHAnsi" w:eastAsiaTheme="majorEastAsia" w:hAnsiTheme="majorHAnsi" w:cstheme="majorBidi"/>
      <w:color w:val="000000" w:themeColor="text1"/>
    </w:rPr>
    <w:tblPr>
      <w:tblStyleRowBandSize w:val="1"/>
      <w:tblStyleColBandSize w:val="1"/>
      <w:tblBorders>
        <w:top w:val="single" w:sz="8" w:space="0" w:color="526DB0" w:themeColor="accent3"/>
        <w:left w:val="single" w:sz="8" w:space="0" w:color="526DB0" w:themeColor="accent3"/>
        <w:bottom w:val="single" w:sz="8" w:space="0" w:color="526DB0" w:themeColor="accent3"/>
        <w:right w:val="single" w:sz="8" w:space="0" w:color="526DB0" w:themeColor="accent3"/>
      </w:tblBorders>
    </w:tblPr>
    <w:tblStylePr w:type="firstRow">
      <w:rPr>
        <w:sz w:val="24"/>
        <w:szCs w:val="24"/>
      </w:rPr>
      <w:tblPr/>
      <w:tcPr>
        <w:tcBorders>
          <w:top w:val="nil"/>
          <w:left w:val="nil"/>
          <w:bottom w:val="single" w:sz="24" w:space="0" w:color="526DB0" w:themeColor="accent3"/>
          <w:right w:val="nil"/>
          <w:insideH w:val="nil"/>
          <w:insideV w:val="nil"/>
        </w:tcBorders>
        <w:shd w:val="clear" w:color="auto" w:fill="FFFFFF" w:themeFill="background1"/>
      </w:tcPr>
    </w:tblStylePr>
    <w:tblStylePr w:type="lastRow">
      <w:tblPr/>
      <w:tcPr>
        <w:tcBorders>
          <w:top w:val="single" w:sz="8" w:space="0" w:color="526DB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6DB0" w:themeColor="accent3"/>
          <w:insideH w:val="nil"/>
          <w:insideV w:val="nil"/>
        </w:tcBorders>
        <w:shd w:val="clear" w:color="auto" w:fill="FFFFFF" w:themeFill="background1"/>
      </w:tcPr>
    </w:tblStylePr>
    <w:tblStylePr w:type="lastCol">
      <w:tblPr/>
      <w:tcPr>
        <w:tcBorders>
          <w:top w:val="nil"/>
          <w:left w:val="single" w:sz="8" w:space="0" w:color="526DB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AEB" w:themeFill="accent3" w:themeFillTint="3F"/>
      </w:tcPr>
    </w:tblStylePr>
    <w:tblStylePr w:type="band1Horz">
      <w:tblPr/>
      <w:tcPr>
        <w:tcBorders>
          <w:top w:val="nil"/>
          <w:bottom w:val="nil"/>
          <w:insideH w:val="nil"/>
          <w:insideV w:val="nil"/>
        </w:tcBorders>
        <w:shd w:val="clear" w:color="auto" w:fill="D4DA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6">
    <w:name w:val="Light Grid Accent 6"/>
    <w:basedOn w:val="TableNormal"/>
    <w:uiPriority w:val="62"/>
    <w:rsid w:val="00C62C5D"/>
    <w:tblPr>
      <w:tblStyleRowBandSize w:val="1"/>
      <w:tblStyleColBandSize w:val="1"/>
      <w:tblBorders>
        <w:top w:val="single" w:sz="8" w:space="0" w:color="B4B392" w:themeColor="accent6"/>
        <w:left w:val="single" w:sz="8" w:space="0" w:color="B4B392" w:themeColor="accent6"/>
        <w:bottom w:val="single" w:sz="8" w:space="0" w:color="B4B392" w:themeColor="accent6"/>
        <w:right w:val="single" w:sz="8" w:space="0" w:color="B4B392" w:themeColor="accent6"/>
        <w:insideH w:val="single" w:sz="8" w:space="0" w:color="B4B392" w:themeColor="accent6"/>
        <w:insideV w:val="single" w:sz="8" w:space="0" w:color="B4B39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B392" w:themeColor="accent6"/>
          <w:left w:val="single" w:sz="8" w:space="0" w:color="B4B392" w:themeColor="accent6"/>
          <w:bottom w:val="single" w:sz="18" w:space="0" w:color="B4B392" w:themeColor="accent6"/>
          <w:right w:val="single" w:sz="8" w:space="0" w:color="B4B392" w:themeColor="accent6"/>
          <w:insideH w:val="nil"/>
          <w:insideV w:val="single" w:sz="8" w:space="0" w:color="B4B39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B392" w:themeColor="accent6"/>
          <w:left w:val="single" w:sz="8" w:space="0" w:color="B4B392" w:themeColor="accent6"/>
          <w:bottom w:val="single" w:sz="8" w:space="0" w:color="B4B392" w:themeColor="accent6"/>
          <w:right w:val="single" w:sz="8" w:space="0" w:color="B4B392" w:themeColor="accent6"/>
          <w:insideH w:val="nil"/>
          <w:insideV w:val="single" w:sz="8" w:space="0" w:color="B4B39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B392" w:themeColor="accent6"/>
          <w:left w:val="single" w:sz="8" w:space="0" w:color="B4B392" w:themeColor="accent6"/>
          <w:bottom w:val="single" w:sz="8" w:space="0" w:color="B4B392" w:themeColor="accent6"/>
          <w:right w:val="single" w:sz="8" w:space="0" w:color="B4B392" w:themeColor="accent6"/>
        </w:tcBorders>
      </w:tcPr>
    </w:tblStylePr>
    <w:tblStylePr w:type="band1Vert">
      <w:tblPr/>
      <w:tcPr>
        <w:tcBorders>
          <w:top w:val="single" w:sz="8" w:space="0" w:color="B4B392" w:themeColor="accent6"/>
          <w:left w:val="single" w:sz="8" w:space="0" w:color="B4B392" w:themeColor="accent6"/>
          <w:bottom w:val="single" w:sz="8" w:space="0" w:color="B4B392" w:themeColor="accent6"/>
          <w:right w:val="single" w:sz="8" w:space="0" w:color="B4B392" w:themeColor="accent6"/>
        </w:tcBorders>
        <w:shd w:val="clear" w:color="auto" w:fill="ECECE3" w:themeFill="accent6" w:themeFillTint="3F"/>
      </w:tcPr>
    </w:tblStylePr>
    <w:tblStylePr w:type="band1Horz">
      <w:tblPr/>
      <w:tcPr>
        <w:tcBorders>
          <w:top w:val="single" w:sz="8" w:space="0" w:color="B4B392" w:themeColor="accent6"/>
          <w:left w:val="single" w:sz="8" w:space="0" w:color="B4B392" w:themeColor="accent6"/>
          <w:bottom w:val="single" w:sz="8" w:space="0" w:color="B4B392" w:themeColor="accent6"/>
          <w:right w:val="single" w:sz="8" w:space="0" w:color="B4B392" w:themeColor="accent6"/>
          <w:insideV w:val="single" w:sz="8" w:space="0" w:color="B4B392" w:themeColor="accent6"/>
        </w:tcBorders>
        <w:shd w:val="clear" w:color="auto" w:fill="ECECE3" w:themeFill="accent6" w:themeFillTint="3F"/>
      </w:tcPr>
    </w:tblStylePr>
    <w:tblStylePr w:type="band2Horz">
      <w:tblPr/>
      <w:tcPr>
        <w:tcBorders>
          <w:top w:val="single" w:sz="8" w:space="0" w:color="B4B392" w:themeColor="accent6"/>
          <w:left w:val="single" w:sz="8" w:space="0" w:color="B4B392" w:themeColor="accent6"/>
          <w:bottom w:val="single" w:sz="8" w:space="0" w:color="B4B392" w:themeColor="accent6"/>
          <w:right w:val="single" w:sz="8" w:space="0" w:color="B4B392" w:themeColor="accent6"/>
          <w:insideV w:val="single" w:sz="8" w:space="0" w:color="B4B392" w:themeColor="accent6"/>
        </w:tcBorders>
      </w:tcPr>
    </w:tblStylePr>
  </w:style>
  <w:style w:type="table" w:styleId="LightList-Accent2">
    <w:name w:val="Light List Accent 2"/>
    <w:basedOn w:val="TableNormal"/>
    <w:uiPriority w:val="61"/>
    <w:rsid w:val="00F74C51"/>
    <w:tblPr>
      <w:tblStyleRowBandSize w:val="1"/>
      <w:tblStyleColBandSize w:val="1"/>
      <w:tblBorders>
        <w:top w:val="single" w:sz="8" w:space="0" w:color="F5C201" w:themeColor="accent2"/>
        <w:left w:val="single" w:sz="8" w:space="0" w:color="F5C201" w:themeColor="accent2"/>
        <w:bottom w:val="single" w:sz="8" w:space="0" w:color="F5C201" w:themeColor="accent2"/>
        <w:right w:val="single" w:sz="8" w:space="0" w:color="F5C201" w:themeColor="accent2"/>
      </w:tblBorders>
    </w:tblPr>
    <w:tblStylePr w:type="firstRow">
      <w:pPr>
        <w:spacing w:before="0" w:after="0" w:line="240" w:lineRule="auto"/>
      </w:pPr>
      <w:rPr>
        <w:b/>
        <w:bCs/>
        <w:color w:val="FFFFFF" w:themeColor="background1"/>
      </w:rPr>
      <w:tblPr/>
      <w:tcPr>
        <w:shd w:val="clear" w:color="auto" w:fill="F5C201" w:themeFill="accent2"/>
      </w:tcPr>
    </w:tblStylePr>
    <w:tblStylePr w:type="lastRow">
      <w:pPr>
        <w:spacing w:before="0" w:after="0" w:line="240" w:lineRule="auto"/>
      </w:pPr>
      <w:rPr>
        <w:b/>
        <w:bCs/>
      </w:rPr>
      <w:tblPr/>
      <w:tcPr>
        <w:tcBorders>
          <w:top w:val="double" w:sz="6" w:space="0" w:color="F5C201" w:themeColor="accent2"/>
          <w:left w:val="single" w:sz="8" w:space="0" w:color="F5C201" w:themeColor="accent2"/>
          <w:bottom w:val="single" w:sz="8" w:space="0" w:color="F5C201" w:themeColor="accent2"/>
          <w:right w:val="single" w:sz="8" w:space="0" w:color="F5C201" w:themeColor="accent2"/>
        </w:tcBorders>
      </w:tcPr>
    </w:tblStylePr>
    <w:tblStylePr w:type="firstCol">
      <w:rPr>
        <w:b/>
        <w:bCs/>
      </w:rPr>
    </w:tblStylePr>
    <w:tblStylePr w:type="lastCol">
      <w:rPr>
        <w:b/>
        <w:bCs/>
      </w:rPr>
    </w:tblStylePr>
    <w:tblStylePr w:type="band1Vert">
      <w:tblPr/>
      <w:tcPr>
        <w:tcBorders>
          <w:top w:val="single" w:sz="8" w:space="0" w:color="F5C201" w:themeColor="accent2"/>
          <w:left w:val="single" w:sz="8" w:space="0" w:color="F5C201" w:themeColor="accent2"/>
          <w:bottom w:val="single" w:sz="8" w:space="0" w:color="F5C201" w:themeColor="accent2"/>
          <w:right w:val="single" w:sz="8" w:space="0" w:color="F5C201" w:themeColor="accent2"/>
        </w:tcBorders>
      </w:tcPr>
    </w:tblStylePr>
    <w:tblStylePr w:type="band1Horz">
      <w:tblPr/>
      <w:tcPr>
        <w:tcBorders>
          <w:top w:val="single" w:sz="8" w:space="0" w:color="F5C201" w:themeColor="accent2"/>
          <w:left w:val="single" w:sz="8" w:space="0" w:color="F5C201" w:themeColor="accent2"/>
          <w:bottom w:val="single" w:sz="8" w:space="0" w:color="F5C201" w:themeColor="accent2"/>
          <w:right w:val="single" w:sz="8" w:space="0" w:color="F5C201" w:themeColor="accent2"/>
        </w:tcBorders>
      </w:tcPr>
    </w:tblStylePr>
  </w:style>
  <w:style w:type="paragraph" w:styleId="Header">
    <w:name w:val="header"/>
    <w:basedOn w:val="Normal"/>
    <w:link w:val="HeaderChar"/>
    <w:uiPriority w:val="99"/>
    <w:unhideWhenUsed/>
    <w:rsid w:val="00FC05AD"/>
    <w:pPr>
      <w:tabs>
        <w:tab w:val="center" w:pos="4703"/>
        <w:tab w:val="right" w:pos="9406"/>
      </w:tabs>
    </w:pPr>
  </w:style>
  <w:style w:type="character" w:customStyle="1" w:styleId="HeaderChar">
    <w:name w:val="Header Char"/>
    <w:basedOn w:val="DefaultParagraphFont"/>
    <w:link w:val="Header"/>
    <w:uiPriority w:val="99"/>
    <w:rsid w:val="00FC05AD"/>
    <w:rPr>
      <w:rFonts w:ascii="Arial" w:hAnsi="Arial"/>
      <w:lang w:val="en-GB" w:eastAsia="de-CH"/>
    </w:rPr>
  </w:style>
  <w:style w:type="character" w:customStyle="1" w:styleId="FooterChar">
    <w:name w:val="Footer Char"/>
    <w:basedOn w:val="DefaultParagraphFont"/>
    <w:link w:val="Footer"/>
    <w:uiPriority w:val="99"/>
    <w:rsid w:val="00FC05AD"/>
    <w:rPr>
      <w:rFonts w:ascii="Arial" w:hAnsi="Arial"/>
      <w:lang w:val="en-GB" w:eastAsia="de-CH"/>
    </w:rPr>
  </w:style>
  <w:style w:type="table" w:styleId="MediumList2-Accent1">
    <w:name w:val="Medium List 2 Accent 1"/>
    <w:basedOn w:val="TableNormal"/>
    <w:uiPriority w:val="66"/>
    <w:rsid w:val="00110C3D"/>
    <w:rPr>
      <w:rFonts w:asciiTheme="majorHAnsi" w:eastAsiaTheme="majorEastAsia" w:hAnsiTheme="majorHAnsi" w:cstheme="majorBidi"/>
      <w:color w:val="000000" w:themeColor="text1"/>
    </w:rPr>
    <w:tblPr>
      <w:tblStyleRowBandSize w:val="1"/>
      <w:tblStyleColBandSize w:val="1"/>
      <w:tblBorders>
        <w:top w:val="single" w:sz="8" w:space="0" w:color="7A7A7A" w:themeColor="accent1"/>
        <w:left w:val="single" w:sz="8" w:space="0" w:color="7A7A7A" w:themeColor="accent1"/>
        <w:bottom w:val="single" w:sz="8" w:space="0" w:color="7A7A7A" w:themeColor="accent1"/>
        <w:right w:val="single" w:sz="8" w:space="0" w:color="7A7A7A" w:themeColor="accent1"/>
      </w:tblBorders>
    </w:tblPr>
    <w:tblStylePr w:type="firstRow">
      <w:rPr>
        <w:sz w:val="24"/>
        <w:szCs w:val="24"/>
      </w:rPr>
      <w:tblPr/>
      <w:tcPr>
        <w:tcBorders>
          <w:top w:val="nil"/>
          <w:left w:val="nil"/>
          <w:bottom w:val="single" w:sz="24" w:space="0" w:color="7A7A7A" w:themeColor="accent1"/>
          <w:right w:val="nil"/>
          <w:insideH w:val="nil"/>
          <w:insideV w:val="nil"/>
        </w:tcBorders>
        <w:shd w:val="clear" w:color="auto" w:fill="FFFFFF" w:themeFill="background1"/>
      </w:tcPr>
    </w:tblStylePr>
    <w:tblStylePr w:type="lastRow">
      <w:tblPr/>
      <w:tcPr>
        <w:tcBorders>
          <w:top w:val="single" w:sz="8" w:space="0" w:color="7A7A7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7A7A" w:themeColor="accent1"/>
          <w:insideH w:val="nil"/>
          <w:insideV w:val="nil"/>
        </w:tcBorders>
        <w:shd w:val="clear" w:color="auto" w:fill="FFFFFF" w:themeFill="background1"/>
      </w:tcPr>
    </w:tblStylePr>
    <w:tblStylePr w:type="lastCol">
      <w:tblPr/>
      <w:tcPr>
        <w:tcBorders>
          <w:top w:val="nil"/>
          <w:left w:val="single" w:sz="8" w:space="0" w:color="7A7A7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EDE" w:themeFill="accent1" w:themeFillTint="3F"/>
      </w:tcPr>
    </w:tblStylePr>
    <w:tblStylePr w:type="band1Horz">
      <w:tblPr/>
      <w:tcPr>
        <w:tcBorders>
          <w:top w:val="nil"/>
          <w:bottom w:val="nil"/>
          <w:insideH w:val="nil"/>
          <w:insideV w:val="nil"/>
        </w:tcBorders>
        <w:shd w:val="clear" w:color="auto" w:fill="DEDED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409610">
      <w:bodyDiv w:val="1"/>
      <w:marLeft w:val="0"/>
      <w:marRight w:val="0"/>
      <w:marTop w:val="0"/>
      <w:marBottom w:val="0"/>
      <w:divBdr>
        <w:top w:val="none" w:sz="0" w:space="0" w:color="auto"/>
        <w:left w:val="none" w:sz="0" w:space="0" w:color="auto"/>
        <w:bottom w:val="none" w:sz="0" w:space="0" w:color="auto"/>
        <w:right w:val="none" w:sz="0" w:space="0" w:color="auto"/>
      </w:divBdr>
    </w:div>
    <w:div w:id="190614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3739</Words>
  <Characters>21316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Schweizer Paraplegiker-Gruppe</Company>
  <LinksUpToDate>false</LinksUpToDate>
  <CharactersWithSpaces>25005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skempes_d</dc:creator>
  <cp:lastModifiedBy>JCVILLEGAS</cp:lastModifiedBy>
  <cp:revision>47</cp:revision>
  <cp:lastPrinted>2017-08-06T18:29:00Z</cp:lastPrinted>
  <dcterms:created xsi:type="dcterms:W3CDTF">2017-06-03T12:04:00Z</dcterms:created>
  <dcterms:modified xsi:type="dcterms:W3CDTF">2018-09-13T01:47:00Z</dcterms:modified>
</cp:coreProperties>
</file>