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F1" w:rsidRDefault="009823F1" w:rsidP="009823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BB">
        <w:rPr>
          <w:rFonts w:ascii="Times New Roman" w:hAnsi="Times New Roman" w:cs="Times New Roman"/>
          <w:b/>
          <w:sz w:val="24"/>
          <w:szCs w:val="24"/>
        </w:rPr>
        <w:t xml:space="preserve">File name (Additional file </w:t>
      </w:r>
      <w:r w:rsidR="007C1BD6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.doc</w:t>
      </w:r>
      <w:r w:rsidRPr="00720DBB">
        <w:rPr>
          <w:rFonts w:ascii="Times New Roman" w:hAnsi="Times New Roman" w:cs="Times New Roman"/>
          <w:b/>
          <w:sz w:val="24"/>
          <w:szCs w:val="24"/>
        </w:rPr>
        <w:t>)</w:t>
      </w:r>
    </w:p>
    <w:p w:rsidR="009823F1" w:rsidRDefault="009823F1" w:rsidP="009823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Reasons for not selecting a particular study </w:t>
      </w:r>
    </w:p>
    <w:p w:rsidR="009823F1" w:rsidRPr="00720DBB" w:rsidRDefault="009823F1" w:rsidP="009823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table showing the exclusion criteria and reasons why a particular article was not selected in the final review. </w:t>
      </w:r>
    </w:p>
    <w:p w:rsidR="009823F1" w:rsidRDefault="009823F1" w:rsidP="009823F1">
      <w:pPr>
        <w:rPr>
          <w:rFonts w:ascii="Times New Roman" w:hAnsi="Times New Roman" w:cs="Times New Roman"/>
          <w:sz w:val="24"/>
          <w:szCs w:val="24"/>
        </w:rPr>
      </w:pPr>
    </w:p>
    <w:p w:rsidR="009823F1" w:rsidRPr="0071549F" w:rsidRDefault="009823F1" w:rsidP="009823F1">
      <w:pPr>
        <w:pStyle w:val="Caption"/>
        <w:keepNext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9823F1" w:rsidRPr="0071549F" w:rsidTr="004D4F0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Studies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Reason for not including in the review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Ala (2013)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[1]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Does not measure the effect of </w:t>
            </w:r>
            <w:r>
              <w:rPr>
                <w:rFonts w:ascii="Calibri" w:eastAsia="Times New Roman" w:hAnsi="Calibri" w:cs="Calibri"/>
                <w:color w:val="000000"/>
              </w:rPr>
              <w:t>IP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provision on access to medicines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Aksan (2013)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[2]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Theoretical paper with 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Attaran (2004)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[3]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No empirical analysis on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prices or quantity or any other </w:t>
            </w:r>
            <w:r w:rsidRPr="0071549F">
              <w:rPr>
                <w:rFonts w:ascii="Calibri" w:eastAsia="Times New Roman" w:hAnsi="Calibri" w:cs="Calibri"/>
                <w:color w:val="000000"/>
              </w:rPr>
              <w:t>measure of access to medicines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Attaran and Gillespie-white (2001)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[4]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Basant (2007)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[5]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Beall et al (2015)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[6]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Comparison of two </w:t>
            </w:r>
            <w:r>
              <w:rPr>
                <w:rFonts w:ascii="Calibri" w:eastAsia="Times New Roman" w:hAnsi="Calibri" w:cs="Calibri"/>
                <w:color w:val="000000"/>
              </w:rPr>
              <w:t>TRIPS-plus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provision: Compulsory license and parallel import and no analysis of impact of TRIPS/</w:t>
            </w:r>
            <w:r>
              <w:rPr>
                <w:rFonts w:ascii="Calibri" w:eastAsia="Times New Roman" w:hAnsi="Calibri" w:cs="Calibri"/>
                <w:color w:val="000000"/>
              </w:rPr>
              <w:t>TRIPS-plus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provisions on access to medicines.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Boring (2010)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[7]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Empirical analysis of pharmaceutical trade and patent protection and no analysis of patent or any other TRIPS provision on the access to medicines.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Correa (2006)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[8]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El-Said and El-Said (2007)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[9]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Bognar  et al.   [10]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0BD2">
              <w:rPr>
                <w:rFonts w:ascii="Calibri" w:eastAsia="Times New Roman" w:hAnsi="Calibri" w:cs="Calibri"/>
                <w:color w:val="000000"/>
              </w:rPr>
              <w:t>No empirical analysis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Goldberg (2010)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[11]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Elaboration of analysis of Chaudhuri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Hellerstein (2012)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[12]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Not directly measures the impact of TRIPS/</w:t>
            </w:r>
            <w:r>
              <w:rPr>
                <w:rFonts w:ascii="Calibri" w:eastAsia="Times New Roman" w:hAnsi="Calibri" w:cs="Calibri"/>
                <w:color w:val="000000"/>
              </w:rPr>
              <w:t>TRIPS-plus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provisions on access to medicines.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Jani and Dholakia (2015)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[13]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Not about </w:t>
            </w:r>
            <w:r>
              <w:rPr>
                <w:rFonts w:ascii="Calibri" w:eastAsia="Times New Roman" w:hAnsi="Calibri" w:cs="Calibri"/>
                <w:color w:val="000000"/>
              </w:rPr>
              <w:t>IP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and access to medicines.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Kumar (2003)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[14]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Not about the impact of </w:t>
            </w:r>
            <w:r>
              <w:rPr>
                <w:rFonts w:ascii="Calibri" w:eastAsia="Times New Roman" w:hAnsi="Calibri" w:cs="Calibri"/>
                <w:color w:val="000000"/>
              </w:rPr>
              <w:t>IP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on access to medicine, rather discuss relationship between </w:t>
            </w:r>
            <w:r>
              <w:rPr>
                <w:rFonts w:ascii="Calibri" w:eastAsia="Times New Roman" w:hAnsi="Calibri" w:cs="Calibri"/>
                <w:color w:val="000000"/>
              </w:rPr>
              <w:t>IP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technology transfer and trade in pharmaceuticals.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Kyle and McGahan (2012)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[15]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Not about </w:t>
            </w:r>
            <w:r>
              <w:rPr>
                <w:rFonts w:ascii="Calibri" w:eastAsia="Times New Roman" w:hAnsi="Calibri" w:cs="Calibri"/>
                <w:color w:val="000000"/>
              </w:rPr>
              <w:t>IP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and access to medicines but about </w:t>
            </w:r>
            <w:r>
              <w:rPr>
                <w:rFonts w:ascii="Calibri" w:eastAsia="Times New Roman" w:hAnsi="Calibri" w:cs="Calibri"/>
                <w:color w:val="000000"/>
              </w:rPr>
              <w:t>IP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and investment.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Malpani (2009)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[16]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Mazuka (2009)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[17]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Moir et al. (2014)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[18]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Estimation based on other papers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Pascual (2014)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[19]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Sakthivel (2005)  [20]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This is a book chapter and it does not estimate the effect of </w:t>
            </w:r>
            <w:r>
              <w:rPr>
                <w:rFonts w:ascii="Calibri" w:eastAsia="Times New Roman" w:hAnsi="Calibri" w:cs="Calibri"/>
                <w:color w:val="000000"/>
              </w:rPr>
              <w:t>IP</w:t>
            </w:r>
            <w:r w:rsidRPr="0071549F">
              <w:rPr>
                <w:rFonts w:ascii="Calibri" w:eastAsia="Times New Roman" w:hAnsi="Calibri" w:cs="Calibri"/>
                <w:color w:val="000000"/>
              </w:rPr>
              <w:t xml:space="preserve"> on access to medicines and discuss overall access to medicines in India.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Smith,  Correa and Oh (2009)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[21]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Stavropoulou and Valletti (2015)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[22]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Theoretical paper and no empirical analysis.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lastRenderedPageBreak/>
              <w:t>Supperamaniam et al (2009)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[23]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 xml:space="preserve">No empirical analysis and just compares prices of </w:t>
            </w:r>
            <w:r>
              <w:rPr>
                <w:rFonts w:ascii="Calibri" w:eastAsia="Times New Roman" w:hAnsi="Calibri" w:cs="Calibri"/>
                <w:color w:val="000000"/>
              </w:rPr>
              <w:t>medicine</w:t>
            </w:r>
            <w:r w:rsidRPr="0071549F">
              <w:rPr>
                <w:rFonts w:ascii="Calibri" w:eastAsia="Times New Roman" w:hAnsi="Calibri" w:cs="Calibri"/>
                <w:color w:val="000000"/>
              </w:rPr>
              <w:t>s in UK and Malaysia.</w:t>
            </w:r>
          </w:p>
        </w:tc>
      </w:tr>
      <w:tr w:rsidR="009823F1" w:rsidRPr="0071549F" w:rsidTr="004D4F0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Townsend, Gleeson and Lopert (2016)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[24]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3F1" w:rsidRPr="0071549F" w:rsidRDefault="009823F1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549F">
              <w:rPr>
                <w:rFonts w:ascii="Calibri" w:eastAsia="Times New Roman" w:hAnsi="Calibri" w:cs="Calibri"/>
                <w:color w:val="000000"/>
              </w:rPr>
              <w:t>No longer applicable as the USA has pulled out of TPP.</w:t>
            </w:r>
          </w:p>
        </w:tc>
      </w:tr>
    </w:tbl>
    <w:p w:rsidR="009823F1" w:rsidRDefault="009823F1" w:rsidP="009823F1">
      <w:pPr>
        <w:rPr>
          <w:rFonts w:ascii="Times New Roman" w:hAnsi="Times New Roman" w:cs="Times New Roman"/>
          <w:sz w:val="24"/>
          <w:szCs w:val="24"/>
        </w:rPr>
      </w:pPr>
    </w:p>
    <w:p w:rsidR="009823F1" w:rsidRDefault="009823F1" w:rsidP="009823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References: 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Ala MU. A firm-level analysis of the vulnerability of the Bangladeshi pharmaceutical industry to the TRIPS agreement: Implications for R&amp;D capability and technology transfer. Procedia Economics and Finance. 2013; 5:30-9.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Aksan AM. Appropriate health R&amp;D and intellectual property rights reform in developing countries. Economica. 2013;80:475-95.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Attaran A. How do patents and economic policies affect access to essential medicines in developing countries?. Health Affairs. 2004; 23:155-66.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Attaran A, Gillespie-White L. Do patents for antiretroviral drugs constrain access to AIDS treatment in Africa?. Jama. 2001; 286:1886-92.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Basant R. Intellectual property rights regimes: Comparison of pharma prices in India and Pakistan. Economic and Political Weekly. 2007; 29:3969-77.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Beall RF, Kuhn R, Attaran A. Compulsory licensing often did not produce lower prices for antiretrovirals compared to international procurement. Health Affairs. 2015;34: 493-501.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 xml:space="preserve">Boring A. Does Foreign Patent Protection Increase the United States' Trade of Pharmaceuticals with Developing Countries. Université Paris Dauphine (LEDa-DIAL) Ph D. thesis. 2010. Available at https://pdfs.semanticscholar.org/60cf/e01ced295a661c09451da6624f26a3d9f7d5.pdf or </w:t>
      </w:r>
      <w:hyperlink r:id="rId5" w:history="1">
        <w:r w:rsidRPr="00270BD2">
          <w:rPr>
            <w:rStyle w:val="Hyperlink"/>
            <w:rFonts w:ascii="Times New Roman" w:hAnsi="Times New Roman" w:cs="Times New Roman"/>
            <w:sz w:val="24"/>
            <w:szCs w:val="24"/>
          </w:rPr>
          <w:t>https://www.etsg.org/ETSG2010/papers/Boring.pdf. Accessed 7 August 2019</w:t>
        </w:r>
      </w:hyperlink>
      <w:r w:rsidRPr="00270BD2">
        <w:rPr>
          <w:rFonts w:ascii="Times New Roman" w:hAnsi="Times New Roman" w:cs="Times New Roman"/>
          <w:sz w:val="24"/>
          <w:szCs w:val="24"/>
        </w:rPr>
        <w:t>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Correa CM. Implications of bilateral free trade agreements on access to medicines. Bulletin of the World Health Organization. 2006;84:399-404.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El‐Said H, El‐Said M. TRIPS‐Plus implications for access to medicines in developing countries: lessons from Jordan–United States Free Trade Agreement. The Journal of world intellectual property. 2007; 10:438-75.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Bognar CL, Bychkovsky BL, Lopes Jr GD. Compulsory licenses for cancer drugs: does circumventing patent rights improve access to oncology medications? Journal of global oncology. 2016; 29:292-301.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Goldberg PK. Intellectual property rights protection in developing countries: the case of pharmaceuticals. Journal of the European Economic Association. 2010; 8:326-53.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Hellerstein R. What do drug monopolies cost consumers in developing countries?. Economics Letters. 2012; 116:108-11.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Jani V,  Dholakia RH. Does Trade Make Asian Children Healthier? Indian Institute of Management  No. 2015-10-08. 2015; 1-21. Available at https://www.semanticscholar.org/paper/Does-Trade-Make-Asian-Children-Healthier-Jani-Dholakia/23eada89d8b9646ffa8b2a4bce2b0bcf5a90920a. Accessed 7 August 2019.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lastRenderedPageBreak/>
        <w:t>Kumar N. Intellectual property rights, technology and economic development. Economic and Political Weekly. 2003; 38:209-25.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Kyle MK, McGahan AM. Investments in pharmaceuticals before and after TRIPS. Review of Economics and Statistics. 2012; 94:1157-72.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Malpani R. All costs, no benefits: how the US-Jordan free trade agreement affects access to medicines. Journal of Generic Medicines. 2009; 6:206-17.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Muzaka V. Developing countries and the struggle on the access to medicines front: victories won and lost. Third World Quarterly. 2009;  30:1343-61.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Moir HV, Tenni B, Gleeson D, Lopert R. Assessing the impact of alternative patent systems on the cost of health care: the TPPA and HIV treatment in Vietnam. In Asia-Pacific Innovation Conference, University of Technology Sydney 2014 Nov 27 (pp. 27-29).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Pascual F. Intellectual property rights, market competition and access to affordable antiretrovirals. Antivir Ther. 2014; 19 Suppl 3 :57-67.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 xml:space="preserve">Sakthivel S. Access to Essential Drugs and Medicines. In: Lal PE, editor. Background papers on Financing and delivery of Health Care Services in India. New Delhi: Cirrus Graphics Private Limited; 2005.  p. 185–212. Copy available from authors. 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Smith RD, Correa C, Oh C. Trade, TRIPS, and pharmaceuticals. The Lancet. 2009;  373 :684-91.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Stavropoulou C, Valletti T. Compulsory licensing and access to drugs. The European Journal of Health Economics. 2015;16:83-94.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Supperamaniam M, Alavi R, Gee LH. The Implications of TRIPS to the Pharmaceutical Sector and Access to Medicine: Malaysian Experience. Asian J. WTO &amp; Int'l Health L &amp; Pol'y. 2009; 4:225.</w:t>
      </w:r>
    </w:p>
    <w:p w:rsidR="009823F1" w:rsidRPr="00270BD2" w:rsidRDefault="009823F1" w:rsidP="00982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BD2">
        <w:rPr>
          <w:rFonts w:ascii="Times New Roman" w:hAnsi="Times New Roman" w:cs="Times New Roman"/>
          <w:sz w:val="24"/>
          <w:szCs w:val="24"/>
        </w:rPr>
        <w:t>Townsend B, Gleeson D, Lopert R. The Regional Comprehensive Economic Partnership, intellectual property protection, and access to medicines. Asia Pacific Journal of Public Health. 2016; 28:682-93.</w:t>
      </w:r>
    </w:p>
    <w:p w:rsidR="009823F1" w:rsidRDefault="009823F1" w:rsidP="009823F1">
      <w:pPr>
        <w:rPr>
          <w:rFonts w:ascii="Times New Roman" w:hAnsi="Times New Roman" w:cs="Times New Roman"/>
          <w:sz w:val="24"/>
          <w:szCs w:val="24"/>
        </w:rPr>
      </w:pPr>
    </w:p>
    <w:p w:rsidR="009823F1" w:rsidRDefault="009823F1" w:rsidP="009823F1">
      <w:pPr>
        <w:rPr>
          <w:rFonts w:ascii="Times New Roman" w:hAnsi="Times New Roman" w:cs="Times New Roman"/>
          <w:sz w:val="24"/>
          <w:szCs w:val="24"/>
        </w:rPr>
      </w:pPr>
    </w:p>
    <w:p w:rsidR="009823F1" w:rsidRDefault="009823F1" w:rsidP="009823F1">
      <w:pPr>
        <w:rPr>
          <w:rFonts w:ascii="Times New Roman" w:hAnsi="Times New Roman" w:cs="Times New Roman"/>
          <w:sz w:val="24"/>
          <w:szCs w:val="24"/>
        </w:rPr>
      </w:pPr>
    </w:p>
    <w:p w:rsidR="009823F1" w:rsidRDefault="009823F1" w:rsidP="009823F1">
      <w:pPr>
        <w:rPr>
          <w:rFonts w:ascii="Times New Roman" w:hAnsi="Times New Roman" w:cs="Times New Roman"/>
          <w:sz w:val="24"/>
          <w:szCs w:val="24"/>
        </w:rPr>
      </w:pPr>
    </w:p>
    <w:p w:rsidR="00517A41" w:rsidRDefault="00517A41"/>
    <w:sectPr w:rsidR="00517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5276C"/>
    <w:multiLevelType w:val="hybridMultilevel"/>
    <w:tmpl w:val="E4424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E2"/>
    <w:rsid w:val="004147E2"/>
    <w:rsid w:val="00517A41"/>
    <w:rsid w:val="00626BDE"/>
    <w:rsid w:val="007C1BD6"/>
    <w:rsid w:val="0098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4CC1B-2CB4-4D92-8025-9E06488C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3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23F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823F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tsg.org/ETSG2010/papers/Boring.pdf.%20Accessed%207%20August%20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wazza</dc:creator>
  <cp:keywords/>
  <dc:description/>
  <cp:lastModifiedBy>wazza</cp:lastModifiedBy>
  <cp:revision>2</cp:revision>
  <dcterms:created xsi:type="dcterms:W3CDTF">2019-10-15T19:55:00Z</dcterms:created>
  <dcterms:modified xsi:type="dcterms:W3CDTF">2019-10-15T19:55:00Z</dcterms:modified>
</cp:coreProperties>
</file>