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752F42" w14:textId="05F5EEF0" w:rsidR="00067DBF" w:rsidRPr="00B56897" w:rsidRDefault="00B201A1" w:rsidP="00067DBF">
      <w:pPr>
        <w:spacing w:line="276" w:lineRule="auto"/>
        <w:rPr>
          <w:rFonts w:asciiTheme="minorHAnsi" w:hAnsiTheme="minorHAnsi" w:cstheme="minorHAnsi"/>
          <w:b/>
          <w:bCs/>
        </w:rPr>
      </w:pPr>
      <w:r w:rsidRPr="00B56897">
        <w:rPr>
          <w:rFonts w:asciiTheme="minorHAnsi" w:hAnsiTheme="minorHAnsi" w:cstheme="minorHAnsi"/>
          <w:b/>
          <w:bCs/>
        </w:rPr>
        <w:t xml:space="preserve">Supplementary </w:t>
      </w:r>
      <w:r w:rsidR="00010EC8">
        <w:rPr>
          <w:rFonts w:asciiTheme="minorHAnsi" w:hAnsiTheme="minorHAnsi" w:cstheme="minorHAnsi"/>
          <w:b/>
          <w:bCs/>
        </w:rPr>
        <w:t>file</w:t>
      </w:r>
      <w:r w:rsidR="00B56897" w:rsidRPr="00B56897">
        <w:rPr>
          <w:rFonts w:asciiTheme="minorHAnsi" w:hAnsiTheme="minorHAnsi" w:cstheme="minorHAnsi"/>
          <w:b/>
          <w:bCs/>
        </w:rPr>
        <w:t xml:space="preserve"> </w:t>
      </w:r>
      <w:r w:rsidR="00A91FD9">
        <w:rPr>
          <w:rFonts w:asciiTheme="minorHAnsi" w:hAnsiTheme="minorHAnsi" w:cstheme="minorHAnsi"/>
          <w:b/>
          <w:bCs/>
        </w:rPr>
        <w:t>2</w:t>
      </w:r>
      <w:r w:rsidR="00067DBF" w:rsidRPr="00B56897">
        <w:rPr>
          <w:rFonts w:asciiTheme="minorHAnsi" w:hAnsiTheme="minorHAnsi" w:cstheme="minorHAnsi"/>
          <w:b/>
          <w:bCs/>
        </w:rPr>
        <w:t xml:space="preserve">. </w:t>
      </w:r>
      <w:r w:rsidR="004E2260" w:rsidRPr="00B56897">
        <w:rPr>
          <w:rFonts w:asciiTheme="minorHAnsi" w:hAnsiTheme="minorHAnsi" w:cstheme="minorHAnsi"/>
          <w:b/>
          <w:bCs/>
        </w:rPr>
        <w:t>A number of key</w:t>
      </w:r>
      <w:r w:rsidR="00067DBF" w:rsidRPr="00B56897">
        <w:rPr>
          <w:rFonts w:asciiTheme="minorHAnsi" w:hAnsiTheme="minorHAnsi" w:cstheme="minorHAnsi"/>
          <w:b/>
          <w:bCs/>
        </w:rPr>
        <w:t xml:space="preserve"> structure</w:t>
      </w:r>
      <w:r w:rsidRPr="00B56897">
        <w:rPr>
          <w:rFonts w:asciiTheme="minorHAnsi" w:hAnsiTheme="minorHAnsi" w:cstheme="minorHAnsi"/>
          <w:b/>
          <w:bCs/>
        </w:rPr>
        <w:t xml:space="preserve"> and performance</w:t>
      </w:r>
      <w:r w:rsidR="00067DBF" w:rsidRPr="00B56897">
        <w:rPr>
          <w:rFonts w:asciiTheme="minorHAnsi" w:hAnsiTheme="minorHAnsi" w:cstheme="minorHAnsi"/>
          <w:b/>
          <w:bCs/>
        </w:rPr>
        <w:t xml:space="preserve">-related metrics to examine the market power </w:t>
      </w:r>
      <w:r w:rsidR="00000019" w:rsidRPr="00B56897">
        <w:rPr>
          <w:rFonts w:asciiTheme="minorHAnsi" w:hAnsiTheme="minorHAnsi" w:cstheme="minorHAnsi"/>
          <w:b/>
          <w:bCs/>
        </w:rPr>
        <w:t>from a public health perspective</w:t>
      </w:r>
      <w:r w:rsidR="004E2260" w:rsidRPr="00B56897">
        <w:rPr>
          <w:rFonts w:asciiTheme="minorHAnsi" w:hAnsiTheme="minorHAnsi" w:cstheme="minorHAnsi"/>
          <w:b/>
          <w:bCs/>
        </w:rPr>
        <w:t>.</w:t>
      </w:r>
    </w:p>
    <w:p w14:paraId="0B848E49" w14:textId="77777777" w:rsidR="004E2260" w:rsidRPr="00A41E9E" w:rsidRDefault="004E2260" w:rsidP="00067DBF">
      <w:pPr>
        <w:spacing w:line="276" w:lineRule="auto"/>
        <w:rPr>
          <w:rFonts w:asciiTheme="minorHAnsi" w:hAnsiTheme="minorHAnsi" w:cstheme="minorHAnsi"/>
          <w:i/>
          <w:iCs/>
        </w:rPr>
      </w:pPr>
    </w:p>
    <w:p w14:paraId="21A2EC77" w14:textId="77777777" w:rsidR="00067DBF" w:rsidRPr="00A41E9E" w:rsidRDefault="00067DBF" w:rsidP="00067DBF">
      <w:pPr>
        <w:spacing w:line="276" w:lineRule="auto"/>
        <w:rPr>
          <w:rFonts w:asciiTheme="minorHAnsi" w:hAnsiTheme="minorHAnsi" w:cstheme="minorHAnsi"/>
        </w:rPr>
      </w:pPr>
    </w:p>
    <w:tbl>
      <w:tblPr>
        <w:tblStyle w:val="TableGrid"/>
        <w:tblW w:w="10060" w:type="dxa"/>
        <w:tblLook w:val="04A0" w:firstRow="1" w:lastRow="0" w:firstColumn="1" w:lastColumn="0" w:noHBand="0" w:noVBand="1"/>
      </w:tblPr>
      <w:tblGrid>
        <w:gridCol w:w="1694"/>
        <w:gridCol w:w="1662"/>
        <w:gridCol w:w="3686"/>
        <w:gridCol w:w="3018"/>
      </w:tblGrid>
      <w:tr w:rsidR="00067DBF" w:rsidRPr="00A41E9E" w14:paraId="47426FA0" w14:textId="77777777" w:rsidTr="004A748C">
        <w:tc>
          <w:tcPr>
            <w:tcW w:w="10060" w:type="dxa"/>
            <w:gridSpan w:val="4"/>
            <w:shd w:val="clear" w:color="auto" w:fill="D9D9D9" w:themeFill="background1" w:themeFillShade="D9"/>
          </w:tcPr>
          <w:p w14:paraId="025663E1" w14:textId="600F9579" w:rsidR="00067DBF" w:rsidRPr="00A41E9E" w:rsidRDefault="004E2260" w:rsidP="004A748C">
            <w:pPr>
              <w:spacing w:line="276" w:lineRule="auto"/>
              <w:rPr>
                <w:rFonts w:asciiTheme="minorHAnsi" w:hAnsiTheme="minorHAnsi" w:cstheme="minorHAnsi"/>
                <w:i/>
                <w:iCs/>
              </w:rPr>
            </w:pPr>
            <w:r>
              <w:rPr>
                <w:rFonts w:asciiTheme="minorHAnsi" w:hAnsiTheme="minorHAnsi" w:cstheme="minorHAnsi"/>
                <w:i/>
                <w:iCs/>
              </w:rPr>
              <w:t>Important examples of m</w:t>
            </w:r>
            <w:r w:rsidR="00067DBF">
              <w:rPr>
                <w:rFonts w:asciiTheme="minorHAnsi" w:hAnsiTheme="minorHAnsi" w:cstheme="minorHAnsi"/>
                <w:i/>
                <w:iCs/>
              </w:rPr>
              <w:t xml:space="preserve">etrics for </w:t>
            </w:r>
            <w:r>
              <w:rPr>
                <w:rFonts w:asciiTheme="minorHAnsi" w:hAnsiTheme="minorHAnsi" w:cstheme="minorHAnsi"/>
                <w:i/>
                <w:iCs/>
              </w:rPr>
              <w:t>i</w:t>
            </w:r>
            <w:r w:rsidR="00067DBF">
              <w:rPr>
                <w:rFonts w:asciiTheme="minorHAnsi" w:hAnsiTheme="minorHAnsi" w:cstheme="minorHAnsi"/>
                <w:i/>
                <w:iCs/>
              </w:rPr>
              <w:t>ndustry/</w:t>
            </w:r>
            <w:r>
              <w:rPr>
                <w:rFonts w:asciiTheme="minorHAnsi" w:hAnsiTheme="minorHAnsi" w:cstheme="minorHAnsi"/>
                <w:i/>
                <w:iCs/>
              </w:rPr>
              <w:t>m</w:t>
            </w:r>
            <w:r w:rsidR="00067DBF">
              <w:rPr>
                <w:rFonts w:asciiTheme="minorHAnsi" w:hAnsiTheme="minorHAnsi" w:cstheme="minorHAnsi"/>
                <w:i/>
                <w:iCs/>
              </w:rPr>
              <w:t xml:space="preserve">arket </w:t>
            </w:r>
            <w:r>
              <w:rPr>
                <w:rFonts w:asciiTheme="minorHAnsi" w:hAnsiTheme="minorHAnsi" w:cstheme="minorHAnsi"/>
                <w:i/>
                <w:iCs/>
              </w:rPr>
              <w:t>s</w:t>
            </w:r>
            <w:r w:rsidR="00067DBF">
              <w:rPr>
                <w:rFonts w:asciiTheme="minorHAnsi" w:hAnsiTheme="minorHAnsi" w:cstheme="minorHAnsi"/>
                <w:i/>
                <w:iCs/>
              </w:rPr>
              <w:t xml:space="preserve">tructure </w:t>
            </w:r>
            <w:r>
              <w:rPr>
                <w:rFonts w:asciiTheme="minorHAnsi" w:hAnsiTheme="minorHAnsi" w:cstheme="minorHAnsi"/>
                <w:i/>
                <w:iCs/>
              </w:rPr>
              <w:t>a</w:t>
            </w:r>
            <w:r w:rsidR="00067DBF">
              <w:rPr>
                <w:rFonts w:asciiTheme="minorHAnsi" w:hAnsiTheme="minorHAnsi" w:cstheme="minorHAnsi"/>
                <w:i/>
                <w:iCs/>
              </w:rPr>
              <w:t>nalysis</w:t>
            </w:r>
          </w:p>
        </w:tc>
      </w:tr>
      <w:tr w:rsidR="00067DBF" w:rsidRPr="00A41E9E" w14:paraId="62583C7F" w14:textId="77777777" w:rsidTr="00067DBF">
        <w:tc>
          <w:tcPr>
            <w:tcW w:w="1694" w:type="dxa"/>
          </w:tcPr>
          <w:p w14:paraId="5AC13281" w14:textId="77777777" w:rsidR="00067DBF" w:rsidRPr="00A41E9E" w:rsidRDefault="00067DBF" w:rsidP="004A748C">
            <w:pPr>
              <w:spacing w:line="276" w:lineRule="auto"/>
              <w:rPr>
                <w:rFonts w:asciiTheme="minorHAnsi" w:hAnsiTheme="minorHAnsi" w:cstheme="minorHAnsi"/>
                <w:i/>
                <w:iCs/>
              </w:rPr>
            </w:pPr>
            <w:r w:rsidRPr="00A41E9E">
              <w:rPr>
                <w:rFonts w:asciiTheme="minorHAnsi" w:hAnsiTheme="minorHAnsi" w:cstheme="minorHAnsi"/>
                <w:b/>
                <w:bCs/>
              </w:rPr>
              <w:t>Indicator</w:t>
            </w:r>
          </w:p>
        </w:tc>
        <w:tc>
          <w:tcPr>
            <w:tcW w:w="1662" w:type="dxa"/>
          </w:tcPr>
          <w:p w14:paraId="40BB667D" w14:textId="77777777" w:rsidR="00067DBF" w:rsidRPr="00A41E9E" w:rsidRDefault="00067DBF" w:rsidP="004A748C">
            <w:pPr>
              <w:spacing w:line="276" w:lineRule="auto"/>
              <w:rPr>
                <w:rFonts w:asciiTheme="minorHAnsi" w:hAnsiTheme="minorHAnsi" w:cstheme="minorHAnsi"/>
                <w:i/>
                <w:iCs/>
              </w:rPr>
            </w:pPr>
            <w:r w:rsidRPr="00A41E9E">
              <w:rPr>
                <w:rFonts w:asciiTheme="minorHAnsi" w:hAnsiTheme="minorHAnsi" w:cstheme="minorHAnsi"/>
                <w:b/>
                <w:bCs/>
              </w:rPr>
              <w:t>Data required</w:t>
            </w:r>
          </w:p>
        </w:tc>
        <w:tc>
          <w:tcPr>
            <w:tcW w:w="3686" w:type="dxa"/>
          </w:tcPr>
          <w:p w14:paraId="7057AB44" w14:textId="77777777" w:rsidR="00067DBF" w:rsidRPr="00A41E9E" w:rsidRDefault="00067DBF" w:rsidP="004A748C">
            <w:pPr>
              <w:spacing w:line="276" w:lineRule="auto"/>
              <w:rPr>
                <w:rFonts w:asciiTheme="minorHAnsi" w:hAnsiTheme="minorHAnsi" w:cstheme="minorHAnsi"/>
                <w:i/>
                <w:iCs/>
              </w:rPr>
            </w:pPr>
            <w:r w:rsidRPr="00A41E9E">
              <w:rPr>
                <w:rFonts w:asciiTheme="minorHAnsi" w:hAnsiTheme="minorHAnsi" w:cstheme="minorHAnsi"/>
                <w:b/>
                <w:bCs/>
              </w:rPr>
              <w:t>Description</w:t>
            </w:r>
          </w:p>
        </w:tc>
        <w:tc>
          <w:tcPr>
            <w:tcW w:w="3018" w:type="dxa"/>
          </w:tcPr>
          <w:p w14:paraId="6E523215" w14:textId="77777777" w:rsidR="00067DBF" w:rsidRPr="00A41E9E" w:rsidRDefault="00067DBF" w:rsidP="004A748C">
            <w:pPr>
              <w:spacing w:line="276" w:lineRule="auto"/>
              <w:rPr>
                <w:rFonts w:asciiTheme="minorHAnsi" w:hAnsiTheme="minorHAnsi" w:cstheme="minorHAnsi"/>
                <w:i/>
                <w:iCs/>
              </w:rPr>
            </w:pPr>
            <w:r w:rsidRPr="00A41E9E">
              <w:rPr>
                <w:rFonts w:asciiTheme="minorHAnsi" w:hAnsiTheme="minorHAnsi" w:cstheme="minorHAnsi"/>
                <w:b/>
                <w:bCs/>
              </w:rPr>
              <w:t>Rationale</w:t>
            </w:r>
          </w:p>
        </w:tc>
      </w:tr>
      <w:tr w:rsidR="00067DBF" w:rsidRPr="00A41E9E" w14:paraId="414A042F" w14:textId="77777777" w:rsidTr="00067DBF">
        <w:tc>
          <w:tcPr>
            <w:tcW w:w="1694" w:type="dxa"/>
          </w:tcPr>
          <w:p w14:paraId="10F4442A" w14:textId="01BE81CC"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Market concentration</w:t>
            </w:r>
            <w:r>
              <w:rPr>
                <w:rFonts w:asciiTheme="minorHAnsi" w:hAnsiTheme="minorHAnsi" w:cstheme="minorHAnsi"/>
              </w:rPr>
              <w:t xml:space="preserve"> </w:t>
            </w:r>
          </w:p>
        </w:tc>
        <w:tc>
          <w:tcPr>
            <w:tcW w:w="1662" w:type="dxa"/>
          </w:tcPr>
          <w:p w14:paraId="05E7AAF2" w14:textId="6DB89EF5"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 xml:space="preserve">Sales data </w:t>
            </w:r>
            <w:r>
              <w:rPr>
                <w:rFonts w:asciiTheme="minorHAnsi" w:hAnsiTheme="minorHAnsi" w:cstheme="minorHAnsi"/>
              </w:rPr>
              <w:t>(disaggregated by product</w:t>
            </w:r>
            <w:r w:rsidR="00B201A1">
              <w:rPr>
                <w:rFonts w:asciiTheme="minorHAnsi" w:hAnsiTheme="minorHAnsi" w:cstheme="minorHAnsi"/>
              </w:rPr>
              <w:t xml:space="preserve"> type</w:t>
            </w:r>
            <w:r>
              <w:rPr>
                <w:rFonts w:asciiTheme="minorHAnsi" w:hAnsiTheme="minorHAnsi" w:cstheme="minorHAnsi"/>
              </w:rPr>
              <w:t xml:space="preserve"> and geograph</w:t>
            </w:r>
            <w:r w:rsidR="00B201A1">
              <w:rPr>
                <w:rFonts w:asciiTheme="minorHAnsi" w:hAnsiTheme="minorHAnsi" w:cstheme="minorHAnsi"/>
              </w:rPr>
              <w:t>y</w:t>
            </w:r>
            <w:r>
              <w:rPr>
                <w:rFonts w:asciiTheme="minorHAnsi" w:hAnsiTheme="minorHAnsi" w:cstheme="minorHAnsi"/>
              </w:rPr>
              <w:t>)</w:t>
            </w:r>
          </w:p>
        </w:tc>
        <w:tc>
          <w:tcPr>
            <w:tcW w:w="3686" w:type="dxa"/>
          </w:tcPr>
          <w:p w14:paraId="4E17E54F" w14:textId="08870E55"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 xml:space="preserve">Market concentration </w:t>
            </w:r>
            <w:r w:rsidR="004E2260">
              <w:rPr>
                <w:rFonts w:asciiTheme="minorHAnsi" w:hAnsiTheme="minorHAnsi" w:cstheme="minorHAnsi"/>
              </w:rPr>
              <w:t xml:space="preserve">is often </w:t>
            </w:r>
            <w:r w:rsidRPr="00A41E9E">
              <w:rPr>
                <w:rFonts w:asciiTheme="minorHAnsi" w:hAnsiTheme="minorHAnsi" w:cstheme="minorHAnsi"/>
              </w:rPr>
              <w:t xml:space="preserve">measured using </w:t>
            </w:r>
            <w:r w:rsidR="004E2260">
              <w:rPr>
                <w:rFonts w:asciiTheme="minorHAnsi" w:hAnsiTheme="minorHAnsi" w:cstheme="minorHAnsi"/>
              </w:rPr>
              <w:t xml:space="preserve">one of </w:t>
            </w:r>
            <w:r w:rsidRPr="00A41E9E">
              <w:rPr>
                <w:rFonts w:asciiTheme="minorHAnsi" w:hAnsiTheme="minorHAnsi" w:cstheme="minorHAnsi"/>
              </w:rPr>
              <w:t xml:space="preserve">two indicators: Herfindahl Hirschman Index (HHI) and top-four firm concentration ratio (CR4). The HHI is calculated by summing the squares of all the market shares of each firm in the industry </w:t>
            </w:r>
            <w:r w:rsidRPr="00A41E9E">
              <w:rPr>
                <w:rFonts w:asciiTheme="minorHAnsi" w:hAnsiTheme="minorHAnsi" w:cstheme="minorHAnsi"/>
              </w:rPr>
              <w:fldChar w:fldCharType="begin"/>
            </w:r>
            <w:r w:rsidR="004E2260">
              <w:rPr>
                <w:rFonts w:asciiTheme="minorHAnsi" w:hAnsiTheme="minorHAnsi" w:cstheme="minorHAnsi"/>
              </w:rPr>
              <w:instrText xml:space="preserve"> ADDIN EN.CITE &lt;EndNote&gt;&lt;Cite&gt;&lt;Author&gt;Weinstock&lt;/Author&gt;&lt;Year&gt;1982&lt;/Year&gt;&lt;RecNum&gt;388&lt;/RecNum&gt;&lt;DisplayText&gt;[1]&lt;/DisplayText&gt;&lt;record&gt;&lt;rec-number&gt;388&lt;/rec-number&gt;&lt;foreign-keys&gt;&lt;key app="EN" db-id="asd9reav6erp0bedwsup2et8pdtzpzdxpxzx" timestamp="1571038801" guid="9bbd88e8-4fca-43ed-9124-b6dd0990d30a"&gt;388&lt;/key&gt;&lt;/foreign-keys&gt;&lt;ref-type name="Journal Article"&gt;17&lt;/ref-type&gt;&lt;contributors&gt;&lt;authors&gt;&lt;author&gt;Weinstock, D.S.;&lt;/author&gt;&lt;/authors&gt;&lt;/contributors&gt;&lt;titles&gt;&lt;title&gt;Using the Herfindahl Index to measure concentration&lt;/title&gt;&lt;secondary-title&gt;The Antitrust Bulletin&lt;/secondary-title&gt;&lt;/titles&gt;&lt;periodical&gt;&lt;full-title&gt;The Antitrust Bulletin&lt;/full-title&gt;&lt;/periodical&gt;&lt;pages&gt;285-301&lt;/pages&gt;&lt;dates&gt;&lt;year&gt;1982&lt;/year&gt;&lt;/dates&gt;&lt;urls&gt;&lt;/urls&gt;&lt;/record&gt;&lt;/Cite&gt;&lt;/EndNote&gt;</w:instrText>
            </w:r>
            <w:r w:rsidRPr="00A41E9E">
              <w:rPr>
                <w:rFonts w:asciiTheme="minorHAnsi" w:hAnsiTheme="minorHAnsi" w:cstheme="minorHAnsi"/>
              </w:rPr>
              <w:fldChar w:fldCharType="separate"/>
            </w:r>
            <w:r w:rsidR="004E2260">
              <w:rPr>
                <w:rFonts w:asciiTheme="minorHAnsi" w:hAnsiTheme="minorHAnsi" w:cstheme="minorHAnsi"/>
                <w:noProof/>
              </w:rPr>
              <w:t>[1]</w:t>
            </w:r>
            <w:r w:rsidRPr="00A41E9E">
              <w:rPr>
                <w:rFonts w:asciiTheme="minorHAnsi" w:hAnsiTheme="minorHAnsi" w:cstheme="minorHAnsi"/>
              </w:rPr>
              <w:fldChar w:fldCharType="end"/>
            </w:r>
            <w:r w:rsidRPr="00A41E9E">
              <w:rPr>
                <w:rFonts w:asciiTheme="minorHAnsi" w:hAnsiTheme="minorHAnsi" w:cstheme="minorHAnsi"/>
              </w:rPr>
              <w:t xml:space="preserve">. The CR4 is calculated by summing the market shares of the largest four firms in the market </w:t>
            </w:r>
            <w:r w:rsidRPr="00A41E9E">
              <w:rPr>
                <w:rFonts w:asciiTheme="minorHAnsi" w:hAnsiTheme="minorHAnsi" w:cstheme="minorHAnsi"/>
              </w:rPr>
              <w:fldChar w:fldCharType="begin"/>
            </w:r>
            <w:r w:rsidR="004E2260">
              <w:rPr>
                <w:rFonts w:asciiTheme="minorHAnsi" w:hAnsiTheme="minorHAnsi" w:cstheme="minorHAnsi"/>
              </w:rPr>
              <w:instrText xml:space="preserve"> ADDIN EN.CITE &lt;EndNote&gt;&lt;Cite&gt;&lt;Author&gt;Arnold&lt;/Author&gt;&lt;Year&gt;2008&lt;/Year&gt;&lt;RecNum&gt;389&lt;/RecNum&gt;&lt;DisplayText&gt;[2]&lt;/DisplayText&gt;&lt;record&gt;&lt;rec-number&gt;389&lt;/rec-number&gt;&lt;foreign-keys&gt;&lt;key app="EN" db-id="asd9reav6erp0bedwsup2et8pdtzpzdxpxzx" timestamp="1571038801" guid="c8d4c987-338c-45db-a5b7-5c1406407ae5"&gt;389&lt;/key&gt;&lt;/foreign-keys&gt;&lt;ref-type name="Book"&gt;6&lt;/ref-type&gt;&lt;contributors&gt;&lt;authors&gt;&lt;author&gt;Arnold, Roger;&lt;/author&gt;&lt;/authors&gt;&lt;/contributors&gt;&lt;titles&gt;&lt;title&gt;Economics&lt;/title&gt;&lt;/titles&gt;&lt;dates&gt;&lt;year&gt;2008&lt;/year&gt;&lt;/dates&gt;&lt;publisher&gt;Thomson South-Western&lt;/publisher&gt;&lt;urls&gt;&lt;/urls&gt;&lt;/record&gt;&lt;/Cite&gt;&lt;/EndNote&gt;</w:instrText>
            </w:r>
            <w:r w:rsidRPr="00A41E9E">
              <w:rPr>
                <w:rFonts w:asciiTheme="minorHAnsi" w:hAnsiTheme="minorHAnsi" w:cstheme="minorHAnsi"/>
              </w:rPr>
              <w:fldChar w:fldCharType="separate"/>
            </w:r>
            <w:r w:rsidR="004E2260">
              <w:rPr>
                <w:rFonts w:asciiTheme="minorHAnsi" w:hAnsiTheme="minorHAnsi" w:cstheme="minorHAnsi"/>
                <w:noProof/>
              </w:rPr>
              <w:t>[2]</w:t>
            </w:r>
            <w:r w:rsidRPr="00A41E9E">
              <w:rPr>
                <w:rFonts w:asciiTheme="minorHAnsi" w:hAnsiTheme="minorHAnsi" w:cstheme="minorHAnsi"/>
              </w:rPr>
              <w:fldChar w:fldCharType="end"/>
            </w:r>
            <w:r w:rsidRPr="00A41E9E">
              <w:rPr>
                <w:rFonts w:asciiTheme="minorHAnsi" w:hAnsiTheme="minorHAnsi" w:cstheme="minorHAnsi"/>
              </w:rPr>
              <w:t>.</w:t>
            </w:r>
          </w:p>
          <w:p w14:paraId="2395B56C" w14:textId="77777777" w:rsidR="00067DBF" w:rsidRPr="00A41E9E" w:rsidRDefault="00067DBF" w:rsidP="00067DBF">
            <w:pPr>
              <w:spacing w:line="276" w:lineRule="auto"/>
              <w:rPr>
                <w:rFonts w:asciiTheme="minorHAnsi" w:hAnsiTheme="minorHAnsi" w:cstheme="minorHAnsi"/>
              </w:rPr>
            </w:pPr>
          </w:p>
        </w:tc>
        <w:tc>
          <w:tcPr>
            <w:tcW w:w="3018" w:type="dxa"/>
          </w:tcPr>
          <w:p w14:paraId="415DA9DB" w14:textId="132744EF"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HHI and CR4 are the two most commonly used indices for measuring market concentration, an essential metric in assessing market power dynamics</w:t>
            </w:r>
            <w:r>
              <w:rPr>
                <w:rFonts w:asciiTheme="minorHAnsi" w:hAnsiTheme="minorHAnsi" w:cstheme="minorHAnsi"/>
              </w:rPr>
              <w:t>.</w:t>
            </w:r>
            <w:r w:rsidR="004E2260">
              <w:rPr>
                <w:rFonts w:asciiTheme="minorHAnsi" w:hAnsiTheme="minorHAnsi" w:cstheme="minorHAnsi"/>
              </w:rPr>
              <w:t xml:space="preserve"> </w:t>
            </w:r>
            <w:r>
              <w:rPr>
                <w:rFonts w:asciiTheme="minorHAnsi" w:hAnsiTheme="minorHAnsi" w:cstheme="minorHAnsi"/>
              </w:rPr>
              <w:t>HHI is generally preferred for reasons described in the paper.</w:t>
            </w:r>
          </w:p>
        </w:tc>
      </w:tr>
      <w:tr w:rsidR="00067DBF" w:rsidRPr="00A41E9E" w14:paraId="1819C65D" w14:textId="77777777" w:rsidTr="00067DBF">
        <w:tc>
          <w:tcPr>
            <w:tcW w:w="1694" w:type="dxa"/>
          </w:tcPr>
          <w:p w14:paraId="497A36B0" w14:textId="63EF85BA"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Common shareholder ownership</w:t>
            </w:r>
          </w:p>
        </w:tc>
        <w:tc>
          <w:tcPr>
            <w:tcW w:w="1662" w:type="dxa"/>
          </w:tcPr>
          <w:p w14:paraId="7090D05B" w14:textId="11E104C9"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 xml:space="preserve">Ownership </w:t>
            </w:r>
            <w:r>
              <w:rPr>
                <w:rFonts w:asciiTheme="minorHAnsi" w:hAnsiTheme="minorHAnsi" w:cstheme="minorHAnsi"/>
              </w:rPr>
              <w:t xml:space="preserve">and sales </w:t>
            </w:r>
            <w:r w:rsidRPr="00A41E9E">
              <w:rPr>
                <w:rFonts w:asciiTheme="minorHAnsi" w:hAnsiTheme="minorHAnsi" w:cstheme="minorHAnsi"/>
              </w:rPr>
              <w:t>data</w:t>
            </w:r>
          </w:p>
        </w:tc>
        <w:tc>
          <w:tcPr>
            <w:tcW w:w="3686" w:type="dxa"/>
          </w:tcPr>
          <w:p w14:paraId="7E962BC4" w14:textId="4044591D" w:rsidR="00067DBF" w:rsidRPr="00A41E9E" w:rsidRDefault="00067DBF" w:rsidP="00B201A1">
            <w:pPr>
              <w:spacing w:line="276" w:lineRule="auto"/>
              <w:rPr>
                <w:rFonts w:asciiTheme="minorHAnsi" w:hAnsiTheme="minorHAnsi" w:cstheme="minorHAnsi"/>
              </w:rPr>
            </w:pPr>
            <w:r w:rsidRPr="00A41E9E">
              <w:rPr>
                <w:rFonts w:asciiTheme="minorHAnsi" w:hAnsiTheme="minorHAnsi" w:cstheme="minorHAnsi"/>
              </w:rPr>
              <w:t>Defined as the common ownership of firms</w:t>
            </w:r>
            <w:r w:rsidR="00B201A1">
              <w:rPr>
                <w:rFonts w:asciiTheme="minorHAnsi" w:hAnsiTheme="minorHAnsi" w:cstheme="minorHAnsi"/>
              </w:rPr>
              <w:t xml:space="preserve"> in the same market</w:t>
            </w:r>
            <w:r w:rsidRPr="00A41E9E">
              <w:rPr>
                <w:rFonts w:asciiTheme="minorHAnsi" w:hAnsiTheme="minorHAnsi" w:cstheme="minorHAnsi"/>
              </w:rPr>
              <w:t xml:space="preserve"> by large financial investors.</w:t>
            </w:r>
            <w:r w:rsidR="00B201A1">
              <w:rPr>
                <w:rFonts w:asciiTheme="minorHAnsi" w:hAnsiTheme="minorHAnsi" w:cstheme="minorHAnsi"/>
              </w:rPr>
              <w:t xml:space="preserve"> The modified HHI (MHHI) is a metric that estimates the potential effect of common ownership. </w:t>
            </w:r>
            <w:r w:rsidR="00B201A1" w:rsidRPr="0067666C">
              <w:rPr>
                <w:rFonts w:asciiTheme="minorHAnsi" w:hAnsiTheme="minorHAnsi" w:cstheme="minorHAnsi"/>
              </w:rPr>
              <w:t xml:space="preserve">The steps required to calculate the MHHI delta are detailed elsewhere </w:t>
            </w:r>
            <w:r w:rsidR="00B201A1" w:rsidRPr="0067666C">
              <w:rPr>
                <w:rFonts w:asciiTheme="minorHAnsi" w:hAnsiTheme="minorHAnsi" w:cstheme="minorHAnsi"/>
              </w:rPr>
              <w:fldChar w:fldCharType="begin"/>
            </w:r>
            <w:r w:rsidR="004E2260">
              <w:rPr>
                <w:rFonts w:asciiTheme="minorHAnsi" w:hAnsiTheme="minorHAnsi" w:cstheme="minorHAnsi"/>
              </w:rPr>
              <w:instrText xml:space="preserve"> ADDIN EN.CITE &lt;EndNote&gt;&lt;Cite&gt;&lt;Author&gt;Lambert&lt;/Author&gt;&lt;Year&gt;2019&lt;/Year&gt;&lt;RecNum&gt;1030&lt;/RecNum&gt;&lt;DisplayText&gt;[3]&lt;/DisplayText&gt;&lt;record&gt;&lt;rec-number&gt;1030&lt;/rec-number&gt;&lt;foreign-keys&gt;&lt;key app="EN" db-id="asd9reav6erp0bedwsup2et8pdtzpzdxpxzx" timestamp="1601653924"&gt;1030&lt;/key&gt;&lt;/foreign-keys&gt;&lt;ref-type name="Journal Article"&gt;17&lt;/ref-type&gt;&lt;contributors&gt;&lt;authors&gt;&lt;author&gt;Lambert, Thomas A.&lt;/author&gt;&lt;author&gt;Sykuta, Michael E.&lt;/author&gt;&lt;/authors&gt;&lt;/contributors&gt;&lt;titles&gt;&lt;title&gt;The Case for Doing Nothin About Institutional Investors’ Common Ownership of Small Stakes in Competing Firms&lt;/title&gt;&lt;secondary-title&gt;Virginia Law and Business Review&lt;/secondary-title&gt;&lt;/titles&gt;&lt;periodical&gt;&lt;full-title&gt;Virginia Law and Business Review&lt;/full-title&gt;&lt;/periodical&gt;&lt;volume&gt;13&lt;/volume&gt;&lt;dates&gt;&lt;year&gt;2019&lt;/year&gt;&lt;/dates&gt;&lt;urls&gt;&lt;/urls&gt;&lt;/record&gt;&lt;/Cite&gt;&lt;/EndNote&gt;</w:instrText>
            </w:r>
            <w:r w:rsidR="00B201A1" w:rsidRPr="0067666C">
              <w:rPr>
                <w:rFonts w:asciiTheme="minorHAnsi" w:hAnsiTheme="minorHAnsi" w:cstheme="minorHAnsi"/>
              </w:rPr>
              <w:fldChar w:fldCharType="separate"/>
            </w:r>
            <w:r w:rsidR="004E2260">
              <w:rPr>
                <w:rFonts w:asciiTheme="minorHAnsi" w:hAnsiTheme="minorHAnsi" w:cstheme="minorHAnsi"/>
                <w:noProof/>
              </w:rPr>
              <w:t>[3]</w:t>
            </w:r>
            <w:r w:rsidR="00B201A1" w:rsidRPr="0067666C">
              <w:rPr>
                <w:rFonts w:asciiTheme="minorHAnsi" w:hAnsiTheme="minorHAnsi" w:cstheme="minorHAnsi"/>
              </w:rPr>
              <w:fldChar w:fldCharType="end"/>
            </w:r>
            <w:r w:rsidR="00B201A1" w:rsidRPr="0067666C">
              <w:rPr>
                <w:rFonts w:asciiTheme="minorHAnsi" w:hAnsiTheme="minorHAnsi" w:cstheme="minorHAnsi"/>
              </w:rPr>
              <w:t>.</w:t>
            </w:r>
            <w:r w:rsidR="00B201A1">
              <w:rPr>
                <w:rFonts w:asciiTheme="minorHAnsi" w:hAnsiTheme="minorHAnsi" w:cstheme="minorHAnsi"/>
              </w:rPr>
              <w:t xml:space="preserve"> </w:t>
            </w:r>
          </w:p>
        </w:tc>
        <w:tc>
          <w:tcPr>
            <w:tcW w:w="3018" w:type="dxa"/>
          </w:tcPr>
          <w:p w14:paraId="6219F004" w14:textId="1C433CBE" w:rsidR="00067DBF" w:rsidRPr="00A41E9E" w:rsidRDefault="00B201A1" w:rsidP="00067DBF">
            <w:pPr>
              <w:spacing w:line="276" w:lineRule="auto"/>
              <w:rPr>
                <w:rFonts w:asciiTheme="minorHAnsi" w:hAnsiTheme="minorHAnsi" w:cstheme="minorHAnsi"/>
              </w:rPr>
            </w:pPr>
            <w:r>
              <w:rPr>
                <w:rFonts w:asciiTheme="minorHAnsi" w:hAnsiTheme="minorHAnsi" w:cstheme="minorHAnsi"/>
              </w:rPr>
              <w:t>C</w:t>
            </w:r>
            <w:r w:rsidR="00067DBF" w:rsidRPr="00A41E9E">
              <w:rPr>
                <w:rFonts w:asciiTheme="minorHAnsi" w:hAnsiTheme="minorHAnsi" w:cstheme="minorHAnsi"/>
              </w:rPr>
              <w:t>ommon shareholder ownership</w:t>
            </w:r>
            <w:r>
              <w:rPr>
                <w:rFonts w:asciiTheme="minorHAnsi" w:hAnsiTheme="minorHAnsi" w:cstheme="minorHAnsi"/>
              </w:rPr>
              <w:t xml:space="preserve"> can undermine</w:t>
            </w:r>
            <w:r w:rsidR="00067DBF" w:rsidRPr="00A41E9E">
              <w:rPr>
                <w:rFonts w:asciiTheme="minorHAnsi" w:hAnsiTheme="minorHAnsi" w:cstheme="minorHAnsi"/>
              </w:rPr>
              <w:t xml:space="preserve"> competition and is therefore an important market power dynamic </w:t>
            </w:r>
            <w:r w:rsidRPr="0067666C">
              <w:rPr>
                <w:rFonts w:asciiTheme="minorHAnsi" w:hAnsiTheme="minorHAnsi" w:cstheme="minorHAnsi"/>
              </w:rPr>
              <w:fldChar w:fldCharType="begin">
                <w:fldData xml:space="preserve">PEVuZE5vdGU+PENpdGU+PEF1dGhvcj5PRUNEPC9BdXRob3I+PFllYXI+MjAxNzwvWWVhcj48UmVj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</w:fldData>
              </w:fldChar>
            </w:r>
            <w:r w:rsidR="004E2260">
              <w:rPr>
                <w:rFonts w:asciiTheme="minorHAnsi" w:hAnsiTheme="minorHAnsi" w:cstheme="minorHAnsi"/>
              </w:rPr>
              <w:instrText xml:space="preserve"> ADDIN EN.CITE </w:instrText>
            </w:r>
            <w:r w:rsidR="004E2260">
              <w:rPr>
                <w:rFonts w:asciiTheme="minorHAnsi" w:hAnsiTheme="minorHAnsi" w:cstheme="minorHAnsi"/>
              </w:rPr>
              <w:fldChar w:fldCharType="begin">
                <w:fldData xml:space="preserve">PEVuZE5vdGU+PENpdGU+PEF1dGhvcj5PRUNEPC9BdXRob3I+PFllYXI+MjAxNzwvWWVhcj48UmVj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</w:fldData>
              </w:fldChar>
            </w:r>
            <w:r w:rsidR="004E2260">
              <w:rPr>
                <w:rFonts w:asciiTheme="minorHAnsi" w:hAnsiTheme="minorHAnsi" w:cstheme="minorHAnsi"/>
              </w:rPr>
              <w:instrText xml:space="preserve"> ADDIN EN.CITE.DATA </w:instrText>
            </w:r>
            <w:r w:rsidR="004E2260">
              <w:rPr>
                <w:rFonts w:asciiTheme="minorHAnsi" w:hAnsiTheme="minorHAnsi" w:cstheme="minorHAnsi"/>
              </w:rPr>
            </w:r>
            <w:r w:rsidR="004E2260">
              <w:rPr>
                <w:rFonts w:asciiTheme="minorHAnsi" w:hAnsiTheme="minorHAnsi" w:cstheme="minorHAnsi"/>
              </w:rPr>
              <w:fldChar w:fldCharType="end"/>
            </w:r>
            <w:r w:rsidRPr="0067666C">
              <w:rPr>
                <w:rFonts w:asciiTheme="minorHAnsi" w:hAnsiTheme="minorHAnsi" w:cstheme="minorHAnsi"/>
              </w:rPr>
            </w:r>
            <w:r w:rsidRPr="0067666C">
              <w:rPr>
                <w:rFonts w:asciiTheme="minorHAnsi" w:hAnsiTheme="minorHAnsi" w:cstheme="minorHAnsi"/>
              </w:rPr>
              <w:fldChar w:fldCharType="separate"/>
            </w:r>
            <w:r w:rsidR="004E2260">
              <w:rPr>
                <w:rFonts w:asciiTheme="minorHAnsi" w:hAnsiTheme="minorHAnsi" w:cstheme="minorHAnsi"/>
                <w:noProof/>
              </w:rPr>
              <w:t>[4-7]</w:t>
            </w:r>
            <w:r w:rsidRPr="0067666C">
              <w:rPr>
                <w:rFonts w:asciiTheme="minorHAnsi" w:hAnsiTheme="minorHAnsi" w:cstheme="minorHAnsi"/>
              </w:rPr>
              <w:fldChar w:fldCharType="end"/>
            </w:r>
            <w:r>
              <w:rPr>
                <w:rFonts w:asciiTheme="minorHAnsi" w:hAnsiTheme="minorHAnsi" w:cstheme="minorHAnsi"/>
              </w:rPr>
              <w:t>.</w:t>
            </w:r>
          </w:p>
        </w:tc>
      </w:tr>
      <w:tr w:rsidR="00067DBF" w:rsidRPr="00A41E9E" w14:paraId="529E5520" w14:textId="77777777" w:rsidTr="00067DBF">
        <w:tc>
          <w:tcPr>
            <w:tcW w:w="1694" w:type="dxa"/>
          </w:tcPr>
          <w:p w14:paraId="17CBE4DC" w14:textId="1C4FEECD"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Brand differentiation</w:t>
            </w:r>
            <w:r w:rsidR="00677816">
              <w:rPr>
                <w:rFonts w:asciiTheme="minorHAnsi" w:hAnsiTheme="minorHAnsi" w:cstheme="minorHAnsi"/>
              </w:rPr>
              <w:t xml:space="preserve"> and equity</w:t>
            </w:r>
            <w:r>
              <w:rPr>
                <w:rFonts w:asciiTheme="minorHAnsi" w:hAnsiTheme="minorHAnsi" w:cstheme="minorHAnsi"/>
              </w:rPr>
              <w:t xml:space="preserve"> </w:t>
            </w:r>
          </w:p>
        </w:tc>
        <w:tc>
          <w:tcPr>
            <w:tcW w:w="1662" w:type="dxa"/>
          </w:tcPr>
          <w:p w14:paraId="04177835" w14:textId="6AB16BD7"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Brand, marketing and advertising data</w:t>
            </w:r>
            <w:r>
              <w:rPr>
                <w:rFonts w:asciiTheme="minorHAnsi" w:hAnsiTheme="minorHAnsi" w:cstheme="minorHAnsi"/>
              </w:rPr>
              <w:t xml:space="preserve"> </w:t>
            </w:r>
          </w:p>
        </w:tc>
        <w:tc>
          <w:tcPr>
            <w:tcW w:w="3686" w:type="dxa"/>
          </w:tcPr>
          <w:p w14:paraId="136B4A25" w14:textId="371B1E3E"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Brand differentiation is a key component of product differentiation – the process of differentiating a product from competitors.</w:t>
            </w:r>
            <w:r>
              <w:rPr>
                <w:rFonts w:asciiTheme="minorHAnsi" w:hAnsiTheme="minorHAnsi" w:cstheme="minorHAnsi"/>
              </w:rPr>
              <w:t xml:space="preserve"> </w:t>
            </w:r>
            <w:r w:rsidRPr="00A41E9E">
              <w:rPr>
                <w:rFonts w:asciiTheme="minorHAnsi" w:hAnsiTheme="minorHAnsi" w:cstheme="minorHAnsi"/>
              </w:rPr>
              <w:t>Brand equity is the value premium that a firm generates from a brand when compared to a generic equivalent.</w:t>
            </w:r>
          </w:p>
        </w:tc>
        <w:tc>
          <w:tcPr>
            <w:tcW w:w="3018" w:type="dxa"/>
          </w:tcPr>
          <w:p w14:paraId="16082C76" w14:textId="25F5AFCF"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Brand differentiation</w:t>
            </w:r>
            <w:r w:rsidR="00677816">
              <w:rPr>
                <w:rFonts w:asciiTheme="minorHAnsi" w:hAnsiTheme="minorHAnsi" w:cstheme="minorHAnsi"/>
              </w:rPr>
              <w:t xml:space="preserve"> and equity</w:t>
            </w:r>
            <w:r w:rsidRPr="00A41E9E">
              <w:rPr>
                <w:rFonts w:asciiTheme="minorHAnsi" w:hAnsiTheme="minorHAnsi" w:cstheme="minorHAnsi"/>
              </w:rPr>
              <w:t xml:space="preserve"> </w:t>
            </w:r>
            <w:r w:rsidR="00677816">
              <w:rPr>
                <w:rFonts w:asciiTheme="minorHAnsi" w:hAnsiTheme="minorHAnsi" w:cstheme="minorHAnsi"/>
              </w:rPr>
              <w:t>are</w:t>
            </w:r>
            <w:r>
              <w:rPr>
                <w:rFonts w:asciiTheme="minorHAnsi" w:hAnsiTheme="minorHAnsi" w:cstheme="minorHAnsi"/>
              </w:rPr>
              <w:t xml:space="preserve"> important example</w:t>
            </w:r>
            <w:r w:rsidR="00677816">
              <w:rPr>
                <w:rFonts w:asciiTheme="minorHAnsi" w:hAnsiTheme="minorHAnsi" w:cstheme="minorHAnsi"/>
              </w:rPr>
              <w:t>s</w:t>
            </w:r>
            <w:r>
              <w:rPr>
                <w:rFonts w:asciiTheme="minorHAnsi" w:hAnsiTheme="minorHAnsi" w:cstheme="minorHAnsi"/>
              </w:rPr>
              <w:t xml:space="preserve"> of </w:t>
            </w:r>
            <w:r w:rsidRPr="00A41E9E">
              <w:rPr>
                <w:rFonts w:asciiTheme="minorHAnsi" w:hAnsiTheme="minorHAnsi" w:cstheme="minorHAnsi"/>
              </w:rPr>
              <w:t xml:space="preserve">barriers to </w:t>
            </w:r>
            <w:r>
              <w:rPr>
                <w:rFonts w:asciiTheme="minorHAnsi" w:hAnsiTheme="minorHAnsi" w:cstheme="minorHAnsi"/>
              </w:rPr>
              <w:t xml:space="preserve">market </w:t>
            </w:r>
            <w:r w:rsidRPr="00A41E9E">
              <w:rPr>
                <w:rFonts w:asciiTheme="minorHAnsi" w:hAnsiTheme="minorHAnsi" w:cstheme="minorHAnsi"/>
              </w:rPr>
              <w:t>entry</w:t>
            </w:r>
            <w:r>
              <w:rPr>
                <w:rFonts w:asciiTheme="minorHAnsi" w:hAnsiTheme="minorHAnsi" w:cstheme="minorHAnsi"/>
              </w:rPr>
              <w:t xml:space="preserve">, especially in UPF markets </w:t>
            </w:r>
            <w:r w:rsidRPr="00A41E9E">
              <w:rPr>
                <w:rFonts w:asciiTheme="minorHAnsi" w:hAnsiTheme="minorHAnsi" w:cstheme="minorHAnsi"/>
              </w:rPr>
              <w:fldChar w:fldCharType="begin"/>
            </w:r>
            <w:r w:rsidR="004E2260">
              <w:rPr>
                <w:rFonts w:asciiTheme="minorHAnsi" w:hAnsiTheme="minorHAnsi" w:cstheme="minorHAnsi"/>
              </w:rPr>
              <w:instrText xml:space="preserve"> ADDIN EN.CITE &lt;EndNote&gt;&lt;Cite&gt;&lt;Author&gt;Schmalensee&lt;/Author&gt;&lt;Year&gt;1989&lt;/Year&gt;&lt;RecNum&gt;404&lt;/RecNum&gt;&lt;DisplayText&gt;[8]&lt;/DisplayText&gt;&lt;record&gt;&lt;rec-number&gt;404&lt;/rec-number&gt;&lt;foreign-keys&gt;&lt;key app="EN" db-id="asd9reav6erp0bedwsup2et8pdtzpzdxpxzx" timestamp="1571038801" guid="98a1ed39-af72-4de7-80d5-383d16468a85"&gt;404&lt;/key&gt;&lt;/foreign-keys&gt;&lt;ref-type name="Book Section"&gt;5&lt;/ref-type&gt;&lt;contributors&gt;&lt;authors&gt;&lt;author&gt;Schmalensee, R.&lt;/author&gt;&lt;/authors&gt;&lt;secondary-authors&gt;&lt;author&gt;Schmalensee, R&lt;/author&gt;&lt;author&gt;Willig, R&lt;/author&gt;&lt;/secondary-authors&gt;&lt;/contributors&gt;&lt;titles&gt;&lt;title&gt;Inter-Industry Studies of Structure and Performance&lt;/title&gt;&lt;secondary-title&gt;Handbook of Industrial Organization&lt;/secondary-title&gt;&lt;/titles&gt;&lt;periodical&gt;&lt;full-title&gt;Handbook of Industrial Organization&lt;/full-title&gt;&lt;/periodical&gt;&lt;pages&gt;954&lt;/pages&gt;&lt;dates&gt;&lt;year&gt;1989&lt;/year&gt;&lt;/dates&gt;&lt;pub-location&gt;Amsterdam&lt;/pub-location&gt;&lt;publisher&gt;North-Holland&lt;/publisher&gt;&lt;urls&gt;&lt;/urls&gt;&lt;/record&gt;&lt;/Cite&gt;&lt;/EndNote&gt;</w:instrText>
            </w:r>
            <w:r w:rsidRPr="00A41E9E">
              <w:rPr>
                <w:rFonts w:asciiTheme="minorHAnsi" w:hAnsiTheme="minorHAnsi" w:cstheme="minorHAnsi"/>
              </w:rPr>
              <w:fldChar w:fldCharType="separate"/>
            </w:r>
            <w:r w:rsidR="004E2260">
              <w:rPr>
                <w:rFonts w:asciiTheme="minorHAnsi" w:hAnsiTheme="minorHAnsi" w:cstheme="minorHAnsi"/>
                <w:noProof/>
              </w:rPr>
              <w:t>[8]</w:t>
            </w:r>
            <w:r w:rsidRPr="00A41E9E">
              <w:rPr>
                <w:rFonts w:asciiTheme="minorHAnsi" w:hAnsiTheme="minorHAnsi" w:cstheme="minorHAnsi"/>
              </w:rPr>
              <w:fldChar w:fldCharType="end"/>
            </w:r>
            <w:r>
              <w:rPr>
                <w:rFonts w:asciiTheme="minorHAnsi" w:hAnsiTheme="minorHAnsi" w:cstheme="minorHAnsi"/>
              </w:rPr>
              <w:t>.</w:t>
            </w:r>
          </w:p>
        </w:tc>
      </w:tr>
      <w:tr w:rsidR="00067DBF" w:rsidRPr="00A41E9E" w14:paraId="1F00CBF9" w14:textId="77777777" w:rsidTr="00067DBF">
        <w:tc>
          <w:tcPr>
            <w:tcW w:w="1694" w:type="dxa"/>
          </w:tcPr>
          <w:p w14:paraId="53DB1AEC" w14:textId="5A88E681"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Other barriers to entry</w:t>
            </w:r>
          </w:p>
        </w:tc>
        <w:tc>
          <w:tcPr>
            <w:tcW w:w="1662" w:type="dxa"/>
          </w:tcPr>
          <w:p w14:paraId="17A4A6CE" w14:textId="50FFBF2D"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Data from market research databases</w:t>
            </w:r>
            <w:r>
              <w:rPr>
                <w:rFonts w:asciiTheme="minorHAnsi" w:hAnsiTheme="minorHAnsi" w:cstheme="minorHAnsi"/>
              </w:rPr>
              <w:t xml:space="preserve"> </w:t>
            </w:r>
          </w:p>
        </w:tc>
        <w:tc>
          <w:tcPr>
            <w:tcW w:w="3686" w:type="dxa"/>
          </w:tcPr>
          <w:p w14:paraId="229FE2DD" w14:textId="292D3422"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 xml:space="preserve">Narrative review of relevant market research reports revealed other key barriers to entry, such as: </w:t>
            </w:r>
            <w:proofErr w:type="spellStart"/>
            <w:r w:rsidRPr="00A41E9E">
              <w:rPr>
                <w:rFonts w:asciiTheme="minorHAnsi" w:hAnsiTheme="minorHAnsi" w:cstheme="minorHAnsi"/>
              </w:rPr>
              <w:t>i</w:t>
            </w:r>
            <w:proofErr w:type="spellEnd"/>
            <w:r w:rsidRPr="00A41E9E">
              <w:rPr>
                <w:rFonts w:asciiTheme="minorHAnsi" w:hAnsiTheme="minorHAnsi" w:cstheme="minorHAnsi"/>
              </w:rPr>
              <w:t xml:space="preserve">) </w:t>
            </w:r>
            <w:r>
              <w:rPr>
                <w:rFonts w:asciiTheme="minorHAnsi" w:hAnsiTheme="minorHAnsi" w:cstheme="minorHAnsi"/>
              </w:rPr>
              <w:t>h</w:t>
            </w:r>
            <w:r w:rsidRPr="00A41E9E">
              <w:rPr>
                <w:rFonts w:asciiTheme="minorHAnsi" w:hAnsiTheme="minorHAnsi" w:cstheme="minorHAnsi"/>
              </w:rPr>
              <w:t>igh capital intensity ratio (</w:t>
            </w:r>
            <w:r>
              <w:rPr>
                <w:rFonts w:asciiTheme="minorHAnsi" w:hAnsiTheme="minorHAnsi" w:cstheme="minorHAnsi"/>
              </w:rPr>
              <w:t>e.g.</w:t>
            </w:r>
            <w:r w:rsidRPr="00A41E9E">
              <w:rPr>
                <w:rFonts w:asciiTheme="minorHAnsi" w:hAnsiTheme="minorHAnsi" w:cstheme="minorHAnsi"/>
              </w:rPr>
              <w:t xml:space="preserve"> high cost of processing equipment, export licences); ii) </w:t>
            </w:r>
            <w:r>
              <w:rPr>
                <w:rFonts w:asciiTheme="minorHAnsi" w:hAnsiTheme="minorHAnsi" w:cstheme="minorHAnsi"/>
              </w:rPr>
              <w:t>r</w:t>
            </w:r>
            <w:r w:rsidRPr="00A41E9E">
              <w:rPr>
                <w:rFonts w:asciiTheme="minorHAnsi" w:hAnsiTheme="minorHAnsi" w:cstheme="minorHAnsi"/>
              </w:rPr>
              <w:t xml:space="preserve">eliance on economies of scale; iii) </w:t>
            </w:r>
            <w:r>
              <w:rPr>
                <w:rFonts w:asciiTheme="minorHAnsi" w:hAnsiTheme="minorHAnsi" w:cstheme="minorHAnsi"/>
              </w:rPr>
              <w:t>w</w:t>
            </w:r>
            <w:r w:rsidRPr="00A41E9E">
              <w:rPr>
                <w:rFonts w:asciiTheme="minorHAnsi" w:hAnsiTheme="minorHAnsi" w:cstheme="minorHAnsi"/>
              </w:rPr>
              <w:t>ell-</w:t>
            </w:r>
            <w:r w:rsidRPr="00A41E9E">
              <w:rPr>
                <w:rFonts w:asciiTheme="minorHAnsi" w:hAnsiTheme="minorHAnsi" w:cstheme="minorHAnsi"/>
              </w:rPr>
              <w:lastRenderedPageBreak/>
              <w:t xml:space="preserve">established relationships with </w:t>
            </w:r>
            <w:r w:rsidR="00000019">
              <w:rPr>
                <w:rFonts w:asciiTheme="minorHAnsi" w:hAnsiTheme="minorHAnsi" w:cstheme="minorHAnsi"/>
              </w:rPr>
              <w:t xml:space="preserve">suppliers, </w:t>
            </w:r>
            <w:r w:rsidRPr="00A41E9E">
              <w:rPr>
                <w:rFonts w:asciiTheme="minorHAnsi" w:hAnsiTheme="minorHAnsi" w:cstheme="minorHAnsi"/>
              </w:rPr>
              <w:t>distributors and retailers</w:t>
            </w:r>
          </w:p>
        </w:tc>
        <w:tc>
          <w:tcPr>
            <w:tcW w:w="3018" w:type="dxa"/>
          </w:tcPr>
          <w:p w14:paraId="6ACEEA56" w14:textId="42504098"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lastRenderedPageBreak/>
              <w:t>Other metrics can support a</w:t>
            </w:r>
            <w:r>
              <w:rPr>
                <w:rFonts w:asciiTheme="minorHAnsi" w:hAnsiTheme="minorHAnsi" w:cstheme="minorHAnsi"/>
              </w:rPr>
              <w:t xml:space="preserve"> broader </w:t>
            </w:r>
            <w:r w:rsidRPr="00A41E9E">
              <w:rPr>
                <w:rFonts w:asciiTheme="minorHAnsi" w:hAnsiTheme="minorHAnsi" w:cstheme="minorHAnsi"/>
              </w:rPr>
              <w:t>assessment of existing barriers to entry.</w:t>
            </w:r>
          </w:p>
        </w:tc>
      </w:tr>
      <w:tr w:rsidR="00067DBF" w:rsidRPr="00A41E9E" w14:paraId="407DBAFB" w14:textId="77777777" w:rsidTr="00067DBF">
        <w:tc>
          <w:tcPr>
            <w:tcW w:w="1694" w:type="dxa"/>
          </w:tcPr>
          <w:p w14:paraId="7A757F1A" w14:textId="04863073"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 xml:space="preserve">Vertical integration </w:t>
            </w:r>
          </w:p>
        </w:tc>
        <w:tc>
          <w:tcPr>
            <w:tcW w:w="1662" w:type="dxa"/>
          </w:tcPr>
          <w:p w14:paraId="0899EEE0" w14:textId="53EA4512"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M&amp;A transaction data</w:t>
            </w:r>
            <w:r>
              <w:rPr>
                <w:rFonts w:asciiTheme="minorHAnsi" w:hAnsiTheme="minorHAnsi" w:cstheme="minorHAnsi"/>
              </w:rPr>
              <w:t xml:space="preserve"> </w:t>
            </w:r>
          </w:p>
        </w:tc>
        <w:tc>
          <w:tcPr>
            <w:tcW w:w="3686" w:type="dxa"/>
          </w:tcPr>
          <w:p w14:paraId="146DC68B" w14:textId="18CDA1C3"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Vertical integration refers to the integration of firms from one functional level of the value chain into another</w:t>
            </w:r>
            <w:r w:rsidR="00000019">
              <w:rPr>
                <w:rFonts w:asciiTheme="minorHAnsi" w:hAnsiTheme="minorHAnsi" w:cstheme="minorHAnsi"/>
              </w:rPr>
              <w:t>.</w:t>
            </w:r>
            <w:r w:rsidRPr="00A41E9E">
              <w:rPr>
                <w:rFonts w:asciiTheme="minorHAnsi" w:hAnsiTheme="minorHAnsi" w:cstheme="minorHAnsi"/>
              </w:rPr>
              <w:t xml:space="preserve"> </w:t>
            </w:r>
          </w:p>
        </w:tc>
        <w:tc>
          <w:tcPr>
            <w:tcW w:w="3018" w:type="dxa"/>
          </w:tcPr>
          <w:p w14:paraId="52667AB1" w14:textId="6DD24846"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 xml:space="preserve">Vertical integration </w:t>
            </w:r>
            <w:r>
              <w:rPr>
                <w:rFonts w:asciiTheme="minorHAnsi" w:hAnsiTheme="minorHAnsi" w:cstheme="minorHAnsi"/>
              </w:rPr>
              <w:t>is an</w:t>
            </w:r>
            <w:r w:rsidRPr="00A41E9E">
              <w:rPr>
                <w:rFonts w:asciiTheme="minorHAnsi" w:hAnsiTheme="minorHAnsi" w:cstheme="minorHAnsi"/>
              </w:rPr>
              <w:t xml:space="preserve"> important metric to assess </w:t>
            </w:r>
            <w:r w:rsidR="00000019">
              <w:rPr>
                <w:rFonts w:asciiTheme="minorHAnsi" w:hAnsiTheme="minorHAnsi" w:cstheme="minorHAnsi"/>
              </w:rPr>
              <w:t>market</w:t>
            </w:r>
            <w:r w:rsidRPr="00A41E9E">
              <w:rPr>
                <w:rFonts w:asciiTheme="minorHAnsi" w:hAnsiTheme="minorHAnsi" w:cstheme="minorHAnsi"/>
              </w:rPr>
              <w:t xml:space="preserve"> structure and the dynamics between different sectors of the value chain.</w:t>
            </w:r>
          </w:p>
        </w:tc>
      </w:tr>
      <w:tr w:rsidR="00067DBF" w:rsidRPr="00A41E9E" w14:paraId="5D729B5C" w14:textId="77777777" w:rsidTr="00067DBF">
        <w:tc>
          <w:tcPr>
            <w:tcW w:w="1694" w:type="dxa"/>
          </w:tcPr>
          <w:p w14:paraId="327B117E" w14:textId="2AFD6E3E"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Import penetration</w:t>
            </w:r>
            <w:r>
              <w:rPr>
                <w:rFonts w:asciiTheme="minorHAnsi" w:hAnsiTheme="minorHAnsi" w:cstheme="minorHAnsi"/>
              </w:rPr>
              <w:t xml:space="preserve"> </w:t>
            </w:r>
          </w:p>
        </w:tc>
        <w:tc>
          <w:tcPr>
            <w:tcW w:w="1662" w:type="dxa"/>
          </w:tcPr>
          <w:p w14:paraId="365ACE3D" w14:textId="242D60E2"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National trade data</w:t>
            </w:r>
            <w:r>
              <w:rPr>
                <w:rFonts w:asciiTheme="minorHAnsi" w:hAnsiTheme="minorHAnsi" w:cstheme="minorHAnsi"/>
              </w:rPr>
              <w:t xml:space="preserve"> </w:t>
            </w:r>
          </w:p>
        </w:tc>
        <w:tc>
          <w:tcPr>
            <w:tcW w:w="3686" w:type="dxa"/>
          </w:tcPr>
          <w:p w14:paraId="54A6CE3B" w14:textId="77777777"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Import penetration is calculated as follows:</w:t>
            </w:r>
          </w:p>
          <w:p w14:paraId="1E427FA2" w14:textId="7C57F0C4"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 xml:space="preserve">Import value / (total – export + import) x 100 </w:t>
            </w:r>
            <w:r w:rsidRPr="00A41E9E">
              <w:rPr>
                <w:rFonts w:asciiTheme="minorHAnsi" w:hAnsiTheme="minorHAnsi" w:cstheme="minorHAnsi"/>
              </w:rPr>
              <w:fldChar w:fldCharType="begin"/>
            </w:r>
            <w:r w:rsidR="004E2260">
              <w:rPr>
                <w:rFonts w:asciiTheme="minorHAnsi" w:hAnsiTheme="minorHAnsi" w:cstheme="minorHAnsi"/>
              </w:rPr>
              <w:instrText xml:space="preserve"> ADDIN EN.CITE &lt;EndNote&gt;&lt;Cite&gt;&lt;Author&gt;OECD&lt;/Author&gt;&lt;Year&gt;2011&lt;/Year&gt;&lt;RecNum&gt;520&lt;/RecNum&gt;&lt;DisplayText&gt;[9]&lt;/DisplayText&gt;&lt;record&gt;&lt;rec-number&gt;520&lt;/rec-number&gt;&lt;foreign-keys&gt;&lt;key app="EN" db-id="asd9reav6erp0bedwsup2et8pdtzpzdxpxzx" timestamp="1571038801" guid="e22d4d7c-ccbe-48b3-8c25-eed82c929bc7"&gt;520&lt;/key&gt;&lt;/foreign-keys&gt;&lt;ref-type name="Report"&gt;27&lt;/ref-type&gt;&lt;contributors&gt;&lt;authors&gt;&lt;author&gt;OECD,&lt;/author&gt;&lt;/authors&gt;&lt;/contributors&gt;&lt;titles&gt;&lt;title&gt;STAN Indicators: Collection of Calculation Formula&lt;/title&gt;&lt;secondary-title&gt;OECD STI/EAS&lt;/secondary-title&gt;&lt;/titles&gt;&lt;dates&gt;&lt;year&gt;2011&lt;/year&gt;&lt;/dates&gt;&lt;publisher&gt;The Organisation for Economic Co-operation and Development&lt;/publisher&gt;&lt;urls&gt;&lt;/urls&gt;&lt;/record&gt;&lt;/Cite&gt;&lt;/EndNote&gt;</w:instrText>
            </w:r>
            <w:r w:rsidRPr="00A41E9E">
              <w:rPr>
                <w:rFonts w:asciiTheme="minorHAnsi" w:hAnsiTheme="minorHAnsi" w:cstheme="minorHAnsi"/>
              </w:rPr>
              <w:fldChar w:fldCharType="separate"/>
            </w:r>
            <w:r w:rsidR="004E2260">
              <w:rPr>
                <w:rFonts w:asciiTheme="minorHAnsi" w:hAnsiTheme="minorHAnsi" w:cstheme="minorHAnsi"/>
                <w:noProof/>
              </w:rPr>
              <w:t>[9]</w:t>
            </w:r>
            <w:r w:rsidRPr="00A41E9E">
              <w:rPr>
                <w:rFonts w:asciiTheme="minorHAnsi" w:hAnsiTheme="minorHAnsi" w:cstheme="minorHAnsi"/>
              </w:rPr>
              <w:fldChar w:fldCharType="end"/>
            </w:r>
          </w:p>
          <w:p w14:paraId="7827274A" w14:textId="77777777" w:rsidR="00067DBF" w:rsidRPr="00A41E9E" w:rsidRDefault="00067DBF" w:rsidP="00067DBF">
            <w:pPr>
              <w:spacing w:line="276" w:lineRule="auto"/>
              <w:rPr>
                <w:rFonts w:asciiTheme="minorHAnsi" w:hAnsiTheme="minorHAnsi" w:cstheme="minorHAnsi"/>
              </w:rPr>
            </w:pPr>
          </w:p>
        </w:tc>
        <w:tc>
          <w:tcPr>
            <w:tcW w:w="3018" w:type="dxa"/>
          </w:tcPr>
          <w:p w14:paraId="111B3FFE" w14:textId="77777777"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 xml:space="preserve">This is a proxy of competition from </w:t>
            </w:r>
            <w:r>
              <w:rPr>
                <w:rFonts w:asciiTheme="minorHAnsi" w:hAnsiTheme="minorHAnsi" w:cstheme="minorHAnsi"/>
              </w:rPr>
              <w:t>foreign</w:t>
            </w:r>
            <w:r w:rsidRPr="00A41E9E">
              <w:rPr>
                <w:rFonts w:asciiTheme="minorHAnsi" w:hAnsiTheme="minorHAnsi" w:cstheme="minorHAnsi"/>
              </w:rPr>
              <w:t xml:space="preserve"> markets, an important indicator of countervailing power.</w:t>
            </w:r>
          </w:p>
        </w:tc>
      </w:tr>
      <w:tr w:rsidR="00067DBF" w:rsidRPr="00A41E9E" w14:paraId="2CBD9AFA" w14:textId="77777777" w:rsidTr="00067DBF">
        <w:tc>
          <w:tcPr>
            <w:tcW w:w="1694" w:type="dxa"/>
          </w:tcPr>
          <w:p w14:paraId="10BEF915" w14:textId="726513A4"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Export share of revenue</w:t>
            </w:r>
          </w:p>
        </w:tc>
        <w:tc>
          <w:tcPr>
            <w:tcW w:w="1662" w:type="dxa"/>
          </w:tcPr>
          <w:p w14:paraId="09665A3F" w14:textId="7BEA8894"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National trade data</w:t>
            </w:r>
            <w:r>
              <w:rPr>
                <w:rFonts w:asciiTheme="minorHAnsi" w:hAnsiTheme="minorHAnsi" w:cstheme="minorHAnsi"/>
              </w:rPr>
              <w:t xml:space="preserve"> </w:t>
            </w:r>
          </w:p>
        </w:tc>
        <w:tc>
          <w:tcPr>
            <w:tcW w:w="3686" w:type="dxa"/>
          </w:tcPr>
          <w:p w14:paraId="36A0DE88" w14:textId="1210CC50"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 xml:space="preserve">Export revenue / total revenue x 100 </w:t>
            </w:r>
            <w:r w:rsidRPr="00A41E9E">
              <w:rPr>
                <w:rFonts w:asciiTheme="minorHAnsi" w:hAnsiTheme="minorHAnsi" w:cstheme="minorHAnsi"/>
              </w:rPr>
              <w:fldChar w:fldCharType="begin"/>
            </w:r>
            <w:r w:rsidR="004E2260">
              <w:rPr>
                <w:rFonts w:asciiTheme="minorHAnsi" w:hAnsiTheme="minorHAnsi" w:cstheme="minorHAnsi"/>
              </w:rPr>
              <w:instrText xml:space="preserve"> ADDIN EN.CITE &lt;EndNote&gt;&lt;Cite&gt;&lt;Author&gt;OECD&lt;/Author&gt;&lt;Year&gt;2011&lt;/Year&gt;&lt;RecNum&gt;520&lt;/RecNum&gt;&lt;DisplayText&gt;[9]&lt;/DisplayText&gt;&lt;record&gt;&lt;rec-number&gt;520&lt;/rec-number&gt;&lt;foreign-keys&gt;&lt;key app="EN" db-id="asd9reav6erp0bedwsup2et8pdtzpzdxpxzx" timestamp="1571038801" guid="e22d4d7c-ccbe-48b3-8c25-eed82c929bc7"&gt;520&lt;/key&gt;&lt;/foreign-keys&gt;&lt;ref-type name="Report"&gt;27&lt;/ref-type&gt;&lt;contributors&gt;&lt;authors&gt;&lt;author&gt;OECD,&lt;/author&gt;&lt;/authors&gt;&lt;/contributors&gt;&lt;titles&gt;&lt;title&gt;STAN Indicators: Collection of Calculation Formula&lt;/title&gt;&lt;secondary-title&gt;OECD STI/EAS&lt;/secondary-title&gt;&lt;/titles&gt;&lt;dates&gt;&lt;year&gt;2011&lt;/year&gt;&lt;/dates&gt;&lt;publisher&gt;The Organisation for Economic Co-operation and Development&lt;/publisher&gt;&lt;urls&gt;&lt;/urls&gt;&lt;/record&gt;&lt;/Cite&gt;&lt;/EndNote&gt;</w:instrText>
            </w:r>
            <w:r w:rsidRPr="00A41E9E">
              <w:rPr>
                <w:rFonts w:asciiTheme="minorHAnsi" w:hAnsiTheme="minorHAnsi" w:cstheme="minorHAnsi"/>
              </w:rPr>
              <w:fldChar w:fldCharType="separate"/>
            </w:r>
            <w:r w:rsidR="004E2260">
              <w:rPr>
                <w:rFonts w:asciiTheme="minorHAnsi" w:hAnsiTheme="minorHAnsi" w:cstheme="minorHAnsi"/>
                <w:noProof/>
              </w:rPr>
              <w:t>[9]</w:t>
            </w:r>
            <w:r w:rsidRPr="00A41E9E">
              <w:rPr>
                <w:rFonts w:asciiTheme="minorHAnsi" w:hAnsiTheme="minorHAnsi" w:cstheme="minorHAnsi"/>
              </w:rPr>
              <w:fldChar w:fldCharType="end"/>
            </w:r>
          </w:p>
        </w:tc>
        <w:tc>
          <w:tcPr>
            <w:tcW w:w="3018" w:type="dxa"/>
          </w:tcPr>
          <w:p w14:paraId="5485D15C" w14:textId="2A06B9FB" w:rsidR="00067DBF" w:rsidRPr="00A41E9E" w:rsidRDefault="00067DBF" w:rsidP="00067DBF">
            <w:pPr>
              <w:spacing w:line="276" w:lineRule="auto"/>
              <w:rPr>
                <w:rFonts w:asciiTheme="minorHAnsi" w:hAnsiTheme="minorHAnsi" w:cstheme="minorHAnsi"/>
              </w:rPr>
            </w:pPr>
            <w:r w:rsidRPr="00A41E9E">
              <w:rPr>
                <w:rFonts w:asciiTheme="minorHAnsi" w:hAnsiTheme="minorHAnsi" w:cstheme="minorHAnsi"/>
              </w:rPr>
              <w:t>Highlights the importance of foreign markets for a given industry</w:t>
            </w:r>
            <w:r>
              <w:rPr>
                <w:rFonts w:asciiTheme="minorHAnsi" w:hAnsiTheme="minorHAnsi" w:cstheme="minorHAnsi"/>
              </w:rPr>
              <w:t>.</w:t>
            </w:r>
          </w:p>
        </w:tc>
      </w:tr>
      <w:tr w:rsidR="00067DBF" w:rsidRPr="00A41E9E" w14:paraId="484DB3B0" w14:textId="77777777" w:rsidTr="00067DBF">
        <w:tc>
          <w:tcPr>
            <w:tcW w:w="1694" w:type="dxa"/>
          </w:tcPr>
          <w:p w14:paraId="7FBD4178" w14:textId="77777777" w:rsidR="00067DBF" w:rsidRPr="00B95AB2" w:rsidRDefault="00067DBF" w:rsidP="00067DBF">
            <w:pPr>
              <w:spacing w:line="276" w:lineRule="auto"/>
              <w:rPr>
                <w:rFonts w:asciiTheme="minorHAnsi" w:hAnsiTheme="minorHAnsi" w:cstheme="minorHAnsi"/>
              </w:rPr>
            </w:pPr>
            <w:r w:rsidRPr="00945733">
              <w:rPr>
                <w:rFonts w:asciiTheme="minorHAnsi" w:hAnsiTheme="minorHAnsi" w:cstheme="minorHAnsi"/>
              </w:rPr>
              <w:t>Degree of transnational production</w:t>
            </w:r>
          </w:p>
        </w:tc>
        <w:tc>
          <w:tcPr>
            <w:tcW w:w="1662" w:type="dxa"/>
          </w:tcPr>
          <w:p w14:paraId="1A8593B4" w14:textId="19117C51" w:rsidR="00067DBF" w:rsidRPr="00024FB1" w:rsidRDefault="00067DBF" w:rsidP="00067DBF">
            <w:pPr>
              <w:spacing w:line="276" w:lineRule="auto"/>
              <w:rPr>
                <w:rFonts w:asciiTheme="minorHAnsi" w:hAnsiTheme="minorHAnsi" w:cstheme="minorHAnsi"/>
              </w:rPr>
            </w:pPr>
            <w:r w:rsidRPr="00024FB1">
              <w:rPr>
                <w:rFonts w:asciiTheme="minorHAnsi" w:hAnsiTheme="minorHAnsi" w:cstheme="minorHAnsi"/>
              </w:rPr>
              <w:t xml:space="preserve">Corporate structure data, sales </w:t>
            </w:r>
            <w:r w:rsidR="00B201A1">
              <w:rPr>
                <w:rFonts w:asciiTheme="minorHAnsi" w:hAnsiTheme="minorHAnsi" w:cstheme="minorHAnsi"/>
              </w:rPr>
              <w:t xml:space="preserve">and employment </w:t>
            </w:r>
            <w:r w:rsidRPr="00024FB1">
              <w:rPr>
                <w:rFonts w:asciiTheme="minorHAnsi" w:hAnsiTheme="minorHAnsi" w:cstheme="minorHAnsi"/>
              </w:rPr>
              <w:t>data in active countries</w:t>
            </w:r>
          </w:p>
        </w:tc>
        <w:tc>
          <w:tcPr>
            <w:tcW w:w="3686" w:type="dxa"/>
          </w:tcPr>
          <w:p w14:paraId="118024A7" w14:textId="19D3D2B7" w:rsidR="00067DBF" w:rsidRPr="00367439" w:rsidRDefault="00067DBF" w:rsidP="00067DBF">
            <w:pPr>
              <w:pStyle w:val="ListParagraph"/>
              <w:spacing w:line="276" w:lineRule="auto"/>
              <w:ind w:left="0"/>
              <w:rPr>
                <w:rFonts w:asciiTheme="minorHAnsi" w:hAnsiTheme="minorHAnsi" w:cstheme="minorHAnsi"/>
              </w:rPr>
            </w:pPr>
            <w:r w:rsidRPr="00367439">
              <w:rPr>
                <w:rFonts w:asciiTheme="minorHAnsi" w:hAnsiTheme="minorHAnsi" w:cstheme="minorHAnsi"/>
              </w:rPr>
              <w:t>This indicator looks at the countries</w:t>
            </w:r>
            <w:r w:rsidR="00677816">
              <w:rPr>
                <w:rFonts w:asciiTheme="minorHAnsi" w:hAnsiTheme="minorHAnsi" w:cstheme="minorHAnsi"/>
              </w:rPr>
              <w:t xml:space="preserve"> (and their tax frameworks)</w:t>
            </w:r>
            <w:r w:rsidRPr="00367439">
              <w:rPr>
                <w:rFonts w:asciiTheme="minorHAnsi" w:hAnsiTheme="minorHAnsi" w:cstheme="minorHAnsi"/>
              </w:rPr>
              <w:t xml:space="preserve"> in which the companies controlled by the firm in question are based, as well as operating revenues </w:t>
            </w:r>
            <w:r w:rsidR="00677816">
              <w:rPr>
                <w:rFonts w:asciiTheme="minorHAnsi" w:hAnsiTheme="minorHAnsi" w:cstheme="minorHAnsi"/>
              </w:rPr>
              <w:t xml:space="preserve">and employment </w:t>
            </w:r>
            <w:r w:rsidRPr="00367439">
              <w:rPr>
                <w:rFonts w:asciiTheme="minorHAnsi" w:hAnsiTheme="minorHAnsi" w:cstheme="minorHAnsi"/>
              </w:rPr>
              <w:t>in different geographic markets.</w:t>
            </w:r>
          </w:p>
        </w:tc>
        <w:tc>
          <w:tcPr>
            <w:tcW w:w="3018" w:type="dxa"/>
          </w:tcPr>
          <w:p w14:paraId="7C0AE059" w14:textId="13AE2F98" w:rsidR="00067DBF" w:rsidRPr="00367439" w:rsidRDefault="00067DBF" w:rsidP="00067DBF">
            <w:pPr>
              <w:spacing w:line="276" w:lineRule="auto"/>
              <w:rPr>
                <w:rFonts w:asciiTheme="minorHAnsi" w:hAnsiTheme="minorHAnsi" w:cstheme="minorHAnsi"/>
              </w:rPr>
            </w:pPr>
            <w:r w:rsidRPr="00367439">
              <w:rPr>
                <w:rFonts w:asciiTheme="minorHAnsi" w:hAnsiTheme="minorHAnsi" w:cstheme="minorHAnsi"/>
              </w:rPr>
              <w:t xml:space="preserve">Explores the </w:t>
            </w:r>
            <w:r w:rsidR="00B201A1">
              <w:rPr>
                <w:rFonts w:asciiTheme="minorHAnsi" w:hAnsiTheme="minorHAnsi" w:cstheme="minorHAnsi"/>
              </w:rPr>
              <w:t xml:space="preserve">globalisation of a firm from a production </w:t>
            </w:r>
            <w:proofErr w:type="gramStart"/>
            <w:r w:rsidR="00B201A1">
              <w:rPr>
                <w:rFonts w:asciiTheme="minorHAnsi" w:hAnsiTheme="minorHAnsi" w:cstheme="minorHAnsi"/>
              </w:rPr>
              <w:t>perspective, and</w:t>
            </w:r>
            <w:proofErr w:type="gramEnd"/>
            <w:r w:rsidR="00B201A1">
              <w:rPr>
                <w:rFonts w:asciiTheme="minorHAnsi" w:hAnsiTheme="minorHAnsi" w:cstheme="minorHAnsi"/>
              </w:rPr>
              <w:t xml:space="preserve"> can assist in exploring firm conduct such as tax minimisation, as well as a firm’s structural power vis-à-vis</w:t>
            </w:r>
            <w:r w:rsidR="00677816">
              <w:rPr>
                <w:rFonts w:asciiTheme="minorHAnsi" w:hAnsiTheme="minorHAnsi" w:cstheme="minorHAnsi"/>
              </w:rPr>
              <w:t xml:space="preserve"> </w:t>
            </w:r>
            <w:r w:rsidR="00B201A1">
              <w:rPr>
                <w:rFonts w:asciiTheme="minorHAnsi" w:hAnsiTheme="minorHAnsi" w:cstheme="minorHAnsi"/>
              </w:rPr>
              <w:t>governments</w:t>
            </w:r>
            <w:r w:rsidR="004E2260">
              <w:rPr>
                <w:rFonts w:asciiTheme="minorHAnsi" w:hAnsiTheme="minorHAnsi" w:cstheme="minorHAnsi"/>
              </w:rPr>
              <w:t>.</w:t>
            </w:r>
          </w:p>
        </w:tc>
      </w:tr>
    </w:tbl>
    <w:p w14:paraId="127C1FFE" w14:textId="0B27E104" w:rsidR="00067DBF" w:rsidRDefault="00067DBF" w:rsidP="00067DBF">
      <w:pPr>
        <w:spacing w:line="276" w:lineRule="auto"/>
        <w:rPr>
          <w:rFonts w:asciiTheme="minorHAnsi" w:hAnsiTheme="minorHAnsi" w:cstheme="minorHAnsi"/>
        </w:rPr>
      </w:pPr>
    </w:p>
    <w:tbl>
      <w:tblPr>
        <w:tblStyle w:val="TableGrid"/>
        <w:tblW w:w="10060" w:type="dxa"/>
        <w:tblLook w:val="04A0" w:firstRow="1" w:lastRow="0" w:firstColumn="1" w:lastColumn="0" w:noHBand="0" w:noVBand="1"/>
      </w:tblPr>
      <w:tblGrid>
        <w:gridCol w:w="1653"/>
        <w:gridCol w:w="1565"/>
        <w:gridCol w:w="3440"/>
        <w:gridCol w:w="3402"/>
      </w:tblGrid>
      <w:tr w:rsidR="00B201A1" w:rsidRPr="00A41E9E" w14:paraId="45390FE9" w14:textId="77777777" w:rsidTr="004A748C">
        <w:tc>
          <w:tcPr>
            <w:tcW w:w="10060" w:type="dxa"/>
            <w:gridSpan w:val="4"/>
            <w:shd w:val="clear" w:color="auto" w:fill="D9D9D9" w:themeFill="background1" w:themeFillShade="D9"/>
          </w:tcPr>
          <w:p w14:paraId="7A6664E1" w14:textId="5CCFD1C6" w:rsidR="00B201A1" w:rsidRPr="00A41E9E" w:rsidRDefault="004E2260" w:rsidP="004A748C">
            <w:pPr>
              <w:spacing w:line="276" w:lineRule="auto"/>
              <w:rPr>
                <w:rFonts w:asciiTheme="minorHAnsi" w:hAnsiTheme="minorHAnsi" w:cstheme="minorHAnsi"/>
                <w:i/>
                <w:iCs/>
              </w:rPr>
            </w:pPr>
            <w:r>
              <w:rPr>
                <w:rFonts w:asciiTheme="minorHAnsi" w:hAnsiTheme="minorHAnsi" w:cstheme="minorHAnsi"/>
                <w:i/>
                <w:iCs/>
              </w:rPr>
              <w:t>Important examples of</w:t>
            </w:r>
            <w:r w:rsidR="00B201A1">
              <w:rPr>
                <w:rFonts w:asciiTheme="minorHAnsi" w:hAnsiTheme="minorHAnsi" w:cstheme="minorHAnsi"/>
                <w:i/>
                <w:iCs/>
              </w:rPr>
              <w:t xml:space="preserve"> </w:t>
            </w:r>
            <w:r>
              <w:rPr>
                <w:rFonts w:asciiTheme="minorHAnsi" w:hAnsiTheme="minorHAnsi" w:cstheme="minorHAnsi"/>
                <w:i/>
                <w:iCs/>
              </w:rPr>
              <w:t xml:space="preserve">metrics for </w:t>
            </w:r>
            <w:r w:rsidR="00795036">
              <w:rPr>
                <w:rFonts w:asciiTheme="minorHAnsi" w:hAnsiTheme="minorHAnsi" w:cstheme="minorHAnsi"/>
                <w:i/>
                <w:iCs/>
              </w:rPr>
              <w:t>firm</w:t>
            </w:r>
            <w:r>
              <w:rPr>
                <w:rFonts w:asciiTheme="minorHAnsi" w:hAnsiTheme="minorHAnsi" w:cstheme="minorHAnsi"/>
                <w:i/>
                <w:iCs/>
              </w:rPr>
              <w:t xml:space="preserve"> p</w:t>
            </w:r>
            <w:r w:rsidR="00B201A1">
              <w:rPr>
                <w:rFonts w:asciiTheme="minorHAnsi" w:hAnsiTheme="minorHAnsi" w:cstheme="minorHAnsi"/>
                <w:i/>
                <w:iCs/>
              </w:rPr>
              <w:t xml:space="preserve">erformance </w:t>
            </w:r>
            <w:r>
              <w:rPr>
                <w:rFonts w:asciiTheme="minorHAnsi" w:hAnsiTheme="minorHAnsi" w:cstheme="minorHAnsi"/>
                <w:i/>
                <w:iCs/>
              </w:rPr>
              <w:t>a</w:t>
            </w:r>
            <w:r w:rsidR="00B201A1">
              <w:rPr>
                <w:rFonts w:asciiTheme="minorHAnsi" w:hAnsiTheme="minorHAnsi" w:cstheme="minorHAnsi"/>
                <w:i/>
                <w:iCs/>
              </w:rPr>
              <w:t>nalysis</w:t>
            </w:r>
          </w:p>
        </w:tc>
      </w:tr>
      <w:tr w:rsidR="00067DBF" w:rsidRPr="00A41E9E" w14:paraId="208C8FD3" w14:textId="77777777" w:rsidTr="004E2260">
        <w:tc>
          <w:tcPr>
            <w:tcW w:w="1653" w:type="dxa"/>
          </w:tcPr>
          <w:p w14:paraId="3EE40E8B" w14:textId="77777777" w:rsidR="00067DBF" w:rsidRPr="00A41E9E" w:rsidRDefault="00067DBF" w:rsidP="004A748C">
            <w:pPr>
              <w:spacing w:line="276" w:lineRule="auto"/>
              <w:rPr>
                <w:rFonts w:asciiTheme="minorHAnsi" w:hAnsiTheme="minorHAnsi" w:cstheme="minorHAnsi"/>
              </w:rPr>
            </w:pPr>
            <w:r w:rsidRPr="00A41E9E">
              <w:rPr>
                <w:rFonts w:asciiTheme="minorHAnsi" w:hAnsiTheme="minorHAnsi" w:cstheme="minorHAnsi"/>
                <w:b/>
                <w:bCs/>
              </w:rPr>
              <w:t>Indicator</w:t>
            </w:r>
          </w:p>
        </w:tc>
        <w:tc>
          <w:tcPr>
            <w:tcW w:w="1565" w:type="dxa"/>
          </w:tcPr>
          <w:p w14:paraId="4E0EB7F9" w14:textId="77777777" w:rsidR="00067DBF" w:rsidRPr="00A41E9E" w:rsidRDefault="00067DBF" w:rsidP="004A748C">
            <w:pPr>
              <w:spacing w:line="276" w:lineRule="auto"/>
              <w:rPr>
                <w:rFonts w:asciiTheme="minorHAnsi" w:hAnsiTheme="minorHAnsi" w:cstheme="minorHAnsi"/>
              </w:rPr>
            </w:pPr>
            <w:r w:rsidRPr="00A41E9E">
              <w:rPr>
                <w:rFonts w:asciiTheme="minorHAnsi" w:hAnsiTheme="minorHAnsi" w:cstheme="minorHAnsi"/>
                <w:b/>
                <w:bCs/>
              </w:rPr>
              <w:t>Data source</w:t>
            </w:r>
          </w:p>
        </w:tc>
        <w:tc>
          <w:tcPr>
            <w:tcW w:w="3440" w:type="dxa"/>
          </w:tcPr>
          <w:p w14:paraId="25B49E41" w14:textId="77777777" w:rsidR="00067DBF" w:rsidRPr="00A41E9E" w:rsidRDefault="00067DBF" w:rsidP="004A748C">
            <w:pPr>
              <w:pStyle w:val="ListParagraph"/>
              <w:spacing w:line="276" w:lineRule="auto"/>
              <w:ind w:left="0"/>
              <w:rPr>
                <w:rFonts w:asciiTheme="minorHAnsi" w:hAnsiTheme="minorHAnsi" w:cstheme="minorHAnsi"/>
              </w:rPr>
            </w:pPr>
            <w:r w:rsidRPr="00A41E9E">
              <w:rPr>
                <w:rFonts w:asciiTheme="minorHAnsi" w:hAnsiTheme="minorHAnsi" w:cstheme="minorHAnsi"/>
                <w:b/>
                <w:bCs/>
              </w:rPr>
              <w:t>Description</w:t>
            </w:r>
          </w:p>
        </w:tc>
        <w:tc>
          <w:tcPr>
            <w:tcW w:w="3402" w:type="dxa"/>
          </w:tcPr>
          <w:p w14:paraId="1D27F271" w14:textId="77777777" w:rsidR="00067DBF" w:rsidRPr="00A41E9E" w:rsidRDefault="00067DBF" w:rsidP="004A748C">
            <w:pPr>
              <w:spacing w:line="276" w:lineRule="auto"/>
              <w:rPr>
                <w:rFonts w:asciiTheme="minorHAnsi" w:hAnsiTheme="minorHAnsi" w:cstheme="minorHAnsi"/>
              </w:rPr>
            </w:pPr>
            <w:r w:rsidRPr="00A41E9E">
              <w:rPr>
                <w:rFonts w:asciiTheme="minorHAnsi" w:hAnsiTheme="minorHAnsi" w:cstheme="minorHAnsi"/>
                <w:b/>
                <w:bCs/>
              </w:rPr>
              <w:t>Rationale</w:t>
            </w:r>
          </w:p>
        </w:tc>
      </w:tr>
      <w:tr w:rsidR="00B201A1" w:rsidRPr="00A41E9E" w14:paraId="7302B1F1" w14:textId="77777777" w:rsidTr="004E2260">
        <w:tc>
          <w:tcPr>
            <w:tcW w:w="1653" w:type="dxa"/>
          </w:tcPr>
          <w:p w14:paraId="4B766306" w14:textId="6A4BC08F" w:rsidR="00B201A1" w:rsidRPr="00A41E9E" w:rsidRDefault="00B201A1" w:rsidP="00B201A1">
            <w:pPr>
              <w:spacing w:line="276" w:lineRule="auto"/>
              <w:rPr>
                <w:rFonts w:asciiTheme="minorHAnsi" w:hAnsiTheme="minorHAnsi" w:cstheme="minorHAnsi"/>
              </w:rPr>
            </w:pPr>
            <w:r>
              <w:rPr>
                <w:rFonts w:asciiTheme="minorHAnsi" w:hAnsiTheme="minorHAnsi" w:cstheme="minorHAnsi"/>
              </w:rPr>
              <w:t>M</w:t>
            </w:r>
            <w:r w:rsidRPr="00A41E9E">
              <w:rPr>
                <w:rFonts w:asciiTheme="minorHAnsi" w:hAnsiTheme="minorHAnsi" w:cstheme="minorHAnsi"/>
              </w:rPr>
              <w:t>arket capitalisation</w:t>
            </w:r>
          </w:p>
        </w:tc>
        <w:tc>
          <w:tcPr>
            <w:tcW w:w="1565" w:type="dxa"/>
          </w:tcPr>
          <w:p w14:paraId="17C1C110" w14:textId="4841E886" w:rsidR="00B201A1" w:rsidRPr="00A41E9E" w:rsidRDefault="00B201A1" w:rsidP="00B201A1">
            <w:pPr>
              <w:spacing w:line="276" w:lineRule="auto"/>
              <w:rPr>
                <w:rFonts w:asciiTheme="minorHAnsi" w:hAnsiTheme="minorHAnsi" w:cstheme="minorHAnsi"/>
              </w:rPr>
            </w:pPr>
            <w:r w:rsidRPr="00A41E9E">
              <w:rPr>
                <w:rFonts w:asciiTheme="minorHAnsi" w:hAnsiTheme="minorHAnsi" w:cstheme="minorHAnsi"/>
              </w:rPr>
              <w:t xml:space="preserve">National stock exchange websites, </w:t>
            </w:r>
            <w:r>
              <w:rPr>
                <w:rFonts w:asciiTheme="minorHAnsi" w:hAnsiTheme="minorHAnsi" w:cstheme="minorHAnsi"/>
              </w:rPr>
              <w:t>c</w:t>
            </w:r>
            <w:r w:rsidRPr="00A41E9E">
              <w:rPr>
                <w:rFonts w:asciiTheme="minorHAnsi" w:hAnsiTheme="minorHAnsi" w:cstheme="minorHAnsi"/>
              </w:rPr>
              <w:t>ompany fundamentals data</w:t>
            </w:r>
            <w:r>
              <w:rPr>
                <w:rFonts w:asciiTheme="minorHAnsi" w:hAnsiTheme="minorHAnsi" w:cstheme="minorHAnsi"/>
              </w:rPr>
              <w:t xml:space="preserve"> (e.g. company financial statements)</w:t>
            </w:r>
          </w:p>
        </w:tc>
        <w:tc>
          <w:tcPr>
            <w:tcW w:w="3440" w:type="dxa"/>
          </w:tcPr>
          <w:p w14:paraId="7F183B28" w14:textId="558F1CB2" w:rsidR="00B201A1" w:rsidRPr="00A41E9E" w:rsidRDefault="00B201A1" w:rsidP="00B201A1">
            <w:pPr>
              <w:pStyle w:val="ListParagraph"/>
              <w:spacing w:line="276" w:lineRule="auto"/>
              <w:ind w:left="0"/>
              <w:rPr>
                <w:rFonts w:asciiTheme="minorHAnsi" w:hAnsiTheme="minorHAnsi" w:cstheme="minorHAnsi"/>
              </w:rPr>
            </w:pPr>
            <w:r w:rsidRPr="00A41E9E">
              <w:rPr>
                <w:rFonts w:asciiTheme="minorHAnsi" w:hAnsiTheme="minorHAnsi" w:cstheme="minorHAnsi"/>
              </w:rPr>
              <w:t>Market capitalisation is</w:t>
            </w:r>
            <w:r>
              <w:rPr>
                <w:rFonts w:asciiTheme="minorHAnsi" w:hAnsiTheme="minorHAnsi" w:cstheme="minorHAnsi"/>
              </w:rPr>
              <w:t xml:space="preserve"> the number of shares outstanding multiplied by share price</w:t>
            </w:r>
            <w:r w:rsidRPr="00A41E9E">
              <w:rPr>
                <w:rFonts w:asciiTheme="minorHAnsi" w:hAnsiTheme="minorHAnsi" w:cstheme="minorHAnsi"/>
              </w:rPr>
              <w:t xml:space="preserve">. </w:t>
            </w:r>
            <w:r>
              <w:rPr>
                <w:rFonts w:asciiTheme="minorHAnsi" w:hAnsiTheme="minorHAnsi" w:cstheme="minorHAnsi"/>
              </w:rPr>
              <w:t>This c</w:t>
            </w:r>
            <w:r w:rsidRPr="00A41E9E">
              <w:rPr>
                <w:rFonts w:asciiTheme="minorHAnsi" w:hAnsiTheme="minorHAnsi" w:cstheme="minorHAnsi"/>
              </w:rPr>
              <w:t xml:space="preserve">an be calculated as a ratio relative to the average market capitalisation in the relevant industry or sector, or to the average of peer or comparator groups </w:t>
            </w:r>
            <w:r>
              <w:rPr>
                <w:rFonts w:asciiTheme="minorHAnsi" w:hAnsiTheme="minorHAnsi" w:cstheme="minorHAnsi"/>
              </w:rPr>
              <w:t xml:space="preserve">listed </w:t>
            </w:r>
            <w:r w:rsidRPr="00A41E9E">
              <w:rPr>
                <w:rFonts w:asciiTheme="minorHAnsi" w:hAnsiTheme="minorHAnsi" w:cstheme="minorHAnsi"/>
              </w:rPr>
              <w:t>on the same stock exchange.</w:t>
            </w:r>
          </w:p>
        </w:tc>
        <w:tc>
          <w:tcPr>
            <w:tcW w:w="3402" w:type="dxa"/>
          </w:tcPr>
          <w:p w14:paraId="5FA25E26" w14:textId="3FDE3692" w:rsidR="00B201A1" w:rsidRPr="00A41E9E" w:rsidRDefault="00B201A1" w:rsidP="00B201A1">
            <w:pPr>
              <w:spacing w:line="276" w:lineRule="auto"/>
              <w:rPr>
                <w:rFonts w:asciiTheme="minorHAnsi" w:hAnsiTheme="minorHAnsi" w:cstheme="minorHAnsi"/>
              </w:rPr>
            </w:pPr>
            <w:r w:rsidRPr="00A41E9E">
              <w:rPr>
                <w:rFonts w:asciiTheme="minorHAnsi" w:hAnsiTheme="minorHAnsi" w:cstheme="minorHAnsi"/>
              </w:rPr>
              <w:t>Can be understood as a ‘</w:t>
            </w:r>
            <w:r w:rsidRPr="00A41E9E">
              <w:rPr>
                <w:rFonts w:asciiTheme="minorHAnsi" w:hAnsiTheme="minorHAnsi" w:cstheme="minorHAnsi"/>
                <w:i/>
                <w:iCs/>
              </w:rPr>
              <w:t>symbolic ritual that converts and reduces qualitatively different power relationships into a singular quantity</w:t>
            </w:r>
            <w:r w:rsidRPr="00A41E9E">
              <w:rPr>
                <w:rFonts w:asciiTheme="minorHAnsi" w:hAnsiTheme="minorHAnsi" w:cstheme="minorHAnsi"/>
              </w:rPr>
              <w:t>’</w:t>
            </w:r>
            <w:r>
              <w:rPr>
                <w:rFonts w:asciiTheme="minorHAnsi" w:hAnsiTheme="minorHAnsi" w:cstheme="minorHAnsi"/>
              </w:rPr>
              <w:t>, as well as a measure of investor confidence – an important determinant of future investment</w:t>
            </w:r>
            <w:r w:rsidRPr="00A41E9E">
              <w:rPr>
                <w:rFonts w:asciiTheme="minorHAnsi" w:hAnsiTheme="minorHAnsi" w:cstheme="minorHAnsi"/>
              </w:rPr>
              <w:t xml:space="preserve"> </w:t>
            </w:r>
            <w:r w:rsidRPr="00A41E9E">
              <w:rPr>
                <w:rFonts w:asciiTheme="minorHAnsi" w:hAnsiTheme="minorHAnsi" w:cstheme="minorHAnsi"/>
              </w:rPr>
              <w:fldChar w:fldCharType="begin"/>
            </w:r>
            <w:r w:rsidR="004E2260">
              <w:rPr>
                <w:rFonts w:asciiTheme="minorHAnsi" w:hAnsiTheme="minorHAnsi" w:cstheme="minorHAnsi"/>
              </w:rPr>
              <w:instrText xml:space="preserve"> ADDIN EN.CITE &lt;EndNote&gt;&lt;Cite&gt;&lt;Author&gt;Nitzan&lt;/Author&gt;&lt;Year&gt;2009&lt;/Year&gt;&lt;RecNum&gt;559&lt;/RecNum&gt;&lt;DisplayText&gt;[10]&lt;/DisplayText&gt;&lt;record&gt;&lt;rec-number&gt;559&lt;/rec-number&gt;&lt;foreign-keys&gt;&lt;key app="EN" db-id="asd9reav6erp0bedwsup2et8pdtzpzdxpxzx" timestamp="1580809913"&gt;559&lt;/key&gt;&lt;/foreign-keys&gt;&lt;ref-type name="Book"&gt;6&lt;/ref-type&gt;&lt;contributors&gt;&lt;authors&gt;&lt;author&gt;Nitzan, Jonathan&lt;/author&gt;&lt;author&gt;Bichler, Shimshon&lt;/author&gt;&lt;/authors&gt;&lt;/contributors&gt;&lt;titles&gt;&lt;title&gt;Capital as Power: A Study of Order and Creorder&lt;/title&gt;&lt;secondary-title&gt;RIPE Series in Global Political Economy&lt;/secondary-title&gt;&lt;/titles&gt;&lt;dates&gt;&lt;year&gt;2009&lt;/year&gt;&lt;/dates&gt;&lt;publisher&gt;Routledge&lt;/publisher&gt;&lt;urls&gt;&lt;/urls&gt;&lt;/record&gt;&lt;/Cite&gt;&lt;/EndNote&gt;</w:instrText>
            </w:r>
            <w:r w:rsidRPr="00A41E9E">
              <w:rPr>
                <w:rFonts w:asciiTheme="minorHAnsi" w:hAnsiTheme="minorHAnsi" w:cstheme="minorHAnsi"/>
              </w:rPr>
              <w:fldChar w:fldCharType="separate"/>
            </w:r>
            <w:r w:rsidR="004E2260">
              <w:rPr>
                <w:rFonts w:asciiTheme="minorHAnsi" w:hAnsiTheme="minorHAnsi" w:cstheme="minorHAnsi"/>
                <w:noProof/>
              </w:rPr>
              <w:t>[10]</w:t>
            </w:r>
            <w:r w:rsidRPr="00A41E9E">
              <w:rPr>
                <w:rFonts w:asciiTheme="minorHAnsi" w:hAnsiTheme="minorHAnsi" w:cstheme="minorHAnsi"/>
              </w:rPr>
              <w:fldChar w:fldCharType="end"/>
            </w:r>
            <w:r>
              <w:rPr>
                <w:rFonts w:asciiTheme="minorHAnsi" w:hAnsiTheme="minorHAnsi" w:cstheme="minorHAnsi"/>
              </w:rPr>
              <w:t>.</w:t>
            </w:r>
          </w:p>
        </w:tc>
      </w:tr>
      <w:tr w:rsidR="00B201A1" w:rsidRPr="00A41E9E" w14:paraId="06CF82D5" w14:textId="77777777" w:rsidTr="004E2260">
        <w:tc>
          <w:tcPr>
            <w:tcW w:w="1653" w:type="dxa"/>
          </w:tcPr>
          <w:p w14:paraId="24DB4D6C" w14:textId="6ECC14E9" w:rsidR="00B201A1" w:rsidRDefault="00677816" w:rsidP="00B201A1">
            <w:pPr>
              <w:spacing w:line="276" w:lineRule="auto"/>
              <w:rPr>
                <w:rFonts w:asciiTheme="minorHAnsi" w:hAnsiTheme="minorHAnsi" w:cstheme="minorHAnsi"/>
              </w:rPr>
            </w:pPr>
            <w:r>
              <w:rPr>
                <w:rFonts w:asciiTheme="minorHAnsi" w:hAnsiTheme="minorHAnsi" w:cstheme="minorHAnsi"/>
              </w:rPr>
              <w:t>E</w:t>
            </w:r>
            <w:r w:rsidR="00B201A1" w:rsidRPr="00A41E9E">
              <w:rPr>
                <w:rFonts w:asciiTheme="minorHAnsi" w:hAnsiTheme="minorHAnsi" w:cstheme="minorHAnsi"/>
              </w:rPr>
              <w:t>arnings</w:t>
            </w:r>
          </w:p>
          <w:p w14:paraId="0C35DE43" w14:textId="77777777" w:rsidR="00B201A1" w:rsidRPr="00A41E9E" w:rsidRDefault="00B201A1" w:rsidP="00B201A1">
            <w:pPr>
              <w:spacing w:line="276" w:lineRule="auto"/>
              <w:rPr>
                <w:rFonts w:asciiTheme="minorHAnsi" w:hAnsiTheme="minorHAnsi" w:cstheme="minorHAnsi"/>
              </w:rPr>
            </w:pPr>
            <w:r>
              <w:rPr>
                <w:rFonts w:asciiTheme="minorHAnsi" w:hAnsiTheme="minorHAnsi" w:cstheme="minorHAnsi"/>
              </w:rPr>
              <w:t>(e.g.</w:t>
            </w:r>
            <w:r w:rsidRPr="00A41E9E">
              <w:rPr>
                <w:rFonts w:asciiTheme="minorHAnsi" w:hAnsiTheme="minorHAnsi" w:cstheme="minorHAnsi"/>
              </w:rPr>
              <w:t xml:space="preserve"> EBITDA)</w:t>
            </w:r>
          </w:p>
        </w:tc>
        <w:tc>
          <w:tcPr>
            <w:tcW w:w="1565" w:type="dxa"/>
          </w:tcPr>
          <w:p w14:paraId="099C6265" w14:textId="77777777" w:rsidR="00B201A1" w:rsidRPr="00A41E9E" w:rsidRDefault="00B201A1" w:rsidP="00B201A1">
            <w:pPr>
              <w:spacing w:line="276" w:lineRule="auto"/>
              <w:rPr>
                <w:rFonts w:asciiTheme="minorHAnsi" w:hAnsiTheme="minorHAnsi" w:cstheme="minorHAnsi"/>
              </w:rPr>
            </w:pPr>
            <w:r w:rsidRPr="00A41E9E">
              <w:rPr>
                <w:rFonts w:asciiTheme="minorHAnsi" w:hAnsiTheme="minorHAnsi" w:cstheme="minorHAnsi"/>
              </w:rPr>
              <w:t>Company fundamentals data</w:t>
            </w:r>
          </w:p>
        </w:tc>
        <w:tc>
          <w:tcPr>
            <w:tcW w:w="3440" w:type="dxa"/>
          </w:tcPr>
          <w:p w14:paraId="4F777D0E" w14:textId="04497608" w:rsidR="00B201A1" w:rsidRPr="00A41E9E" w:rsidRDefault="00B201A1" w:rsidP="00B201A1">
            <w:pPr>
              <w:pStyle w:val="ListParagraph"/>
              <w:spacing w:line="276" w:lineRule="auto"/>
              <w:ind w:left="0"/>
              <w:rPr>
                <w:rFonts w:asciiTheme="minorHAnsi" w:hAnsiTheme="minorHAnsi" w:cstheme="minorHAnsi"/>
              </w:rPr>
            </w:pPr>
            <w:r w:rsidRPr="00A41E9E">
              <w:rPr>
                <w:rFonts w:asciiTheme="minorHAnsi" w:hAnsiTheme="minorHAnsi" w:cstheme="minorHAnsi"/>
              </w:rPr>
              <w:t>EBITDA</w:t>
            </w:r>
            <w:r w:rsidR="00677816">
              <w:rPr>
                <w:rFonts w:asciiTheme="minorHAnsi" w:hAnsiTheme="minorHAnsi" w:cstheme="minorHAnsi"/>
              </w:rPr>
              <w:t xml:space="preserve"> (earnings before interest, tax, depreciation, and amortisation)</w:t>
            </w:r>
            <w:r w:rsidRPr="00A41E9E">
              <w:rPr>
                <w:rFonts w:asciiTheme="minorHAnsi" w:hAnsiTheme="minorHAnsi" w:cstheme="minorHAnsi"/>
              </w:rPr>
              <w:t xml:space="preserve"> is a measure of a firm’s financial performance that </w:t>
            </w:r>
            <w:r w:rsidR="00677816">
              <w:rPr>
                <w:rFonts w:asciiTheme="minorHAnsi" w:hAnsiTheme="minorHAnsi" w:cstheme="minorHAnsi"/>
              </w:rPr>
              <w:t xml:space="preserve">reflects earnings </w:t>
            </w:r>
            <w:r w:rsidRPr="00A41E9E">
              <w:rPr>
                <w:rFonts w:asciiTheme="minorHAnsi" w:hAnsiTheme="minorHAnsi" w:cstheme="minorHAnsi"/>
              </w:rPr>
              <w:t>prior to the influence of accounting or financial related deductions.</w:t>
            </w:r>
            <w:r>
              <w:rPr>
                <w:rFonts w:asciiTheme="minorHAnsi" w:hAnsiTheme="minorHAnsi" w:cstheme="minorHAnsi"/>
              </w:rPr>
              <w:t xml:space="preserve"> This c</w:t>
            </w:r>
            <w:r w:rsidRPr="00A41E9E">
              <w:rPr>
                <w:rFonts w:asciiTheme="minorHAnsi" w:hAnsiTheme="minorHAnsi" w:cstheme="minorHAnsi"/>
              </w:rPr>
              <w:t xml:space="preserve">an be calculated as a ratio relative to the average </w:t>
            </w:r>
            <w:r w:rsidR="00EF3D1A">
              <w:rPr>
                <w:rFonts w:asciiTheme="minorHAnsi" w:hAnsiTheme="minorHAnsi" w:cstheme="minorHAnsi"/>
              </w:rPr>
              <w:t>firm</w:t>
            </w:r>
            <w:r w:rsidRPr="00A41E9E">
              <w:rPr>
                <w:rFonts w:asciiTheme="minorHAnsi" w:hAnsiTheme="minorHAnsi" w:cstheme="minorHAnsi"/>
              </w:rPr>
              <w:t xml:space="preserve"> in the relevant industry or sector, or to the average of peer or comparator groups.</w:t>
            </w:r>
          </w:p>
        </w:tc>
        <w:tc>
          <w:tcPr>
            <w:tcW w:w="3402" w:type="dxa"/>
          </w:tcPr>
          <w:p w14:paraId="36055D0D" w14:textId="77777777" w:rsidR="00B201A1" w:rsidRPr="00A41E9E" w:rsidRDefault="00B201A1" w:rsidP="00B201A1">
            <w:pPr>
              <w:spacing w:line="276" w:lineRule="auto"/>
              <w:rPr>
                <w:rFonts w:asciiTheme="minorHAnsi" w:hAnsiTheme="minorHAnsi" w:cstheme="minorHAnsi"/>
              </w:rPr>
            </w:pPr>
            <w:r w:rsidRPr="00A41E9E">
              <w:rPr>
                <w:rFonts w:asciiTheme="minorHAnsi" w:hAnsiTheme="minorHAnsi" w:cstheme="minorHAnsi"/>
              </w:rPr>
              <w:t>EBITDA is a measure of corporate performance and is particularly useful in situations where market capitalisation values are unable to be properly calculated (</w:t>
            </w:r>
            <w:r>
              <w:rPr>
                <w:rFonts w:asciiTheme="minorHAnsi" w:hAnsiTheme="minorHAnsi" w:cstheme="minorHAnsi"/>
              </w:rPr>
              <w:t>e.g.</w:t>
            </w:r>
            <w:r w:rsidRPr="00A41E9E">
              <w:rPr>
                <w:rFonts w:asciiTheme="minorHAnsi" w:hAnsiTheme="minorHAnsi" w:cstheme="minorHAnsi"/>
              </w:rPr>
              <w:t xml:space="preserve"> private or non-listed firms)</w:t>
            </w:r>
            <w:r>
              <w:rPr>
                <w:rFonts w:asciiTheme="minorHAnsi" w:hAnsiTheme="minorHAnsi" w:cstheme="minorHAnsi"/>
              </w:rPr>
              <w:t>.</w:t>
            </w:r>
          </w:p>
        </w:tc>
      </w:tr>
      <w:tr w:rsidR="00B201A1" w:rsidRPr="00A41E9E" w14:paraId="2161D4C9" w14:textId="77777777" w:rsidTr="004E2260">
        <w:tc>
          <w:tcPr>
            <w:tcW w:w="1653" w:type="dxa"/>
          </w:tcPr>
          <w:p w14:paraId="61DAE750" w14:textId="6631C04D" w:rsidR="00B201A1" w:rsidRPr="00A41E9E" w:rsidRDefault="00B201A1" w:rsidP="00B201A1">
            <w:pPr>
              <w:spacing w:line="276" w:lineRule="auto"/>
              <w:rPr>
                <w:rFonts w:asciiTheme="minorHAnsi" w:hAnsiTheme="minorHAnsi" w:cstheme="minorHAnsi"/>
              </w:rPr>
            </w:pPr>
            <w:r>
              <w:rPr>
                <w:rFonts w:asciiTheme="minorHAnsi" w:hAnsiTheme="minorHAnsi" w:cstheme="minorHAnsi"/>
              </w:rPr>
              <w:t>Gross profit margins</w:t>
            </w:r>
          </w:p>
        </w:tc>
        <w:tc>
          <w:tcPr>
            <w:tcW w:w="1565" w:type="dxa"/>
          </w:tcPr>
          <w:p w14:paraId="25E8E246" w14:textId="4AF9A3AE" w:rsidR="00B201A1" w:rsidRPr="00A41E9E" w:rsidRDefault="00B201A1" w:rsidP="00B201A1">
            <w:pPr>
              <w:spacing w:line="276" w:lineRule="auto"/>
              <w:rPr>
                <w:rFonts w:asciiTheme="minorHAnsi" w:hAnsiTheme="minorHAnsi" w:cstheme="minorHAnsi"/>
              </w:rPr>
            </w:pPr>
            <w:r w:rsidRPr="00A41E9E">
              <w:rPr>
                <w:rFonts w:asciiTheme="minorHAnsi" w:hAnsiTheme="minorHAnsi" w:cstheme="minorHAnsi"/>
              </w:rPr>
              <w:t>Company fundamentals data</w:t>
            </w:r>
          </w:p>
        </w:tc>
        <w:tc>
          <w:tcPr>
            <w:tcW w:w="3440" w:type="dxa"/>
          </w:tcPr>
          <w:p w14:paraId="723D54B8" w14:textId="0CAD8918" w:rsidR="00B201A1" w:rsidRPr="00A41E9E" w:rsidRDefault="00B201A1" w:rsidP="00B201A1">
            <w:pPr>
              <w:pStyle w:val="ListParagraph"/>
              <w:spacing w:line="276" w:lineRule="auto"/>
              <w:ind w:left="0"/>
              <w:rPr>
                <w:rFonts w:asciiTheme="minorHAnsi" w:hAnsiTheme="minorHAnsi" w:cstheme="minorHAnsi"/>
              </w:rPr>
            </w:pPr>
            <w:r>
              <w:rPr>
                <w:rFonts w:asciiTheme="minorHAnsi" w:hAnsiTheme="minorHAnsi" w:cstheme="minorHAnsi"/>
              </w:rPr>
              <w:t xml:space="preserve">The difference between total sales revenue and the total cost of </w:t>
            </w:r>
            <w:proofErr w:type="gramStart"/>
            <w:r>
              <w:rPr>
                <w:rFonts w:asciiTheme="minorHAnsi" w:hAnsiTheme="minorHAnsi" w:cstheme="minorHAnsi"/>
              </w:rPr>
              <w:t>production</w:t>
            </w:r>
            <w:r w:rsidR="00677816">
              <w:rPr>
                <w:rFonts w:asciiTheme="minorHAnsi" w:hAnsiTheme="minorHAnsi" w:cstheme="minorHAnsi"/>
              </w:rPr>
              <w:t>, and</w:t>
            </w:r>
            <w:proofErr w:type="gramEnd"/>
            <w:r w:rsidR="00677816">
              <w:rPr>
                <w:rFonts w:asciiTheme="minorHAnsi" w:hAnsiTheme="minorHAnsi" w:cstheme="minorHAnsi"/>
              </w:rPr>
              <w:t xml:space="preserve"> is often expressed as a percentage relative to total sales revenue.</w:t>
            </w:r>
          </w:p>
        </w:tc>
        <w:tc>
          <w:tcPr>
            <w:tcW w:w="3402" w:type="dxa"/>
          </w:tcPr>
          <w:p w14:paraId="35E80703" w14:textId="4B9C20D3" w:rsidR="00B201A1" w:rsidRPr="00A41E9E" w:rsidRDefault="00000019" w:rsidP="00B201A1">
            <w:pPr>
              <w:spacing w:line="276" w:lineRule="auto"/>
              <w:rPr>
                <w:rFonts w:asciiTheme="minorHAnsi" w:hAnsiTheme="minorHAnsi" w:cstheme="minorHAnsi"/>
              </w:rPr>
            </w:pPr>
            <w:r>
              <w:rPr>
                <w:rFonts w:asciiTheme="minorHAnsi" w:hAnsiTheme="minorHAnsi" w:cstheme="minorHAnsi"/>
              </w:rPr>
              <w:t xml:space="preserve">Suggests the presence of market power in cases where the gross profit margins of a firm have been considerably higher than its rivals (as well as the industry/sector average) over a sustained period of time. </w:t>
            </w:r>
          </w:p>
        </w:tc>
      </w:tr>
      <w:tr w:rsidR="00B201A1" w:rsidRPr="00A41E9E" w14:paraId="70866A02" w14:textId="77777777" w:rsidTr="004E2260">
        <w:tc>
          <w:tcPr>
            <w:tcW w:w="1653" w:type="dxa"/>
          </w:tcPr>
          <w:p w14:paraId="412CDC91" w14:textId="77777777" w:rsidR="00B201A1" w:rsidRPr="00A41E9E" w:rsidRDefault="00B201A1" w:rsidP="00B201A1">
            <w:pPr>
              <w:spacing w:line="276" w:lineRule="auto"/>
              <w:rPr>
                <w:rFonts w:asciiTheme="minorHAnsi" w:hAnsiTheme="minorHAnsi" w:cstheme="minorHAnsi"/>
              </w:rPr>
            </w:pPr>
            <w:r w:rsidRPr="00A41E9E">
              <w:rPr>
                <w:rFonts w:asciiTheme="minorHAnsi" w:hAnsiTheme="minorHAnsi" w:cstheme="minorHAnsi"/>
              </w:rPr>
              <w:t xml:space="preserve">Lerner index or related measure of </w:t>
            </w:r>
            <w:r>
              <w:rPr>
                <w:rFonts w:asciiTheme="minorHAnsi" w:hAnsiTheme="minorHAnsi" w:cstheme="minorHAnsi"/>
              </w:rPr>
              <w:t>price mark ups</w:t>
            </w:r>
          </w:p>
        </w:tc>
        <w:tc>
          <w:tcPr>
            <w:tcW w:w="1565" w:type="dxa"/>
          </w:tcPr>
          <w:p w14:paraId="71166D55" w14:textId="77777777" w:rsidR="00B201A1" w:rsidRPr="00A41E9E" w:rsidRDefault="00B201A1" w:rsidP="00B201A1">
            <w:pPr>
              <w:spacing w:line="276" w:lineRule="auto"/>
              <w:rPr>
                <w:rFonts w:asciiTheme="minorHAnsi" w:hAnsiTheme="minorHAnsi" w:cstheme="minorHAnsi"/>
              </w:rPr>
            </w:pPr>
            <w:r w:rsidRPr="00A41E9E">
              <w:rPr>
                <w:rFonts w:asciiTheme="minorHAnsi" w:hAnsiTheme="minorHAnsi" w:cstheme="minorHAnsi"/>
              </w:rPr>
              <w:t xml:space="preserve">Insider information on marginal costs (Lerner Index), </w:t>
            </w:r>
            <w:r>
              <w:rPr>
                <w:rFonts w:asciiTheme="minorHAnsi" w:hAnsiTheme="minorHAnsi" w:cstheme="minorHAnsi"/>
              </w:rPr>
              <w:t>p</w:t>
            </w:r>
            <w:r w:rsidRPr="00A41E9E">
              <w:rPr>
                <w:rFonts w:asciiTheme="minorHAnsi" w:hAnsiTheme="minorHAnsi" w:cstheme="minorHAnsi"/>
              </w:rPr>
              <w:t>ricing and sales data (price elasticity)</w:t>
            </w:r>
          </w:p>
        </w:tc>
        <w:tc>
          <w:tcPr>
            <w:tcW w:w="3440" w:type="dxa"/>
          </w:tcPr>
          <w:p w14:paraId="046D3ABD" w14:textId="3660CBAF" w:rsidR="00B201A1" w:rsidRPr="00A41E9E" w:rsidRDefault="00B201A1" w:rsidP="00B201A1">
            <w:pPr>
              <w:pStyle w:val="ListParagraph"/>
              <w:spacing w:line="276" w:lineRule="auto"/>
              <w:ind w:left="0"/>
              <w:rPr>
                <w:rFonts w:asciiTheme="minorHAnsi" w:hAnsiTheme="minorHAnsi" w:cstheme="minorHAnsi"/>
              </w:rPr>
            </w:pPr>
            <w:r w:rsidRPr="00A41E9E">
              <w:rPr>
                <w:rFonts w:asciiTheme="minorHAnsi" w:hAnsiTheme="minorHAnsi" w:cstheme="minorHAnsi"/>
              </w:rPr>
              <w:t>The Lerner Index (L) is calculated by subtracting the marginal cost of a product (MC) from its price (P), and then dividing this by the price (</w:t>
            </w:r>
            <w:r>
              <w:rPr>
                <w:rFonts w:asciiTheme="minorHAnsi" w:hAnsiTheme="minorHAnsi" w:cstheme="minorHAnsi"/>
              </w:rPr>
              <w:t>i.e.</w:t>
            </w:r>
            <w:r w:rsidRPr="00A41E9E">
              <w:rPr>
                <w:rFonts w:asciiTheme="minorHAnsi" w:hAnsiTheme="minorHAnsi" w:cstheme="minorHAnsi"/>
              </w:rPr>
              <w:t xml:space="preserve"> L = (P-MC/P). A related measure, the price elasticity of demand, is calculated by dividing the change in quantity of a certain product by the change in its price, over a defined period of time and within a defined area.</w:t>
            </w:r>
          </w:p>
        </w:tc>
        <w:tc>
          <w:tcPr>
            <w:tcW w:w="3402" w:type="dxa"/>
          </w:tcPr>
          <w:p w14:paraId="6D7304A7" w14:textId="6ADF31C0" w:rsidR="00B201A1" w:rsidRPr="00A41E9E" w:rsidRDefault="00B201A1" w:rsidP="00B201A1">
            <w:pPr>
              <w:spacing w:line="276" w:lineRule="auto"/>
              <w:rPr>
                <w:rFonts w:asciiTheme="minorHAnsi" w:hAnsiTheme="minorHAnsi" w:cstheme="minorHAnsi"/>
              </w:rPr>
            </w:pPr>
            <w:r w:rsidRPr="00A41E9E">
              <w:rPr>
                <w:rFonts w:asciiTheme="minorHAnsi" w:hAnsiTheme="minorHAnsi" w:cstheme="minorHAnsi"/>
              </w:rPr>
              <w:t>Indicators that look at product mark ups, such as the Lerner Index, have become one of the most common ways of assessing the presence and extent of market power in mainstream and industrial economics</w:t>
            </w:r>
            <w:r>
              <w:rPr>
                <w:rFonts w:asciiTheme="minorHAnsi" w:hAnsiTheme="minorHAnsi" w:cstheme="minorHAnsi"/>
              </w:rPr>
              <w:t>.</w:t>
            </w:r>
            <w:r w:rsidR="00000019">
              <w:rPr>
                <w:rFonts w:asciiTheme="minorHAnsi" w:hAnsiTheme="minorHAnsi" w:cstheme="minorHAnsi"/>
              </w:rPr>
              <w:t xml:space="preserve"> Unfortunately, the required data are often difficult to obtain.</w:t>
            </w:r>
          </w:p>
        </w:tc>
      </w:tr>
      <w:tr w:rsidR="00B201A1" w:rsidRPr="00A41E9E" w14:paraId="3A9A0530" w14:textId="77777777" w:rsidTr="004E2260">
        <w:tc>
          <w:tcPr>
            <w:tcW w:w="1653" w:type="dxa"/>
          </w:tcPr>
          <w:p w14:paraId="44CB4897" w14:textId="10E0121E" w:rsidR="00B201A1" w:rsidRPr="00A41E9E" w:rsidRDefault="00677816" w:rsidP="00B201A1">
            <w:pPr>
              <w:spacing w:line="276" w:lineRule="auto"/>
              <w:rPr>
                <w:rFonts w:asciiTheme="minorHAnsi" w:hAnsiTheme="minorHAnsi" w:cstheme="minorHAnsi"/>
              </w:rPr>
            </w:pPr>
            <w:r>
              <w:rPr>
                <w:rFonts w:asciiTheme="minorHAnsi" w:hAnsiTheme="minorHAnsi" w:cstheme="minorHAnsi"/>
              </w:rPr>
              <w:t>V</w:t>
            </w:r>
            <w:r w:rsidR="00B201A1" w:rsidRPr="00A41E9E">
              <w:rPr>
                <w:rFonts w:asciiTheme="minorHAnsi" w:hAnsiTheme="minorHAnsi" w:cstheme="minorHAnsi"/>
              </w:rPr>
              <w:t>alue of intangible assets</w:t>
            </w:r>
            <w:r>
              <w:rPr>
                <w:rFonts w:asciiTheme="minorHAnsi" w:hAnsiTheme="minorHAnsi" w:cstheme="minorHAnsi"/>
              </w:rPr>
              <w:t xml:space="preserve"> owned</w:t>
            </w:r>
          </w:p>
        </w:tc>
        <w:tc>
          <w:tcPr>
            <w:tcW w:w="1565" w:type="dxa"/>
          </w:tcPr>
          <w:p w14:paraId="45AC956F" w14:textId="2556012D" w:rsidR="00B201A1" w:rsidRPr="00A41E9E" w:rsidRDefault="00B201A1" w:rsidP="00B201A1">
            <w:pPr>
              <w:spacing w:line="276" w:lineRule="auto"/>
              <w:rPr>
                <w:rFonts w:asciiTheme="minorHAnsi" w:hAnsiTheme="minorHAnsi" w:cstheme="minorHAnsi"/>
              </w:rPr>
            </w:pPr>
            <w:r w:rsidRPr="00A41E9E">
              <w:rPr>
                <w:rFonts w:asciiTheme="minorHAnsi" w:hAnsiTheme="minorHAnsi" w:cstheme="minorHAnsi"/>
              </w:rPr>
              <w:t>Company fundamentals data</w:t>
            </w:r>
          </w:p>
        </w:tc>
        <w:tc>
          <w:tcPr>
            <w:tcW w:w="3440" w:type="dxa"/>
          </w:tcPr>
          <w:p w14:paraId="08ED8F3B" w14:textId="7AF16725" w:rsidR="00B201A1" w:rsidRPr="00A41E9E" w:rsidRDefault="00B201A1" w:rsidP="00B201A1">
            <w:pPr>
              <w:pStyle w:val="ListParagraph"/>
              <w:spacing w:line="276" w:lineRule="auto"/>
              <w:ind w:left="0"/>
              <w:rPr>
                <w:rFonts w:asciiTheme="minorHAnsi" w:hAnsiTheme="minorHAnsi" w:cstheme="minorHAnsi"/>
              </w:rPr>
            </w:pPr>
            <w:r w:rsidRPr="00A41E9E">
              <w:rPr>
                <w:rFonts w:asciiTheme="minorHAnsi" w:hAnsiTheme="minorHAnsi" w:cstheme="minorHAnsi"/>
              </w:rPr>
              <w:t xml:space="preserve">A measure of a firm’s control over </w:t>
            </w:r>
            <w:r>
              <w:rPr>
                <w:rFonts w:asciiTheme="minorHAnsi" w:hAnsiTheme="minorHAnsi" w:cstheme="minorHAnsi"/>
              </w:rPr>
              <w:t xml:space="preserve">key </w:t>
            </w:r>
            <w:r w:rsidRPr="00A41E9E">
              <w:rPr>
                <w:rFonts w:asciiTheme="minorHAnsi" w:hAnsiTheme="minorHAnsi" w:cstheme="minorHAnsi"/>
              </w:rPr>
              <w:t>assets (</w:t>
            </w:r>
            <w:r>
              <w:rPr>
                <w:rFonts w:asciiTheme="minorHAnsi" w:hAnsiTheme="minorHAnsi" w:cstheme="minorHAnsi"/>
              </w:rPr>
              <w:t>e.g.</w:t>
            </w:r>
            <w:r w:rsidRPr="00A41E9E">
              <w:rPr>
                <w:rFonts w:asciiTheme="minorHAnsi" w:hAnsiTheme="minorHAnsi" w:cstheme="minorHAnsi"/>
              </w:rPr>
              <w:t xml:space="preserve"> intellectual property such as brands)</w:t>
            </w:r>
            <w:r>
              <w:rPr>
                <w:rFonts w:asciiTheme="minorHAnsi" w:hAnsiTheme="minorHAnsi" w:cstheme="minorHAnsi"/>
              </w:rPr>
              <w:t>. This c</w:t>
            </w:r>
            <w:r w:rsidRPr="00A41E9E">
              <w:rPr>
                <w:rFonts w:asciiTheme="minorHAnsi" w:hAnsiTheme="minorHAnsi" w:cstheme="minorHAnsi"/>
              </w:rPr>
              <w:t>an be calculated as a ratio relative to the average</w:t>
            </w:r>
            <w:r w:rsidR="00000019">
              <w:rPr>
                <w:rFonts w:asciiTheme="minorHAnsi" w:hAnsiTheme="minorHAnsi" w:cstheme="minorHAnsi"/>
              </w:rPr>
              <w:t xml:space="preserve"> value of intangible assets owned by rival firms</w:t>
            </w:r>
            <w:r w:rsidRPr="00A41E9E">
              <w:rPr>
                <w:rFonts w:asciiTheme="minorHAnsi" w:hAnsiTheme="minorHAnsi" w:cstheme="minorHAnsi"/>
              </w:rPr>
              <w:t>, or to the average of peer or comparator groups.</w:t>
            </w:r>
          </w:p>
        </w:tc>
        <w:tc>
          <w:tcPr>
            <w:tcW w:w="3402" w:type="dxa"/>
          </w:tcPr>
          <w:p w14:paraId="1C9C7DFD" w14:textId="2C59F05B" w:rsidR="00B201A1" w:rsidRPr="00A41E9E" w:rsidRDefault="00B201A1" w:rsidP="00B201A1">
            <w:pPr>
              <w:spacing w:line="276" w:lineRule="auto"/>
              <w:rPr>
                <w:rFonts w:asciiTheme="minorHAnsi" w:hAnsiTheme="minorHAnsi" w:cstheme="minorHAnsi"/>
              </w:rPr>
            </w:pPr>
            <w:r w:rsidRPr="00A41E9E">
              <w:rPr>
                <w:rFonts w:asciiTheme="minorHAnsi" w:hAnsiTheme="minorHAnsi" w:cstheme="minorHAnsi"/>
              </w:rPr>
              <w:t>The ownership of intangibles is linked to the accrual of corporate power in the global economy</w:t>
            </w:r>
            <w:r>
              <w:rPr>
                <w:rFonts w:asciiTheme="minorHAnsi" w:hAnsiTheme="minorHAnsi" w:cstheme="minorHAnsi"/>
              </w:rPr>
              <w:t>.</w:t>
            </w:r>
          </w:p>
        </w:tc>
      </w:tr>
      <w:tr w:rsidR="00000019" w:rsidRPr="00A41E9E" w14:paraId="3F688C61" w14:textId="77777777" w:rsidTr="004E2260">
        <w:tc>
          <w:tcPr>
            <w:tcW w:w="1653" w:type="dxa"/>
          </w:tcPr>
          <w:p w14:paraId="6DE23992" w14:textId="168661D9" w:rsidR="00000019" w:rsidRDefault="00000019" w:rsidP="00B201A1">
            <w:pPr>
              <w:spacing w:line="276" w:lineRule="auto"/>
              <w:rPr>
                <w:rFonts w:asciiTheme="minorHAnsi" w:hAnsiTheme="minorHAnsi" w:cstheme="minorHAnsi"/>
              </w:rPr>
            </w:pPr>
            <w:r>
              <w:rPr>
                <w:rFonts w:asciiTheme="minorHAnsi" w:hAnsiTheme="minorHAnsi" w:cstheme="minorHAnsi"/>
              </w:rPr>
              <w:t>Total expenditure on corporate practices that undermine public health</w:t>
            </w:r>
          </w:p>
          <w:p w14:paraId="54382C7E" w14:textId="28DE2946" w:rsidR="00000019" w:rsidRDefault="00000019" w:rsidP="00B201A1">
            <w:pPr>
              <w:spacing w:line="276" w:lineRule="auto"/>
              <w:rPr>
                <w:rFonts w:asciiTheme="minorHAnsi" w:hAnsiTheme="minorHAnsi" w:cstheme="minorHAnsi"/>
              </w:rPr>
            </w:pPr>
          </w:p>
        </w:tc>
        <w:tc>
          <w:tcPr>
            <w:tcW w:w="1565" w:type="dxa"/>
          </w:tcPr>
          <w:p w14:paraId="0A0FD044" w14:textId="65BD867A" w:rsidR="00000019" w:rsidRPr="00A41E9E" w:rsidRDefault="00000019" w:rsidP="00B201A1">
            <w:pPr>
              <w:spacing w:line="276" w:lineRule="auto"/>
              <w:rPr>
                <w:rFonts w:asciiTheme="minorHAnsi" w:hAnsiTheme="minorHAnsi" w:cstheme="minorHAnsi"/>
              </w:rPr>
            </w:pPr>
            <w:r w:rsidRPr="00A41E9E">
              <w:rPr>
                <w:rFonts w:asciiTheme="minorHAnsi" w:hAnsiTheme="minorHAnsi" w:cstheme="minorHAnsi"/>
              </w:rPr>
              <w:t>Company fundamentals data</w:t>
            </w:r>
            <w:r>
              <w:rPr>
                <w:rFonts w:asciiTheme="minorHAnsi" w:hAnsiTheme="minorHAnsi" w:cstheme="minorHAnsi"/>
              </w:rPr>
              <w:t>; company disclosure data (e.g. Security and Exchange Commission filings for US-based firms)</w:t>
            </w:r>
          </w:p>
        </w:tc>
        <w:tc>
          <w:tcPr>
            <w:tcW w:w="3440" w:type="dxa"/>
          </w:tcPr>
          <w:p w14:paraId="1BB58929" w14:textId="3EA0F837" w:rsidR="00000019" w:rsidRPr="00A41E9E" w:rsidRDefault="00000019" w:rsidP="00B201A1">
            <w:pPr>
              <w:pStyle w:val="ListParagraph"/>
              <w:spacing w:line="276" w:lineRule="auto"/>
              <w:ind w:left="0"/>
              <w:rPr>
                <w:rFonts w:asciiTheme="minorHAnsi" w:hAnsiTheme="minorHAnsi" w:cstheme="minorHAnsi"/>
              </w:rPr>
            </w:pPr>
            <w:r>
              <w:rPr>
                <w:rFonts w:asciiTheme="minorHAnsi" w:hAnsiTheme="minorHAnsi" w:cstheme="minorHAnsi"/>
              </w:rPr>
              <w:t>A measure of the amount that firms active in health-harming industries spend on practices such as advertising and related marketing practices, lobbying, political donations, funding or research and academic institutions, community sponsorship etc.</w:t>
            </w:r>
          </w:p>
        </w:tc>
        <w:tc>
          <w:tcPr>
            <w:tcW w:w="3402" w:type="dxa"/>
          </w:tcPr>
          <w:p w14:paraId="1E5BB62D" w14:textId="536C4073" w:rsidR="00000019" w:rsidRPr="00A41E9E" w:rsidRDefault="00000019" w:rsidP="00B201A1">
            <w:pPr>
              <w:spacing w:line="276" w:lineRule="auto"/>
              <w:rPr>
                <w:rFonts w:asciiTheme="minorHAnsi" w:hAnsiTheme="minorHAnsi" w:cstheme="minorHAnsi"/>
              </w:rPr>
            </w:pPr>
            <w:r>
              <w:rPr>
                <w:rFonts w:asciiTheme="minorHAnsi" w:hAnsiTheme="minorHAnsi" w:cstheme="minorHAnsi"/>
              </w:rPr>
              <w:t>These practices can exacerbate allocative inefficiency (market failure) via mechanisms such as policy and regulatory capture, the shaping of ideas and public opinion, increased consumer demand for health-harming products etc.</w:t>
            </w:r>
          </w:p>
        </w:tc>
      </w:tr>
      <w:tr w:rsidR="00EF3D1A" w:rsidRPr="00A41E9E" w14:paraId="2D854BBE" w14:textId="77777777" w:rsidTr="004E2260">
        <w:tc>
          <w:tcPr>
            <w:tcW w:w="1653" w:type="dxa"/>
          </w:tcPr>
          <w:p w14:paraId="723C6A88" w14:textId="663E4B54" w:rsidR="00EF3D1A" w:rsidRDefault="00EF3D1A" w:rsidP="00B201A1">
            <w:pPr>
              <w:spacing w:line="276" w:lineRule="auto"/>
              <w:rPr>
                <w:rFonts w:asciiTheme="minorHAnsi" w:hAnsiTheme="minorHAnsi" w:cstheme="minorHAnsi"/>
              </w:rPr>
            </w:pPr>
            <w:r>
              <w:rPr>
                <w:rFonts w:asciiTheme="minorHAnsi" w:hAnsiTheme="minorHAnsi" w:cstheme="minorHAnsi"/>
              </w:rPr>
              <w:t>Tax minimisation</w:t>
            </w:r>
          </w:p>
        </w:tc>
        <w:tc>
          <w:tcPr>
            <w:tcW w:w="1565" w:type="dxa"/>
          </w:tcPr>
          <w:p w14:paraId="12CFD36D" w14:textId="4844D619" w:rsidR="00EF3D1A" w:rsidRPr="00A41E9E" w:rsidRDefault="00EF3D1A" w:rsidP="00B201A1">
            <w:pPr>
              <w:spacing w:line="276" w:lineRule="auto"/>
              <w:rPr>
                <w:rFonts w:asciiTheme="minorHAnsi" w:hAnsiTheme="minorHAnsi" w:cstheme="minorHAnsi"/>
              </w:rPr>
            </w:pPr>
            <w:r w:rsidRPr="00A41E9E">
              <w:rPr>
                <w:rFonts w:asciiTheme="minorHAnsi" w:hAnsiTheme="minorHAnsi" w:cstheme="minorHAnsi"/>
              </w:rPr>
              <w:t>Company fundamentals data</w:t>
            </w:r>
          </w:p>
        </w:tc>
        <w:tc>
          <w:tcPr>
            <w:tcW w:w="3440" w:type="dxa"/>
          </w:tcPr>
          <w:p w14:paraId="49EEC55A" w14:textId="23F0B1B6" w:rsidR="00EF3D1A" w:rsidRDefault="00EF3D1A" w:rsidP="00B201A1">
            <w:pPr>
              <w:pStyle w:val="ListParagraph"/>
              <w:spacing w:line="276" w:lineRule="auto"/>
              <w:ind w:left="0"/>
              <w:rPr>
                <w:rFonts w:asciiTheme="minorHAnsi" w:hAnsiTheme="minorHAnsi" w:cstheme="minorHAnsi"/>
              </w:rPr>
            </w:pPr>
            <w:r>
              <w:rPr>
                <w:rFonts w:asciiTheme="minorHAnsi" w:hAnsiTheme="minorHAnsi" w:cstheme="minorHAnsi"/>
              </w:rPr>
              <w:t xml:space="preserve">The effective tax rate (ETR) is a </w:t>
            </w:r>
            <w:r w:rsidR="004C6016">
              <w:rPr>
                <w:rFonts w:asciiTheme="minorHAnsi" w:hAnsiTheme="minorHAnsi" w:cstheme="minorHAnsi"/>
              </w:rPr>
              <w:t>commonly used</w:t>
            </w:r>
            <w:r>
              <w:rPr>
                <w:rFonts w:asciiTheme="minorHAnsi" w:hAnsiTheme="minorHAnsi" w:cstheme="minorHAnsi"/>
              </w:rPr>
              <w:t xml:space="preserve"> indicator </w:t>
            </w:r>
            <w:r w:rsidR="004C6016">
              <w:rPr>
                <w:rFonts w:asciiTheme="minorHAnsi" w:hAnsiTheme="minorHAnsi" w:cstheme="minorHAnsi"/>
              </w:rPr>
              <w:t>used to inform an examination of</w:t>
            </w:r>
            <w:r>
              <w:rPr>
                <w:rFonts w:asciiTheme="minorHAnsi" w:hAnsiTheme="minorHAnsi" w:cstheme="minorHAnsi"/>
              </w:rPr>
              <w:t xml:space="preserve"> tax minimisation. The ETR of a firm is calculated by dividing the total income tax paid by a firm by its pre-tax income over a given time period</w:t>
            </w:r>
            <w:r w:rsidR="004E2260">
              <w:rPr>
                <w:rFonts w:asciiTheme="minorHAnsi" w:hAnsiTheme="minorHAnsi" w:cstheme="minorHAnsi"/>
              </w:rPr>
              <w:t xml:space="preserve"> </w:t>
            </w:r>
            <w:r w:rsidR="004E2260">
              <w:rPr>
                <w:rFonts w:asciiTheme="minorHAnsi" w:hAnsiTheme="minorHAnsi" w:cstheme="minorHAnsi"/>
              </w:rPr>
              <w:fldChar w:fldCharType="begin"/>
            </w:r>
            <w:r w:rsidR="004E2260">
              <w:rPr>
                <w:rFonts w:asciiTheme="minorHAnsi" w:hAnsiTheme="minorHAnsi" w:cstheme="minorHAnsi"/>
              </w:rPr>
              <w:instrText xml:space="preserve"> ADDIN EN.CITE &lt;EndNote&gt;&lt;Cite&gt;&lt;Author&gt;Hager&lt;/Author&gt;&lt;Year&gt;2020&lt;/Year&gt;&lt;RecNum&gt;1494&lt;/RecNum&gt;&lt;DisplayText&gt;[11]&lt;/DisplayText&gt;&lt;record&gt;&lt;rec-number&gt;1494&lt;/rec-number&gt;&lt;foreign-keys&gt;&lt;key app="EN" db-id="asd9reav6erp0bedwsup2et8pdtzpzdxpxzx" timestamp="1612514623"&gt;1494&lt;/key&gt;&lt;/foreign-keys&gt;&lt;ref-type name="Journal Article"&gt;17&lt;/ref-type&gt;&lt;contributors&gt;&lt;authors&gt;&lt;author&gt;Hager, Sandy B&lt;/author&gt;&lt;author&gt;Baines, Joseph&lt;/author&gt;&lt;/authors&gt;&lt;/contributors&gt;&lt;titles&gt;&lt;title&gt;The Tax Advantage of Big Business: How the Structure of Corporate Taxation Fuels Concentration and Inequality&lt;/title&gt;&lt;secondary-title&gt;Politics &amp;amp; Society&lt;/secondary-title&gt;&lt;/titles&gt;&lt;periodical&gt;&lt;full-title&gt;Politics &amp;amp; Society&lt;/full-title&gt;&lt;/periodical&gt;&lt;pages&gt;275-305&lt;/pages&gt;&lt;volume&gt;48&lt;/volume&gt;&lt;number&gt;2&lt;/number&gt;&lt;dates&gt;&lt;year&gt;2020&lt;/year&gt;&lt;/dates&gt;&lt;urls&gt;&lt;/urls&gt;&lt;/record&gt;&lt;/Cite&gt;&lt;/EndNote&gt;</w:instrText>
            </w:r>
            <w:r w:rsidR="004E2260">
              <w:rPr>
                <w:rFonts w:asciiTheme="minorHAnsi" w:hAnsiTheme="minorHAnsi" w:cstheme="minorHAnsi"/>
              </w:rPr>
              <w:fldChar w:fldCharType="separate"/>
            </w:r>
            <w:r w:rsidR="004E2260">
              <w:rPr>
                <w:rFonts w:asciiTheme="minorHAnsi" w:hAnsiTheme="minorHAnsi" w:cstheme="minorHAnsi"/>
                <w:noProof/>
              </w:rPr>
              <w:t>[11]</w:t>
            </w:r>
            <w:r w:rsidR="004E2260">
              <w:rPr>
                <w:rFonts w:asciiTheme="minorHAnsi" w:hAnsiTheme="minorHAnsi" w:cstheme="minorHAnsi"/>
              </w:rPr>
              <w:fldChar w:fldCharType="end"/>
            </w:r>
            <w:r>
              <w:rPr>
                <w:rFonts w:asciiTheme="minorHAnsi" w:hAnsiTheme="minorHAnsi" w:cstheme="minorHAnsi"/>
              </w:rPr>
              <w:t xml:space="preserve">. </w:t>
            </w:r>
          </w:p>
        </w:tc>
        <w:tc>
          <w:tcPr>
            <w:tcW w:w="3402" w:type="dxa"/>
          </w:tcPr>
          <w:p w14:paraId="6815F5D8" w14:textId="63DE4B29" w:rsidR="00EF3D1A" w:rsidRDefault="00EF3D1A" w:rsidP="00B201A1">
            <w:pPr>
              <w:spacing w:line="276" w:lineRule="auto"/>
              <w:rPr>
                <w:rFonts w:asciiTheme="minorHAnsi" w:hAnsiTheme="minorHAnsi" w:cstheme="minorHAnsi"/>
              </w:rPr>
            </w:pPr>
            <w:r>
              <w:rPr>
                <w:rFonts w:asciiTheme="minorHAnsi" w:hAnsiTheme="minorHAnsi" w:cstheme="minorHAnsi"/>
              </w:rPr>
              <w:t xml:space="preserve">The ETR can inform an examination of a firm’s ability to minimise tax obligations. It is important to note that data need to be jurisdiction specific if the researcher is interested in comparing the ETR to jurisdiction specific corporate tax rates. </w:t>
            </w:r>
          </w:p>
        </w:tc>
      </w:tr>
      <w:tr w:rsidR="004E2260" w:rsidRPr="00A41E9E" w14:paraId="3EBEDFE6" w14:textId="77777777" w:rsidTr="004E2260">
        <w:tc>
          <w:tcPr>
            <w:tcW w:w="1653" w:type="dxa"/>
          </w:tcPr>
          <w:p w14:paraId="10AA3A2D" w14:textId="5DC70421" w:rsidR="004E2260" w:rsidRDefault="004E2260" w:rsidP="00B201A1">
            <w:pPr>
              <w:spacing w:line="276" w:lineRule="auto"/>
              <w:rPr>
                <w:rFonts w:asciiTheme="minorHAnsi" w:hAnsiTheme="minorHAnsi" w:cstheme="minorHAnsi"/>
              </w:rPr>
            </w:pPr>
            <w:r>
              <w:rPr>
                <w:rFonts w:asciiTheme="minorHAnsi" w:hAnsiTheme="minorHAnsi" w:cstheme="minorHAnsi"/>
              </w:rPr>
              <w:t>Wealth transfer to shareholders and company executives</w:t>
            </w:r>
          </w:p>
          <w:p w14:paraId="5F5066BC" w14:textId="77777777" w:rsidR="004E2260" w:rsidRDefault="004E2260" w:rsidP="00B201A1">
            <w:pPr>
              <w:spacing w:line="276" w:lineRule="auto"/>
              <w:rPr>
                <w:rFonts w:asciiTheme="minorHAnsi" w:hAnsiTheme="minorHAnsi" w:cstheme="minorHAnsi"/>
              </w:rPr>
            </w:pPr>
          </w:p>
          <w:p w14:paraId="357B8B7D" w14:textId="6D8696B4" w:rsidR="004E2260" w:rsidRDefault="004E2260" w:rsidP="00B201A1">
            <w:pPr>
              <w:spacing w:line="276" w:lineRule="auto"/>
              <w:rPr>
                <w:rFonts w:asciiTheme="minorHAnsi" w:hAnsiTheme="minorHAnsi" w:cstheme="minorHAnsi"/>
              </w:rPr>
            </w:pPr>
          </w:p>
        </w:tc>
        <w:tc>
          <w:tcPr>
            <w:tcW w:w="1565" w:type="dxa"/>
          </w:tcPr>
          <w:p w14:paraId="5FA2F9DB" w14:textId="27BE60C9" w:rsidR="004E2260" w:rsidRPr="00A41E9E" w:rsidRDefault="004E2260" w:rsidP="00B201A1">
            <w:pPr>
              <w:spacing w:line="276" w:lineRule="auto"/>
              <w:rPr>
                <w:rFonts w:asciiTheme="minorHAnsi" w:hAnsiTheme="minorHAnsi" w:cstheme="minorHAnsi"/>
              </w:rPr>
            </w:pPr>
            <w:r w:rsidRPr="00A41E9E">
              <w:rPr>
                <w:rFonts w:asciiTheme="minorHAnsi" w:hAnsiTheme="minorHAnsi" w:cstheme="minorHAnsi"/>
              </w:rPr>
              <w:t>Company fundamentals data</w:t>
            </w:r>
            <w:r>
              <w:rPr>
                <w:rFonts w:asciiTheme="minorHAnsi" w:hAnsiTheme="minorHAnsi" w:cstheme="minorHAnsi"/>
              </w:rPr>
              <w:t>; dividend and share repurchase data</w:t>
            </w:r>
          </w:p>
        </w:tc>
        <w:tc>
          <w:tcPr>
            <w:tcW w:w="3440" w:type="dxa"/>
          </w:tcPr>
          <w:p w14:paraId="0A582280" w14:textId="4EE4340F" w:rsidR="004E2260" w:rsidRDefault="00057AEB" w:rsidP="00B201A1">
            <w:pPr>
              <w:pStyle w:val="ListParagraph"/>
              <w:spacing w:line="276" w:lineRule="auto"/>
              <w:ind w:left="0"/>
              <w:rPr>
                <w:rFonts w:asciiTheme="minorHAnsi" w:hAnsiTheme="minorHAnsi" w:cstheme="minorHAnsi"/>
              </w:rPr>
            </w:pPr>
            <w:r>
              <w:rPr>
                <w:rFonts w:asciiTheme="minorHAnsi" w:hAnsiTheme="minorHAnsi" w:cstheme="minorHAnsi"/>
              </w:rPr>
              <w:t>One way t</w:t>
            </w:r>
            <w:r w:rsidR="004E2260">
              <w:rPr>
                <w:rFonts w:asciiTheme="minorHAnsi" w:hAnsiTheme="minorHAnsi" w:cstheme="minorHAnsi"/>
              </w:rPr>
              <w:t xml:space="preserve">his can be measured </w:t>
            </w:r>
            <w:r>
              <w:rPr>
                <w:rFonts w:asciiTheme="minorHAnsi" w:hAnsiTheme="minorHAnsi" w:cstheme="minorHAnsi"/>
              </w:rPr>
              <w:t xml:space="preserve">is </w:t>
            </w:r>
            <w:r w:rsidR="004E2260">
              <w:rPr>
                <w:rFonts w:asciiTheme="minorHAnsi" w:hAnsiTheme="minorHAnsi" w:cstheme="minorHAnsi"/>
              </w:rPr>
              <w:t>by summing the dividends paid and the value of share repurchases made by a firm, and compar</w:t>
            </w:r>
            <w:r>
              <w:rPr>
                <w:rFonts w:asciiTheme="minorHAnsi" w:hAnsiTheme="minorHAnsi" w:cstheme="minorHAnsi"/>
              </w:rPr>
              <w:t>ing this</w:t>
            </w:r>
            <w:r w:rsidR="004E2260">
              <w:rPr>
                <w:rFonts w:asciiTheme="minorHAnsi" w:hAnsiTheme="minorHAnsi" w:cstheme="minorHAnsi"/>
              </w:rPr>
              <w:t xml:space="preserve"> with </w:t>
            </w:r>
            <w:r>
              <w:rPr>
                <w:rFonts w:asciiTheme="minorHAnsi" w:hAnsiTheme="minorHAnsi" w:cstheme="minorHAnsi"/>
              </w:rPr>
              <w:t>total revenue</w:t>
            </w:r>
            <w:r w:rsidR="004E2260">
              <w:rPr>
                <w:rFonts w:asciiTheme="minorHAnsi" w:hAnsiTheme="minorHAnsi" w:cstheme="minorHAnsi"/>
              </w:rPr>
              <w:t xml:space="preserve"> or </w:t>
            </w:r>
            <w:r>
              <w:rPr>
                <w:rFonts w:asciiTheme="minorHAnsi" w:hAnsiTheme="minorHAnsi" w:cstheme="minorHAnsi"/>
              </w:rPr>
              <w:t>capital expenditure</w:t>
            </w:r>
            <w:r w:rsidR="004E2260">
              <w:rPr>
                <w:rFonts w:asciiTheme="minorHAnsi" w:hAnsiTheme="minorHAnsi" w:cstheme="minorHAnsi"/>
              </w:rPr>
              <w:t xml:space="preserve"> </w:t>
            </w:r>
            <w:r w:rsidR="004E2260">
              <w:rPr>
                <w:rFonts w:asciiTheme="minorHAnsi" w:hAnsiTheme="minorHAnsi" w:cstheme="minorHAnsi"/>
              </w:rPr>
              <w:fldChar w:fldCharType="begin"/>
            </w:r>
            <w:r w:rsidR="004E2260">
              <w:rPr>
                <w:rFonts w:asciiTheme="minorHAnsi" w:hAnsiTheme="minorHAnsi" w:cstheme="minorHAnsi"/>
              </w:rPr>
              <w:instrText xml:space="preserve"> ADDIN EN.CITE &lt;EndNote&gt;&lt;Cite&gt;&lt;Author&gt;Hager&lt;/Author&gt;&lt;Year&gt;2020&lt;/Year&gt;&lt;RecNum&gt;1494&lt;/RecNum&gt;&lt;DisplayText&gt;[11]&lt;/DisplayText&gt;&lt;record&gt;&lt;rec-number&gt;1494&lt;/rec-number&gt;&lt;foreign-keys&gt;&lt;key app="EN" db-id="asd9reav6erp0bedwsup2et8pdtzpzdxpxzx" timestamp="1612514623"&gt;1494&lt;/key&gt;&lt;/foreign-keys&gt;&lt;ref-type name="Journal Article"&gt;17&lt;/ref-type&gt;&lt;contributors&gt;&lt;authors&gt;&lt;author&gt;Hager, Sandy B&lt;/author&gt;&lt;author&gt;Baines, Joseph&lt;/author&gt;&lt;/authors&gt;&lt;/contributors&gt;&lt;titles&gt;&lt;title&gt;The Tax Advantage of Big Business: How the Structure of Corporate Taxation Fuels Concentration and Inequality&lt;/title&gt;&lt;secondary-title&gt;Politics &amp;amp; Society&lt;/secondary-title&gt;&lt;/titles&gt;&lt;periodical&gt;&lt;full-title&gt;Politics &amp;amp; Society&lt;/full-title&gt;&lt;/periodical&gt;&lt;pages&gt;275-305&lt;/pages&gt;&lt;volume&gt;48&lt;/volume&gt;&lt;number&gt;2&lt;/number&gt;&lt;dates&gt;&lt;year&gt;2020&lt;/year&gt;&lt;/dates&gt;&lt;urls&gt;&lt;/urls&gt;&lt;/record&gt;&lt;/Cite&gt;&lt;/EndNote&gt;</w:instrText>
            </w:r>
            <w:r w:rsidR="004E2260">
              <w:rPr>
                <w:rFonts w:asciiTheme="minorHAnsi" w:hAnsiTheme="minorHAnsi" w:cstheme="minorHAnsi"/>
              </w:rPr>
              <w:fldChar w:fldCharType="separate"/>
            </w:r>
            <w:r w:rsidR="004E2260">
              <w:rPr>
                <w:rFonts w:asciiTheme="minorHAnsi" w:hAnsiTheme="minorHAnsi" w:cstheme="minorHAnsi"/>
                <w:noProof/>
              </w:rPr>
              <w:t>[11]</w:t>
            </w:r>
            <w:r w:rsidR="004E2260">
              <w:rPr>
                <w:rFonts w:asciiTheme="minorHAnsi" w:hAnsiTheme="minorHAnsi" w:cstheme="minorHAnsi"/>
              </w:rPr>
              <w:fldChar w:fldCharType="end"/>
            </w:r>
            <w:r w:rsidR="004E2260">
              <w:rPr>
                <w:rFonts w:asciiTheme="minorHAnsi" w:hAnsiTheme="minorHAnsi" w:cstheme="minorHAnsi"/>
              </w:rPr>
              <w:t>.</w:t>
            </w:r>
          </w:p>
        </w:tc>
        <w:tc>
          <w:tcPr>
            <w:tcW w:w="3402" w:type="dxa"/>
          </w:tcPr>
          <w:p w14:paraId="7230371A" w14:textId="6DA56908" w:rsidR="004E2260" w:rsidRDefault="004E2260" w:rsidP="00B201A1">
            <w:pPr>
              <w:spacing w:line="276" w:lineRule="auto"/>
              <w:rPr>
                <w:rFonts w:asciiTheme="minorHAnsi" w:hAnsiTheme="minorHAnsi" w:cstheme="minorHAnsi"/>
              </w:rPr>
            </w:pPr>
            <w:r>
              <w:rPr>
                <w:rFonts w:asciiTheme="minorHAnsi" w:hAnsiTheme="minorHAnsi" w:cstheme="minorHAnsi"/>
              </w:rPr>
              <w:t xml:space="preserve">Dividend payments and share repurchases are two key financial mechanisms in which </w:t>
            </w:r>
            <w:r w:rsidR="00057AEB">
              <w:rPr>
                <w:rFonts w:asciiTheme="minorHAnsi" w:hAnsiTheme="minorHAnsi" w:cstheme="minorHAnsi"/>
              </w:rPr>
              <w:t xml:space="preserve">the </w:t>
            </w:r>
            <w:r>
              <w:rPr>
                <w:rFonts w:asciiTheme="minorHAnsi" w:hAnsiTheme="minorHAnsi" w:cstheme="minorHAnsi"/>
              </w:rPr>
              <w:t>wealth generated from a firm’s operations is transferred to shareholders and company executives</w:t>
            </w:r>
            <w:r w:rsidR="004C6016">
              <w:rPr>
                <w:rFonts w:asciiTheme="minorHAnsi" w:hAnsiTheme="minorHAnsi" w:cstheme="minorHAnsi"/>
              </w:rPr>
              <w:t>.</w:t>
            </w:r>
          </w:p>
        </w:tc>
      </w:tr>
    </w:tbl>
    <w:p w14:paraId="4B9185D6" w14:textId="77777777" w:rsidR="004E2260" w:rsidRDefault="004E2260"/>
    <w:p w14:paraId="22C948D3" w14:textId="77777777" w:rsidR="004E2260" w:rsidRDefault="004E2260"/>
    <w:p w14:paraId="5D99413A" w14:textId="77777777" w:rsidR="004E2260" w:rsidRPr="004E2260" w:rsidRDefault="004E2260" w:rsidP="00462B17">
      <w:pPr>
        <w:pStyle w:val="EndNoteBibliographyTitle"/>
        <w:spacing w:line="276" w:lineRule="auto"/>
        <w:jc w:val="left"/>
        <w:rPr>
          <w:b/>
          <w:bCs/>
          <w:noProof/>
        </w:rPr>
      </w:pPr>
      <w:r>
        <w:fldChar w:fldCharType="begin"/>
      </w:r>
      <w:r>
        <w:instrText xml:space="preserve"> ADDIN EN.REFLIST </w:instrText>
      </w:r>
      <w:r>
        <w:fldChar w:fldCharType="separate"/>
      </w:r>
      <w:r w:rsidRPr="004E2260">
        <w:rPr>
          <w:b/>
          <w:bCs/>
          <w:noProof/>
        </w:rPr>
        <w:t>References</w:t>
      </w:r>
    </w:p>
    <w:p w14:paraId="492B60A6" w14:textId="77777777" w:rsidR="004E2260" w:rsidRPr="004E2260" w:rsidRDefault="004E2260" w:rsidP="00462B17">
      <w:pPr>
        <w:pStyle w:val="EndNoteBibliographyTitle"/>
        <w:spacing w:line="276" w:lineRule="auto"/>
        <w:rPr>
          <w:noProof/>
        </w:rPr>
      </w:pPr>
    </w:p>
    <w:p w14:paraId="6E9B5286" w14:textId="77777777" w:rsidR="004E2260" w:rsidRPr="004E2260" w:rsidRDefault="004E2260" w:rsidP="00462B17">
      <w:pPr>
        <w:pStyle w:val="EndNoteBibliography"/>
        <w:spacing w:line="276" w:lineRule="auto"/>
        <w:rPr>
          <w:noProof/>
        </w:rPr>
      </w:pPr>
      <w:r w:rsidRPr="004E2260">
        <w:rPr>
          <w:noProof/>
        </w:rPr>
        <w:t>1.</w:t>
      </w:r>
      <w:r w:rsidRPr="004E2260">
        <w:rPr>
          <w:noProof/>
        </w:rPr>
        <w:tab/>
        <w:t>Weinstock DS. Using the Herfindahl Index to measure concentration. The Antitrust Bulletin. 1982:285-301.</w:t>
      </w:r>
    </w:p>
    <w:p w14:paraId="1026FBBF" w14:textId="77777777" w:rsidR="004E2260" w:rsidRPr="004E2260" w:rsidRDefault="004E2260" w:rsidP="00462B17">
      <w:pPr>
        <w:pStyle w:val="EndNoteBibliography"/>
        <w:spacing w:line="276" w:lineRule="auto"/>
        <w:rPr>
          <w:noProof/>
        </w:rPr>
      </w:pPr>
      <w:r w:rsidRPr="004E2260">
        <w:rPr>
          <w:noProof/>
        </w:rPr>
        <w:t>2.</w:t>
      </w:r>
      <w:r w:rsidRPr="004E2260">
        <w:rPr>
          <w:noProof/>
        </w:rPr>
        <w:tab/>
        <w:t>Arnold R. Economics: Thomson South-Western; 2008.</w:t>
      </w:r>
    </w:p>
    <w:p w14:paraId="6152F801" w14:textId="77777777" w:rsidR="004E2260" w:rsidRPr="004E2260" w:rsidRDefault="004E2260" w:rsidP="00462B17">
      <w:pPr>
        <w:pStyle w:val="EndNoteBibliography"/>
        <w:spacing w:line="276" w:lineRule="auto"/>
        <w:rPr>
          <w:noProof/>
        </w:rPr>
      </w:pPr>
      <w:r w:rsidRPr="004E2260">
        <w:rPr>
          <w:noProof/>
        </w:rPr>
        <w:t>3.</w:t>
      </w:r>
      <w:r w:rsidRPr="004E2260">
        <w:rPr>
          <w:noProof/>
        </w:rPr>
        <w:tab/>
        <w:t>Lambert TA, Sykuta ME. The Case for Doing Nothin About Institutional Investors’ Common Ownership of Small Stakes in Competing Firms. Virginia Law and Business Review. 2019;13.</w:t>
      </w:r>
    </w:p>
    <w:p w14:paraId="4F5F4EB7" w14:textId="77777777" w:rsidR="004E2260" w:rsidRPr="004E2260" w:rsidRDefault="004E2260" w:rsidP="00462B17">
      <w:pPr>
        <w:pStyle w:val="EndNoteBibliography"/>
        <w:spacing w:line="276" w:lineRule="auto"/>
        <w:rPr>
          <w:noProof/>
        </w:rPr>
      </w:pPr>
      <w:r w:rsidRPr="004E2260">
        <w:rPr>
          <w:noProof/>
        </w:rPr>
        <w:t>4.</w:t>
      </w:r>
      <w:r w:rsidRPr="004E2260">
        <w:rPr>
          <w:noProof/>
        </w:rPr>
        <w:tab/>
        <w:t>OECD. Common Ownership by Institutional Investors and Its Impact on Competition. Paris: Organisation for Economic Co-operation and Development; 2017.  Contract No.: DAF/COMP(2017)10.</w:t>
      </w:r>
    </w:p>
    <w:p w14:paraId="5283333B" w14:textId="77777777" w:rsidR="004E2260" w:rsidRPr="004E2260" w:rsidRDefault="004E2260" w:rsidP="00462B17">
      <w:pPr>
        <w:pStyle w:val="EndNoteBibliography"/>
        <w:spacing w:line="276" w:lineRule="auto"/>
        <w:rPr>
          <w:noProof/>
        </w:rPr>
      </w:pPr>
      <w:r w:rsidRPr="004E2260">
        <w:rPr>
          <w:noProof/>
        </w:rPr>
        <w:t>5.</w:t>
      </w:r>
      <w:r w:rsidRPr="004E2260">
        <w:rPr>
          <w:noProof/>
        </w:rPr>
        <w:tab/>
        <w:t>Posner E, Scott Morton F, Weyl G. A Proposal to Limit the Anti-Competitive Power of Institutional Investors. Corporate Governance and Economics eJournal. 2017.</w:t>
      </w:r>
    </w:p>
    <w:p w14:paraId="5B8CD6C0" w14:textId="77777777" w:rsidR="004E2260" w:rsidRPr="004E2260" w:rsidRDefault="004E2260" w:rsidP="00462B17">
      <w:pPr>
        <w:pStyle w:val="EndNoteBibliography"/>
        <w:spacing w:line="276" w:lineRule="auto"/>
        <w:rPr>
          <w:noProof/>
        </w:rPr>
      </w:pPr>
      <w:r w:rsidRPr="004E2260">
        <w:rPr>
          <w:noProof/>
        </w:rPr>
        <w:t>6.</w:t>
      </w:r>
      <w:r w:rsidRPr="004E2260">
        <w:rPr>
          <w:noProof/>
        </w:rPr>
        <w:tab/>
        <w:t>Elhauge E. Horizontal Shareholding. Harvard Law Review. 2016;129.</w:t>
      </w:r>
    </w:p>
    <w:p w14:paraId="18019E33" w14:textId="77777777" w:rsidR="004E2260" w:rsidRPr="004E2260" w:rsidRDefault="004E2260" w:rsidP="00462B17">
      <w:pPr>
        <w:pStyle w:val="EndNoteBibliography"/>
        <w:spacing w:line="276" w:lineRule="auto"/>
        <w:rPr>
          <w:noProof/>
        </w:rPr>
      </w:pPr>
      <w:r w:rsidRPr="004E2260">
        <w:rPr>
          <w:noProof/>
        </w:rPr>
        <w:t>7.</w:t>
      </w:r>
      <w:r w:rsidRPr="004E2260">
        <w:rPr>
          <w:noProof/>
        </w:rPr>
        <w:tab/>
        <w:t>Azar JS, Martin; Tecu, Isabel. Anticompetitive Effects of Common Ownership. Journal of Finance. 2018;73(4).</w:t>
      </w:r>
    </w:p>
    <w:p w14:paraId="758EA973" w14:textId="77777777" w:rsidR="004E2260" w:rsidRPr="004E2260" w:rsidRDefault="004E2260" w:rsidP="00462B17">
      <w:pPr>
        <w:pStyle w:val="EndNoteBibliography"/>
        <w:spacing w:line="276" w:lineRule="auto"/>
        <w:rPr>
          <w:noProof/>
        </w:rPr>
      </w:pPr>
      <w:r w:rsidRPr="004E2260">
        <w:rPr>
          <w:noProof/>
        </w:rPr>
        <w:t>8.</w:t>
      </w:r>
      <w:r w:rsidRPr="004E2260">
        <w:rPr>
          <w:noProof/>
        </w:rPr>
        <w:tab/>
        <w:t>Schmalensee R. Inter-Industry Studies of Structure and Performance. In: Schmalensee R, Willig R, editors. Handbook of Industrial Organization. Amsterdam: North-Holland; 1989. p. 954.</w:t>
      </w:r>
    </w:p>
    <w:p w14:paraId="27CEB97C" w14:textId="77777777" w:rsidR="004E2260" w:rsidRPr="004E2260" w:rsidRDefault="004E2260" w:rsidP="00462B17">
      <w:pPr>
        <w:pStyle w:val="EndNoteBibliography"/>
        <w:spacing w:line="276" w:lineRule="auto"/>
        <w:rPr>
          <w:noProof/>
        </w:rPr>
      </w:pPr>
      <w:r w:rsidRPr="004E2260">
        <w:rPr>
          <w:noProof/>
        </w:rPr>
        <w:t>9.</w:t>
      </w:r>
      <w:r w:rsidRPr="004E2260">
        <w:rPr>
          <w:noProof/>
        </w:rPr>
        <w:tab/>
        <w:t>OECD. STAN Indicators: Collection of Calculation Formula. The Organisation for Economic Co-operation and Development; 2011.</w:t>
      </w:r>
    </w:p>
    <w:p w14:paraId="0162CBBC" w14:textId="77777777" w:rsidR="004E2260" w:rsidRPr="004E2260" w:rsidRDefault="004E2260" w:rsidP="00462B17">
      <w:pPr>
        <w:pStyle w:val="EndNoteBibliography"/>
        <w:spacing w:line="276" w:lineRule="auto"/>
        <w:rPr>
          <w:noProof/>
        </w:rPr>
      </w:pPr>
      <w:r w:rsidRPr="004E2260">
        <w:rPr>
          <w:noProof/>
        </w:rPr>
        <w:t>10.</w:t>
      </w:r>
      <w:r w:rsidRPr="004E2260">
        <w:rPr>
          <w:noProof/>
        </w:rPr>
        <w:tab/>
        <w:t>Nitzan J, Bichler S. Capital as Power: A Study of Order and Creorder: Routledge; 2009.</w:t>
      </w:r>
    </w:p>
    <w:p w14:paraId="60A14CE4" w14:textId="77777777" w:rsidR="004E2260" w:rsidRPr="004E2260" w:rsidRDefault="004E2260" w:rsidP="00462B17">
      <w:pPr>
        <w:pStyle w:val="EndNoteBibliography"/>
        <w:spacing w:line="276" w:lineRule="auto"/>
        <w:rPr>
          <w:noProof/>
        </w:rPr>
      </w:pPr>
      <w:r w:rsidRPr="004E2260">
        <w:rPr>
          <w:noProof/>
        </w:rPr>
        <w:t>11.</w:t>
      </w:r>
      <w:r w:rsidRPr="004E2260">
        <w:rPr>
          <w:noProof/>
        </w:rPr>
        <w:tab/>
        <w:t>Hager SB, Baines J. The Tax Advantage of Big Business: How the Structure of Corporate Taxation Fuels Concentration and Inequality. Politics &amp; Society. 2020;48(2):275-305.</w:t>
      </w:r>
    </w:p>
    <w:p w14:paraId="67F0EF2C" w14:textId="057124E6" w:rsidR="00694BDE" w:rsidRDefault="004E2260" w:rsidP="00462B17">
      <w:pPr>
        <w:spacing w:line="276" w:lineRule="auto"/>
      </w:pPr>
      <w:r>
        <w:fldChar w:fldCharType="end"/>
      </w:r>
    </w:p>
    <w:sectPr w:rsidR="00694BDE" w:rsidSect="004D5CA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sd9reav6erp0bedwsup2et8pdtzpzdxpxzx&quot;&gt;Ben&amp;apos;s Library-Converted&lt;record-ids&gt;&lt;item&gt;380&lt;/item&gt;&lt;item&gt;388&lt;/item&gt;&lt;item&gt;389&lt;/item&gt;&lt;item&gt;404&lt;/item&gt;&lt;item&gt;520&lt;/item&gt;&lt;item&gt;559&lt;/item&gt;&lt;item&gt;1030&lt;/item&gt;&lt;item&gt;1040&lt;/item&gt;&lt;item&gt;1041&lt;/item&gt;&lt;item&gt;1048&lt;/item&gt;&lt;item&gt;1494&lt;/item&gt;&lt;/record-ids&gt;&lt;/item&gt;&lt;/Libraries&gt;"/>
  </w:docVars>
  <w:rsids>
    <w:rsidRoot w:val="00067DBF"/>
    <w:rsid w:val="00000019"/>
    <w:rsid w:val="00010EC8"/>
    <w:rsid w:val="00021B62"/>
    <w:rsid w:val="00036B4A"/>
    <w:rsid w:val="00057AEB"/>
    <w:rsid w:val="00067DBF"/>
    <w:rsid w:val="0009744A"/>
    <w:rsid w:val="000A15E7"/>
    <w:rsid w:val="000A5C9E"/>
    <w:rsid w:val="000C4A28"/>
    <w:rsid w:val="000F400C"/>
    <w:rsid w:val="000F4A91"/>
    <w:rsid w:val="000F614B"/>
    <w:rsid w:val="000F7320"/>
    <w:rsid w:val="00104AC8"/>
    <w:rsid w:val="0011657E"/>
    <w:rsid w:val="0013431F"/>
    <w:rsid w:val="001D7629"/>
    <w:rsid w:val="00205AA5"/>
    <w:rsid w:val="00210ADB"/>
    <w:rsid w:val="0023075F"/>
    <w:rsid w:val="002447BF"/>
    <w:rsid w:val="00296AD6"/>
    <w:rsid w:val="002D15AF"/>
    <w:rsid w:val="002F3ADD"/>
    <w:rsid w:val="00387EE1"/>
    <w:rsid w:val="003C1A12"/>
    <w:rsid w:val="003C26FA"/>
    <w:rsid w:val="003E63B9"/>
    <w:rsid w:val="004445FE"/>
    <w:rsid w:val="00446567"/>
    <w:rsid w:val="0045349B"/>
    <w:rsid w:val="00462B17"/>
    <w:rsid w:val="00463B1A"/>
    <w:rsid w:val="004C6016"/>
    <w:rsid w:val="004C7A9B"/>
    <w:rsid w:val="004D5CA8"/>
    <w:rsid w:val="004E2260"/>
    <w:rsid w:val="004E3AEB"/>
    <w:rsid w:val="00510288"/>
    <w:rsid w:val="00513789"/>
    <w:rsid w:val="005249BA"/>
    <w:rsid w:val="005303D0"/>
    <w:rsid w:val="0053573C"/>
    <w:rsid w:val="0056639C"/>
    <w:rsid w:val="00583196"/>
    <w:rsid w:val="005A784D"/>
    <w:rsid w:val="005C44DE"/>
    <w:rsid w:val="005D28A3"/>
    <w:rsid w:val="005E5AA0"/>
    <w:rsid w:val="005E6144"/>
    <w:rsid w:val="006504DD"/>
    <w:rsid w:val="00663EDC"/>
    <w:rsid w:val="006662BA"/>
    <w:rsid w:val="00677816"/>
    <w:rsid w:val="006909AC"/>
    <w:rsid w:val="006C7694"/>
    <w:rsid w:val="006F3CB4"/>
    <w:rsid w:val="007219B5"/>
    <w:rsid w:val="00734323"/>
    <w:rsid w:val="00742115"/>
    <w:rsid w:val="00751408"/>
    <w:rsid w:val="00753739"/>
    <w:rsid w:val="00767518"/>
    <w:rsid w:val="007821E7"/>
    <w:rsid w:val="00795036"/>
    <w:rsid w:val="007A65EE"/>
    <w:rsid w:val="007C7FB5"/>
    <w:rsid w:val="007F43FA"/>
    <w:rsid w:val="00883239"/>
    <w:rsid w:val="008F451A"/>
    <w:rsid w:val="009117C0"/>
    <w:rsid w:val="009151F7"/>
    <w:rsid w:val="00933383"/>
    <w:rsid w:val="00941824"/>
    <w:rsid w:val="00986DA6"/>
    <w:rsid w:val="009A535B"/>
    <w:rsid w:val="009A7F26"/>
    <w:rsid w:val="009B64C8"/>
    <w:rsid w:val="009B6D3C"/>
    <w:rsid w:val="009E282F"/>
    <w:rsid w:val="00A06116"/>
    <w:rsid w:val="00A27A95"/>
    <w:rsid w:val="00A6175F"/>
    <w:rsid w:val="00A7400D"/>
    <w:rsid w:val="00A818E1"/>
    <w:rsid w:val="00A821A3"/>
    <w:rsid w:val="00A86829"/>
    <w:rsid w:val="00A91FD9"/>
    <w:rsid w:val="00AA3DD4"/>
    <w:rsid w:val="00AA6BE6"/>
    <w:rsid w:val="00AB2AF4"/>
    <w:rsid w:val="00AC3CC1"/>
    <w:rsid w:val="00B201A1"/>
    <w:rsid w:val="00B426B9"/>
    <w:rsid w:val="00B55541"/>
    <w:rsid w:val="00B56897"/>
    <w:rsid w:val="00B611D1"/>
    <w:rsid w:val="00B6779D"/>
    <w:rsid w:val="00B8058E"/>
    <w:rsid w:val="00B80AB7"/>
    <w:rsid w:val="00BA15A7"/>
    <w:rsid w:val="00BA4B4C"/>
    <w:rsid w:val="00BD5B06"/>
    <w:rsid w:val="00BD6887"/>
    <w:rsid w:val="00C2260F"/>
    <w:rsid w:val="00C447C3"/>
    <w:rsid w:val="00C6389C"/>
    <w:rsid w:val="00C6414C"/>
    <w:rsid w:val="00C74CE6"/>
    <w:rsid w:val="00C80947"/>
    <w:rsid w:val="00C969B2"/>
    <w:rsid w:val="00CA29FA"/>
    <w:rsid w:val="00CB2696"/>
    <w:rsid w:val="00CE2371"/>
    <w:rsid w:val="00D4363B"/>
    <w:rsid w:val="00D464E9"/>
    <w:rsid w:val="00D9473F"/>
    <w:rsid w:val="00DD0E4F"/>
    <w:rsid w:val="00DF1C9F"/>
    <w:rsid w:val="00E30048"/>
    <w:rsid w:val="00E309F3"/>
    <w:rsid w:val="00E3354C"/>
    <w:rsid w:val="00E432F0"/>
    <w:rsid w:val="00E44D21"/>
    <w:rsid w:val="00E60211"/>
    <w:rsid w:val="00E63692"/>
    <w:rsid w:val="00E93319"/>
    <w:rsid w:val="00EA47CF"/>
    <w:rsid w:val="00EC5794"/>
    <w:rsid w:val="00ED03E5"/>
    <w:rsid w:val="00EF3D1A"/>
    <w:rsid w:val="00F00446"/>
    <w:rsid w:val="00F272B9"/>
    <w:rsid w:val="00F27F46"/>
    <w:rsid w:val="00F423AA"/>
    <w:rsid w:val="00F47352"/>
    <w:rsid w:val="00F872CB"/>
    <w:rsid w:val="00F9495D"/>
    <w:rsid w:val="00FC1831"/>
    <w:rsid w:val="00FC63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68D0C"/>
  <w14:defaultImageDpi w14:val="32767"/>
  <w15:chartTrackingRefBased/>
  <w15:docId w15:val="{5D29A1D0-8993-6841-ABFD-28DDC73C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67DBF"/>
    <w:rPr>
      <w:rFonts w:ascii="Times New Roman" w:eastAsia="Times New Roman" w:hAnsi="Times New Roman" w:cs="Times New Roman"/>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7DBF"/>
    <w:rPr>
      <w:rFonts w:eastAsiaTheme="minorHAnsi"/>
      <w:sz w:val="18"/>
      <w:szCs w:val="18"/>
      <w:lang w:val="en-GB" w:eastAsia="en-US"/>
    </w:rPr>
  </w:style>
  <w:style w:type="character" w:customStyle="1" w:styleId="BalloonTextChar">
    <w:name w:val="Balloon Text Char"/>
    <w:basedOn w:val="DefaultParagraphFont"/>
    <w:link w:val="BalloonText"/>
    <w:uiPriority w:val="99"/>
    <w:semiHidden/>
    <w:rsid w:val="00067DBF"/>
    <w:rPr>
      <w:rFonts w:ascii="Times New Roman" w:hAnsi="Times New Roman" w:cs="Times New Roman"/>
      <w:sz w:val="18"/>
      <w:szCs w:val="18"/>
    </w:rPr>
  </w:style>
  <w:style w:type="paragraph" w:styleId="ListParagraph">
    <w:name w:val="List Paragraph"/>
    <w:basedOn w:val="Normal"/>
    <w:link w:val="ListParagraphChar"/>
    <w:uiPriority w:val="34"/>
    <w:qFormat/>
    <w:rsid w:val="00067DBF"/>
    <w:pPr>
      <w:ind w:left="720"/>
      <w:contextualSpacing/>
    </w:pPr>
  </w:style>
  <w:style w:type="table" w:styleId="TableGrid">
    <w:name w:val="Table Grid"/>
    <w:basedOn w:val="TableNormal"/>
    <w:uiPriority w:val="39"/>
    <w:rsid w:val="00067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067DBF"/>
    <w:rPr>
      <w:rFonts w:ascii="Times New Roman" w:eastAsia="Times New Roman" w:hAnsi="Times New Roman" w:cs="Times New Roman"/>
      <w:lang w:val="en-AU" w:eastAsia="en-GB"/>
    </w:rPr>
  </w:style>
  <w:style w:type="paragraph" w:customStyle="1" w:styleId="EndNoteBibliographyTitle">
    <w:name w:val="EndNote Bibliography Title"/>
    <w:basedOn w:val="Normal"/>
    <w:link w:val="EndNoteBibliographyTitleChar"/>
    <w:rsid w:val="004E2260"/>
    <w:pPr>
      <w:jc w:val="center"/>
    </w:pPr>
    <w:rPr>
      <w:rFonts w:ascii="Calibri" w:hAnsi="Calibri" w:cs="Calibri"/>
      <w:lang w:val="en-GB"/>
    </w:rPr>
  </w:style>
  <w:style w:type="character" w:customStyle="1" w:styleId="EndNoteBibliographyTitleChar">
    <w:name w:val="EndNote Bibliography Title Char"/>
    <w:basedOn w:val="ListParagraphChar"/>
    <w:link w:val="EndNoteBibliographyTitle"/>
    <w:rsid w:val="004E2260"/>
    <w:rPr>
      <w:rFonts w:ascii="Calibri" w:eastAsia="Times New Roman" w:hAnsi="Calibri" w:cs="Calibri"/>
      <w:lang w:val="en-AU" w:eastAsia="en-GB"/>
    </w:rPr>
  </w:style>
  <w:style w:type="paragraph" w:customStyle="1" w:styleId="EndNoteBibliography">
    <w:name w:val="EndNote Bibliography"/>
    <w:basedOn w:val="Normal"/>
    <w:link w:val="EndNoteBibliographyChar"/>
    <w:rsid w:val="004E2260"/>
    <w:rPr>
      <w:rFonts w:ascii="Calibri" w:hAnsi="Calibri" w:cs="Calibri"/>
      <w:lang w:val="en-GB"/>
    </w:rPr>
  </w:style>
  <w:style w:type="character" w:customStyle="1" w:styleId="EndNoteBibliographyChar">
    <w:name w:val="EndNote Bibliography Char"/>
    <w:basedOn w:val="ListParagraphChar"/>
    <w:link w:val="EndNoteBibliography"/>
    <w:rsid w:val="004E2260"/>
    <w:rPr>
      <w:rFonts w:ascii="Calibri" w:eastAsia="Times New Roman" w:hAnsi="Calibri" w:cs="Calibri"/>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2454</Words>
  <Characters>13990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Ben</cp:lastModifiedBy>
  <cp:revision>8</cp:revision>
  <dcterms:created xsi:type="dcterms:W3CDTF">2021-02-05T08:03:00Z</dcterms:created>
  <dcterms:modified xsi:type="dcterms:W3CDTF">2021-02-25T15:39:00Z</dcterms:modified>
</cp:coreProperties>
</file>