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DCF62" w14:textId="77777777" w:rsidR="00AA2DF7" w:rsidRPr="00724840" w:rsidRDefault="00AA2DF7" w:rsidP="00AA2DF7">
      <w:pPr>
        <w:pStyle w:val="Heading3"/>
        <w:numPr>
          <w:ilvl w:val="0"/>
          <w:numId w:val="0"/>
        </w:numPr>
        <w:spacing w:line="480" w:lineRule="auto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Supplementary material</w:t>
      </w:r>
    </w:p>
    <w:p w14:paraId="6D09CCFF" w14:textId="77777777" w:rsidR="00AA2DF7" w:rsidRPr="00724840" w:rsidRDefault="00AA2DF7" w:rsidP="00AA2DF7">
      <w:pPr>
        <w:spacing w:line="480" w:lineRule="auto"/>
        <w:rPr>
          <w:rFonts w:asciiTheme="minorHAnsi" w:hAnsiTheme="minorHAnsi" w:cstheme="minorHAnsi"/>
          <w:sz w:val="22"/>
        </w:rPr>
      </w:pPr>
      <w:r w:rsidRPr="00724840">
        <w:rPr>
          <w:rFonts w:asciiTheme="minorHAnsi" w:hAnsiTheme="minorHAnsi" w:cstheme="minorHAnsi"/>
          <w:sz w:val="22"/>
        </w:rPr>
        <w:t xml:space="preserve">Table </w:t>
      </w:r>
      <w:r>
        <w:rPr>
          <w:rFonts w:asciiTheme="minorHAnsi" w:hAnsiTheme="minorHAnsi" w:cstheme="minorHAnsi"/>
          <w:sz w:val="22"/>
        </w:rPr>
        <w:t>S</w:t>
      </w:r>
      <w:r w:rsidRPr="00724840">
        <w:rPr>
          <w:rFonts w:asciiTheme="minorHAnsi" w:hAnsiTheme="minorHAnsi" w:cstheme="minorHAnsi"/>
          <w:sz w:val="22"/>
        </w:rPr>
        <w:t>1: SPAR indicators</w:t>
      </w:r>
    </w:p>
    <w:tbl>
      <w:tblPr>
        <w:tblStyle w:val="PlainTable5"/>
        <w:tblW w:w="9130" w:type="dxa"/>
        <w:tblLook w:val="04A0" w:firstRow="1" w:lastRow="0" w:firstColumn="1" w:lastColumn="0" w:noHBand="0" w:noVBand="1"/>
      </w:tblPr>
      <w:tblGrid>
        <w:gridCol w:w="2632"/>
        <w:gridCol w:w="1527"/>
        <w:gridCol w:w="4971"/>
      </w:tblGrid>
      <w:tr w:rsidR="00AA2DF7" w:rsidRPr="00724840" w14:paraId="15D8F465" w14:textId="77777777" w:rsidTr="00A947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32" w:type="dxa"/>
            <w:hideMark/>
          </w:tcPr>
          <w:p w14:paraId="2C0A5025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b/>
                <w:bCs/>
                <w:sz w:val="22"/>
                <w:lang w:eastAsia="en-GB"/>
              </w:rPr>
              <w:t>SPAR Topic</w:t>
            </w:r>
          </w:p>
        </w:tc>
        <w:tc>
          <w:tcPr>
            <w:tcW w:w="1527" w:type="dxa"/>
            <w:hideMark/>
          </w:tcPr>
          <w:p w14:paraId="22B15883" w14:textId="77777777" w:rsidR="00AA2DF7" w:rsidRPr="00724840" w:rsidRDefault="00AA2DF7" w:rsidP="00A9479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b/>
                <w:bCs/>
                <w:sz w:val="22"/>
                <w:lang w:eastAsia="en-GB"/>
              </w:rPr>
              <w:t>SPAR Indicator</w:t>
            </w:r>
          </w:p>
        </w:tc>
        <w:tc>
          <w:tcPr>
            <w:tcW w:w="4971" w:type="dxa"/>
            <w:hideMark/>
          </w:tcPr>
          <w:p w14:paraId="089D4E7E" w14:textId="77777777" w:rsidR="00AA2DF7" w:rsidRPr="00724840" w:rsidRDefault="00AA2DF7" w:rsidP="00A9479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b/>
                <w:bCs/>
                <w:sz w:val="22"/>
                <w:lang w:eastAsia="en-GB"/>
              </w:rPr>
              <w:t>SPAR Description</w:t>
            </w:r>
          </w:p>
        </w:tc>
      </w:tr>
      <w:tr w:rsidR="00AA2DF7" w:rsidRPr="00724840" w14:paraId="6DB9C11D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dxa"/>
            <w:hideMark/>
          </w:tcPr>
          <w:p w14:paraId="3F247825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C1. LEGISLATION AND FINANCING</w:t>
            </w:r>
          </w:p>
        </w:tc>
        <w:tc>
          <w:tcPr>
            <w:tcW w:w="1527" w:type="dxa"/>
            <w:hideMark/>
          </w:tcPr>
          <w:p w14:paraId="7521F8C8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C1.1</w:t>
            </w:r>
          </w:p>
        </w:tc>
        <w:tc>
          <w:tcPr>
            <w:tcW w:w="4971" w:type="dxa"/>
            <w:hideMark/>
          </w:tcPr>
          <w:p w14:paraId="33520C97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Legislation, laws, regulations, policy, administrative requirements or other government instruments to implement the IHR</w:t>
            </w:r>
          </w:p>
        </w:tc>
      </w:tr>
      <w:tr w:rsidR="00AA2DF7" w:rsidRPr="00724840" w14:paraId="4148BD87" w14:textId="77777777" w:rsidTr="00A94795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dxa"/>
            <w:hideMark/>
          </w:tcPr>
          <w:p w14:paraId="0A326196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</w:p>
        </w:tc>
        <w:tc>
          <w:tcPr>
            <w:tcW w:w="1527" w:type="dxa"/>
            <w:hideMark/>
          </w:tcPr>
          <w:p w14:paraId="49D66845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C1.2</w:t>
            </w:r>
          </w:p>
        </w:tc>
        <w:tc>
          <w:tcPr>
            <w:tcW w:w="4971" w:type="dxa"/>
            <w:hideMark/>
          </w:tcPr>
          <w:p w14:paraId="416B026C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Financing for the implementation of IHR capacities</w:t>
            </w:r>
          </w:p>
        </w:tc>
      </w:tr>
      <w:tr w:rsidR="00AA2DF7" w:rsidRPr="00724840" w14:paraId="7C99F4E7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dxa"/>
            <w:hideMark/>
          </w:tcPr>
          <w:p w14:paraId="1E9BCB26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</w:p>
        </w:tc>
        <w:tc>
          <w:tcPr>
            <w:tcW w:w="1527" w:type="dxa"/>
            <w:hideMark/>
          </w:tcPr>
          <w:p w14:paraId="59CD21E2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C1.3</w:t>
            </w:r>
          </w:p>
        </w:tc>
        <w:tc>
          <w:tcPr>
            <w:tcW w:w="4971" w:type="dxa"/>
            <w:hideMark/>
          </w:tcPr>
          <w:p w14:paraId="2D99B3F8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Financing mechanism and funds for timely response to public health emergencies</w:t>
            </w:r>
          </w:p>
        </w:tc>
      </w:tr>
      <w:tr w:rsidR="00AA2DF7" w:rsidRPr="00724840" w14:paraId="75260E55" w14:textId="77777777" w:rsidTr="00A94795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dxa"/>
            <w:hideMark/>
          </w:tcPr>
          <w:p w14:paraId="39552A85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C2. IHR COORDINATION AND NATIONAL IHR FOCAL POINT FUNCTIONS</w:t>
            </w:r>
          </w:p>
        </w:tc>
        <w:tc>
          <w:tcPr>
            <w:tcW w:w="1527" w:type="dxa"/>
            <w:hideMark/>
          </w:tcPr>
          <w:p w14:paraId="134CF9AD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C2.1</w:t>
            </w:r>
          </w:p>
        </w:tc>
        <w:tc>
          <w:tcPr>
            <w:tcW w:w="4971" w:type="dxa"/>
            <w:hideMark/>
          </w:tcPr>
          <w:p w14:paraId="0B130EA9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National IHR Focal Point functions under IHR</w:t>
            </w:r>
          </w:p>
        </w:tc>
      </w:tr>
      <w:tr w:rsidR="00AA2DF7" w:rsidRPr="00724840" w14:paraId="078C642D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dxa"/>
            <w:hideMark/>
          </w:tcPr>
          <w:p w14:paraId="5000C1C6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</w:p>
        </w:tc>
        <w:tc>
          <w:tcPr>
            <w:tcW w:w="1527" w:type="dxa"/>
            <w:hideMark/>
          </w:tcPr>
          <w:p w14:paraId="48169C2D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C2.2</w:t>
            </w:r>
          </w:p>
        </w:tc>
        <w:tc>
          <w:tcPr>
            <w:tcW w:w="4971" w:type="dxa"/>
            <w:hideMark/>
          </w:tcPr>
          <w:p w14:paraId="26723C9F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Multisectoral IHR coordination mechanisms</w:t>
            </w:r>
          </w:p>
        </w:tc>
      </w:tr>
      <w:tr w:rsidR="00AA2DF7" w:rsidRPr="00724840" w14:paraId="577FEFE5" w14:textId="77777777" w:rsidTr="00A94795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dxa"/>
            <w:hideMark/>
          </w:tcPr>
          <w:p w14:paraId="2FEBBF9B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C3. ZOONOTIC EVENTS AND THE HUMAN–ANIMAL INTERFACE</w:t>
            </w:r>
          </w:p>
        </w:tc>
        <w:tc>
          <w:tcPr>
            <w:tcW w:w="1527" w:type="dxa"/>
            <w:hideMark/>
          </w:tcPr>
          <w:p w14:paraId="02226C10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C3.1</w:t>
            </w:r>
          </w:p>
        </w:tc>
        <w:tc>
          <w:tcPr>
            <w:tcW w:w="4971" w:type="dxa"/>
            <w:hideMark/>
          </w:tcPr>
          <w:p w14:paraId="7D98519D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Collaborative effort on activities to address zoonoses</w:t>
            </w:r>
          </w:p>
        </w:tc>
      </w:tr>
      <w:tr w:rsidR="00AA2DF7" w:rsidRPr="00724840" w14:paraId="5D42A26B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dxa"/>
            <w:hideMark/>
          </w:tcPr>
          <w:p w14:paraId="6222F856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C4. FOOD SAFETY</w:t>
            </w:r>
          </w:p>
        </w:tc>
        <w:tc>
          <w:tcPr>
            <w:tcW w:w="1527" w:type="dxa"/>
            <w:hideMark/>
          </w:tcPr>
          <w:p w14:paraId="729DD467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C4.1</w:t>
            </w:r>
          </w:p>
        </w:tc>
        <w:tc>
          <w:tcPr>
            <w:tcW w:w="4971" w:type="dxa"/>
            <w:hideMark/>
          </w:tcPr>
          <w:p w14:paraId="2BEA7977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Multisectoral collaboration mechanism for food safety events</w:t>
            </w:r>
          </w:p>
        </w:tc>
      </w:tr>
      <w:tr w:rsidR="00AA2DF7" w:rsidRPr="00724840" w14:paraId="3D2CFD47" w14:textId="77777777" w:rsidTr="00A94795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dxa"/>
            <w:hideMark/>
          </w:tcPr>
          <w:p w14:paraId="605DDB0E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C5. LABORATORY</w:t>
            </w:r>
          </w:p>
        </w:tc>
        <w:tc>
          <w:tcPr>
            <w:tcW w:w="1527" w:type="dxa"/>
            <w:hideMark/>
          </w:tcPr>
          <w:p w14:paraId="0BA98F6A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C5.1</w:t>
            </w:r>
          </w:p>
        </w:tc>
        <w:tc>
          <w:tcPr>
            <w:tcW w:w="4971" w:type="dxa"/>
            <w:hideMark/>
          </w:tcPr>
          <w:p w14:paraId="02EF9B7F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Specimen referral and transport system</w:t>
            </w:r>
          </w:p>
        </w:tc>
      </w:tr>
      <w:tr w:rsidR="00AA2DF7" w:rsidRPr="00724840" w14:paraId="2E1A77A1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dxa"/>
            <w:hideMark/>
          </w:tcPr>
          <w:p w14:paraId="01FD51BC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</w:p>
        </w:tc>
        <w:tc>
          <w:tcPr>
            <w:tcW w:w="1527" w:type="dxa"/>
            <w:hideMark/>
          </w:tcPr>
          <w:p w14:paraId="6E35419B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C5.2</w:t>
            </w:r>
          </w:p>
        </w:tc>
        <w:tc>
          <w:tcPr>
            <w:tcW w:w="4971" w:type="dxa"/>
            <w:hideMark/>
          </w:tcPr>
          <w:p w14:paraId="0C22CCE0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Implementation of a laboratory biosafety and biosecurity regime</w:t>
            </w:r>
          </w:p>
        </w:tc>
      </w:tr>
      <w:tr w:rsidR="00AA2DF7" w:rsidRPr="00724840" w14:paraId="3814D6DA" w14:textId="77777777" w:rsidTr="00A94795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dxa"/>
            <w:hideMark/>
          </w:tcPr>
          <w:p w14:paraId="486C358D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</w:p>
        </w:tc>
        <w:tc>
          <w:tcPr>
            <w:tcW w:w="1527" w:type="dxa"/>
            <w:hideMark/>
          </w:tcPr>
          <w:p w14:paraId="7A4F48CC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C5.3</w:t>
            </w:r>
          </w:p>
        </w:tc>
        <w:tc>
          <w:tcPr>
            <w:tcW w:w="4971" w:type="dxa"/>
            <w:hideMark/>
          </w:tcPr>
          <w:p w14:paraId="4EA8AD80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Access to laboratory testing capacity for priority diseases</w:t>
            </w:r>
          </w:p>
        </w:tc>
      </w:tr>
      <w:tr w:rsidR="00AA2DF7" w:rsidRPr="00724840" w14:paraId="2E748011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dxa"/>
            <w:hideMark/>
          </w:tcPr>
          <w:p w14:paraId="12832A63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lastRenderedPageBreak/>
              <w:t>C6. SURVEILLANCE</w:t>
            </w:r>
          </w:p>
        </w:tc>
        <w:tc>
          <w:tcPr>
            <w:tcW w:w="1527" w:type="dxa"/>
            <w:hideMark/>
          </w:tcPr>
          <w:p w14:paraId="4CFDCC7D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C6.1</w:t>
            </w:r>
          </w:p>
        </w:tc>
        <w:tc>
          <w:tcPr>
            <w:tcW w:w="4971" w:type="dxa"/>
            <w:hideMark/>
          </w:tcPr>
          <w:p w14:paraId="3F9ABDEA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Early warning function: indicator-and event-based surveillance</w:t>
            </w:r>
          </w:p>
        </w:tc>
      </w:tr>
      <w:tr w:rsidR="00AA2DF7" w:rsidRPr="00724840" w14:paraId="5EBF3871" w14:textId="77777777" w:rsidTr="00A94795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dxa"/>
            <w:hideMark/>
          </w:tcPr>
          <w:p w14:paraId="4661DFA5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</w:p>
        </w:tc>
        <w:tc>
          <w:tcPr>
            <w:tcW w:w="1527" w:type="dxa"/>
            <w:hideMark/>
          </w:tcPr>
          <w:p w14:paraId="33CDA41E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C6.2</w:t>
            </w:r>
          </w:p>
        </w:tc>
        <w:tc>
          <w:tcPr>
            <w:tcW w:w="4971" w:type="dxa"/>
            <w:hideMark/>
          </w:tcPr>
          <w:p w14:paraId="731DF14E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Mechanism for event management (verification, risk assessment, analysis, investigation)</w:t>
            </w:r>
          </w:p>
        </w:tc>
      </w:tr>
      <w:tr w:rsidR="00AA2DF7" w:rsidRPr="00724840" w14:paraId="130B2D7A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dxa"/>
            <w:hideMark/>
          </w:tcPr>
          <w:p w14:paraId="68E531AC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C7. HUMAN RESOURCES</w:t>
            </w:r>
          </w:p>
        </w:tc>
        <w:tc>
          <w:tcPr>
            <w:tcW w:w="1527" w:type="dxa"/>
            <w:hideMark/>
          </w:tcPr>
          <w:p w14:paraId="3BAF7F88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C7.1</w:t>
            </w:r>
          </w:p>
        </w:tc>
        <w:tc>
          <w:tcPr>
            <w:tcW w:w="4971" w:type="dxa"/>
            <w:hideMark/>
          </w:tcPr>
          <w:p w14:paraId="56BC5B66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Human resources for the implementation of IHR capacities</w:t>
            </w:r>
          </w:p>
        </w:tc>
      </w:tr>
      <w:tr w:rsidR="00AA2DF7" w:rsidRPr="00724840" w14:paraId="4D998AE2" w14:textId="77777777" w:rsidTr="00A94795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dxa"/>
            <w:hideMark/>
          </w:tcPr>
          <w:p w14:paraId="2EDC577F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C8. NATIONAL HEALTH EMERGENCY FRAMEWORK</w:t>
            </w:r>
          </w:p>
        </w:tc>
        <w:tc>
          <w:tcPr>
            <w:tcW w:w="1527" w:type="dxa"/>
            <w:hideMark/>
          </w:tcPr>
          <w:p w14:paraId="56156320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C8.1</w:t>
            </w:r>
          </w:p>
        </w:tc>
        <w:tc>
          <w:tcPr>
            <w:tcW w:w="4971" w:type="dxa"/>
            <w:hideMark/>
          </w:tcPr>
          <w:p w14:paraId="0D88A11D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Planning for emergency preparedness and response mechanism</w:t>
            </w:r>
          </w:p>
        </w:tc>
      </w:tr>
      <w:tr w:rsidR="00AA2DF7" w:rsidRPr="00724840" w14:paraId="5062675F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dxa"/>
            <w:hideMark/>
          </w:tcPr>
          <w:p w14:paraId="1671E688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</w:p>
        </w:tc>
        <w:tc>
          <w:tcPr>
            <w:tcW w:w="1527" w:type="dxa"/>
            <w:hideMark/>
          </w:tcPr>
          <w:p w14:paraId="2AA5AE7F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C8.2</w:t>
            </w:r>
          </w:p>
        </w:tc>
        <w:tc>
          <w:tcPr>
            <w:tcW w:w="4971" w:type="dxa"/>
            <w:hideMark/>
          </w:tcPr>
          <w:p w14:paraId="312415BB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Management of health emergency response operations</w:t>
            </w:r>
          </w:p>
        </w:tc>
      </w:tr>
      <w:tr w:rsidR="00AA2DF7" w:rsidRPr="00724840" w14:paraId="2751E842" w14:textId="77777777" w:rsidTr="00A94795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dxa"/>
            <w:hideMark/>
          </w:tcPr>
          <w:p w14:paraId="6A248971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</w:p>
        </w:tc>
        <w:tc>
          <w:tcPr>
            <w:tcW w:w="1527" w:type="dxa"/>
            <w:hideMark/>
          </w:tcPr>
          <w:p w14:paraId="16B99D67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C8.3</w:t>
            </w:r>
          </w:p>
        </w:tc>
        <w:tc>
          <w:tcPr>
            <w:tcW w:w="4971" w:type="dxa"/>
            <w:hideMark/>
          </w:tcPr>
          <w:p w14:paraId="69D83ABA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Emergency resource mobilization</w:t>
            </w:r>
          </w:p>
        </w:tc>
      </w:tr>
      <w:tr w:rsidR="00AA2DF7" w:rsidRPr="00724840" w14:paraId="1476837D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dxa"/>
            <w:hideMark/>
          </w:tcPr>
          <w:p w14:paraId="0C47FB08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C9. HEALTH SERVICE PROVISION</w:t>
            </w:r>
          </w:p>
        </w:tc>
        <w:tc>
          <w:tcPr>
            <w:tcW w:w="1527" w:type="dxa"/>
            <w:hideMark/>
          </w:tcPr>
          <w:p w14:paraId="40760739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C9.1</w:t>
            </w:r>
          </w:p>
        </w:tc>
        <w:tc>
          <w:tcPr>
            <w:tcW w:w="4971" w:type="dxa"/>
            <w:hideMark/>
          </w:tcPr>
          <w:p w14:paraId="0AFFDAB8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Case management capacity for IHR relevant hazards</w:t>
            </w:r>
          </w:p>
        </w:tc>
      </w:tr>
      <w:tr w:rsidR="00AA2DF7" w:rsidRPr="00724840" w14:paraId="3E52E1B3" w14:textId="77777777" w:rsidTr="00A94795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dxa"/>
            <w:hideMark/>
          </w:tcPr>
          <w:p w14:paraId="219F0032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</w:p>
        </w:tc>
        <w:tc>
          <w:tcPr>
            <w:tcW w:w="1527" w:type="dxa"/>
            <w:hideMark/>
          </w:tcPr>
          <w:p w14:paraId="6BD730F7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C9.2</w:t>
            </w:r>
          </w:p>
        </w:tc>
        <w:tc>
          <w:tcPr>
            <w:tcW w:w="4971" w:type="dxa"/>
            <w:hideMark/>
          </w:tcPr>
          <w:p w14:paraId="397E536A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Capacity for infection prevention and control and chemical and radiation decontamination</w:t>
            </w:r>
          </w:p>
        </w:tc>
      </w:tr>
      <w:tr w:rsidR="00AA2DF7" w:rsidRPr="00724840" w14:paraId="3946373E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dxa"/>
            <w:hideMark/>
          </w:tcPr>
          <w:p w14:paraId="0CA961DA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</w:p>
        </w:tc>
        <w:tc>
          <w:tcPr>
            <w:tcW w:w="1527" w:type="dxa"/>
            <w:hideMark/>
          </w:tcPr>
          <w:p w14:paraId="591BA928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C9.3</w:t>
            </w:r>
          </w:p>
        </w:tc>
        <w:tc>
          <w:tcPr>
            <w:tcW w:w="4971" w:type="dxa"/>
            <w:hideMark/>
          </w:tcPr>
          <w:p w14:paraId="15354FE1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Access to essential health services</w:t>
            </w:r>
          </w:p>
        </w:tc>
      </w:tr>
      <w:tr w:rsidR="00AA2DF7" w:rsidRPr="00724840" w14:paraId="48F417D8" w14:textId="77777777" w:rsidTr="00A94795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dxa"/>
            <w:hideMark/>
          </w:tcPr>
          <w:p w14:paraId="55C20A75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C10. RISK COMMUNICATION</w:t>
            </w:r>
          </w:p>
        </w:tc>
        <w:tc>
          <w:tcPr>
            <w:tcW w:w="1527" w:type="dxa"/>
            <w:hideMark/>
          </w:tcPr>
          <w:p w14:paraId="1018088B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C10.1</w:t>
            </w:r>
          </w:p>
        </w:tc>
        <w:tc>
          <w:tcPr>
            <w:tcW w:w="4971" w:type="dxa"/>
            <w:hideMark/>
          </w:tcPr>
          <w:p w14:paraId="050C6E67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Capacity for emergency risk communications</w:t>
            </w:r>
          </w:p>
        </w:tc>
      </w:tr>
      <w:tr w:rsidR="00AA2DF7" w:rsidRPr="00724840" w14:paraId="0FF4FD7E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dxa"/>
            <w:hideMark/>
          </w:tcPr>
          <w:p w14:paraId="57439CAC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C11. POINTS OF ENTRY</w:t>
            </w:r>
          </w:p>
        </w:tc>
        <w:tc>
          <w:tcPr>
            <w:tcW w:w="1527" w:type="dxa"/>
            <w:hideMark/>
          </w:tcPr>
          <w:p w14:paraId="57DE5F34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C11.1</w:t>
            </w:r>
          </w:p>
        </w:tc>
        <w:tc>
          <w:tcPr>
            <w:tcW w:w="4971" w:type="dxa"/>
            <w:hideMark/>
          </w:tcPr>
          <w:p w14:paraId="08F73D3D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 xml:space="preserve">Core capacity requirements </w:t>
            </w:r>
            <w:proofErr w:type="gramStart"/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at all times</w:t>
            </w:r>
            <w:proofErr w:type="gramEnd"/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 xml:space="preserve"> for designated airports, ports and ground crossings</w:t>
            </w:r>
          </w:p>
        </w:tc>
      </w:tr>
      <w:tr w:rsidR="00AA2DF7" w:rsidRPr="00724840" w14:paraId="52181346" w14:textId="77777777" w:rsidTr="00A94795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dxa"/>
            <w:hideMark/>
          </w:tcPr>
          <w:p w14:paraId="44AD8452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</w:p>
        </w:tc>
        <w:tc>
          <w:tcPr>
            <w:tcW w:w="1527" w:type="dxa"/>
            <w:hideMark/>
          </w:tcPr>
          <w:p w14:paraId="4FBA0472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C11.2</w:t>
            </w:r>
          </w:p>
        </w:tc>
        <w:tc>
          <w:tcPr>
            <w:tcW w:w="4971" w:type="dxa"/>
            <w:hideMark/>
          </w:tcPr>
          <w:p w14:paraId="2E496E45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Effective public health response at points of entry</w:t>
            </w:r>
          </w:p>
        </w:tc>
      </w:tr>
      <w:tr w:rsidR="00AA2DF7" w:rsidRPr="00724840" w14:paraId="26170AE5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dxa"/>
            <w:hideMark/>
          </w:tcPr>
          <w:p w14:paraId="00A845D7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C12. CHEMICAL EVENTS</w:t>
            </w:r>
          </w:p>
        </w:tc>
        <w:tc>
          <w:tcPr>
            <w:tcW w:w="1527" w:type="dxa"/>
            <w:hideMark/>
          </w:tcPr>
          <w:p w14:paraId="528C01AD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C12.1</w:t>
            </w:r>
          </w:p>
        </w:tc>
        <w:tc>
          <w:tcPr>
            <w:tcW w:w="4971" w:type="dxa"/>
            <w:hideMark/>
          </w:tcPr>
          <w:p w14:paraId="60292902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Resources for detection and alert</w:t>
            </w:r>
          </w:p>
        </w:tc>
      </w:tr>
      <w:tr w:rsidR="00AA2DF7" w:rsidRPr="00724840" w14:paraId="15C484C2" w14:textId="77777777" w:rsidTr="00A94795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dxa"/>
            <w:hideMark/>
          </w:tcPr>
          <w:p w14:paraId="5D09AC83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C13. RADIATION EMERGENCIES</w:t>
            </w:r>
          </w:p>
        </w:tc>
        <w:tc>
          <w:tcPr>
            <w:tcW w:w="1527" w:type="dxa"/>
            <w:hideMark/>
          </w:tcPr>
          <w:p w14:paraId="572BF5B4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C13.1</w:t>
            </w:r>
          </w:p>
        </w:tc>
        <w:tc>
          <w:tcPr>
            <w:tcW w:w="4971" w:type="dxa"/>
            <w:hideMark/>
          </w:tcPr>
          <w:p w14:paraId="4C7DEB9B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724840">
              <w:rPr>
                <w:rFonts w:asciiTheme="minorHAnsi" w:eastAsia="Times New Roman" w:hAnsiTheme="minorHAnsi" w:cstheme="minorHAnsi"/>
                <w:sz w:val="22"/>
                <w:lang w:eastAsia="en-GB"/>
              </w:rPr>
              <w:t>Capacity and resources</w:t>
            </w:r>
          </w:p>
        </w:tc>
      </w:tr>
    </w:tbl>
    <w:p w14:paraId="2F25CC16" w14:textId="77777777" w:rsidR="00AA2DF7" w:rsidRPr="00724840" w:rsidRDefault="00AA2DF7" w:rsidP="00AA2DF7">
      <w:pPr>
        <w:spacing w:line="480" w:lineRule="auto"/>
        <w:rPr>
          <w:rFonts w:asciiTheme="minorHAnsi" w:hAnsiTheme="minorHAnsi" w:cstheme="minorHAnsi"/>
          <w:sz w:val="22"/>
        </w:rPr>
      </w:pPr>
      <w:r w:rsidRPr="00724840">
        <w:rPr>
          <w:rFonts w:asciiTheme="minorHAnsi" w:hAnsiTheme="minorHAnsi" w:cstheme="minorHAnsi"/>
          <w:sz w:val="22"/>
        </w:rPr>
        <w:t xml:space="preserve">Table </w:t>
      </w:r>
      <w:r>
        <w:rPr>
          <w:rFonts w:asciiTheme="minorHAnsi" w:hAnsiTheme="minorHAnsi" w:cstheme="minorHAnsi"/>
          <w:sz w:val="22"/>
        </w:rPr>
        <w:t>S</w:t>
      </w:r>
      <w:r w:rsidRPr="00724840">
        <w:rPr>
          <w:rFonts w:asciiTheme="minorHAnsi" w:hAnsiTheme="minorHAnsi" w:cstheme="minorHAnsi"/>
          <w:sz w:val="22"/>
        </w:rPr>
        <w:t>2: JEE indicators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2194"/>
        <w:gridCol w:w="1039"/>
        <w:gridCol w:w="5793"/>
      </w:tblGrid>
      <w:tr w:rsidR="00AA2DF7" w:rsidRPr="00724840" w14:paraId="287DE259" w14:textId="77777777" w:rsidTr="00A947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43" w:type="dxa"/>
            <w:hideMark/>
          </w:tcPr>
          <w:p w14:paraId="58133804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24840">
              <w:rPr>
                <w:rFonts w:asciiTheme="minorHAnsi" w:hAnsiTheme="minorHAnsi" w:cstheme="minorHAnsi"/>
                <w:b/>
                <w:bCs/>
                <w:sz w:val="22"/>
              </w:rPr>
              <w:lastRenderedPageBreak/>
              <w:t>JEE Indicator Topic</w:t>
            </w:r>
          </w:p>
        </w:tc>
        <w:tc>
          <w:tcPr>
            <w:tcW w:w="1039" w:type="dxa"/>
            <w:hideMark/>
          </w:tcPr>
          <w:p w14:paraId="7458CAFD" w14:textId="77777777" w:rsidR="00AA2DF7" w:rsidRPr="00724840" w:rsidRDefault="00AA2DF7" w:rsidP="00A9479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24840">
              <w:rPr>
                <w:rFonts w:asciiTheme="minorHAnsi" w:hAnsiTheme="minorHAnsi" w:cstheme="minorHAnsi"/>
                <w:b/>
                <w:bCs/>
                <w:sz w:val="22"/>
              </w:rPr>
              <w:t>JEE Indicator</w:t>
            </w:r>
          </w:p>
        </w:tc>
        <w:tc>
          <w:tcPr>
            <w:tcW w:w="6216" w:type="dxa"/>
            <w:hideMark/>
          </w:tcPr>
          <w:p w14:paraId="0D704E70" w14:textId="77777777" w:rsidR="00AA2DF7" w:rsidRPr="00724840" w:rsidRDefault="00AA2DF7" w:rsidP="00A9479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24840">
              <w:rPr>
                <w:rFonts w:asciiTheme="minorHAnsi" w:hAnsiTheme="minorHAnsi" w:cstheme="minorHAnsi"/>
                <w:b/>
                <w:bCs/>
                <w:sz w:val="22"/>
              </w:rPr>
              <w:t>JEE Description</w:t>
            </w:r>
          </w:p>
        </w:tc>
      </w:tr>
      <w:tr w:rsidR="00AA2DF7" w:rsidRPr="00724840" w14:paraId="30918F14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00614B00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National legislation, policy and financing</w:t>
            </w:r>
          </w:p>
        </w:tc>
        <w:tc>
          <w:tcPr>
            <w:tcW w:w="1039" w:type="dxa"/>
            <w:hideMark/>
          </w:tcPr>
          <w:p w14:paraId="2F86EA3C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P.1.1</w:t>
            </w:r>
          </w:p>
        </w:tc>
        <w:tc>
          <w:tcPr>
            <w:tcW w:w="6216" w:type="dxa"/>
            <w:hideMark/>
          </w:tcPr>
          <w:p w14:paraId="65D4D238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The State has assessed, adjusted and aligned its domestic legislation, policies and administrative arrangements in all relevant sectors, to enable compliance with the IHR</w:t>
            </w:r>
          </w:p>
        </w:tc>
      </w:tr>
      <w:tr w:rsidR="00AA2DF7" w:rsidRPr="00724840" w14:paraId="3C1CCC04" w14:textId="77777777" w:rsidTr="00A94795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5B2AB8D9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39" w:type="dxa"/>
            <w:hideMark/>
          </w:tcPr>
          <w:p w14:paraId="11023AB8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P.1.2</w:t>
            </w:r>
          </w:p>
        </w:tc>
        <w:tc>
          <w:tcPr>
            <w:tcW w:w="6216" w:type="dxa"/>
            <w:hideMark/>
          </w:tcPr>
          <w:p w14:paraId="1D936F2D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Financing is available for the implementation of IHR capacities</w:t>
            </w:r>
          </w:p>
        </w:tc>
      </w:tr>
      <w:tr w:rsidR="00AA2DF7" w:rsidRPr="00724840" w14:paraId="0F32A763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37CB97E9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39" w:type="dxa"/>
            <w:hideMark/>
          </w:tcPr>
          <w:p w14:paraId="188F930C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P.1.3</w:t>
            </w:r>
          </w:p>
        </w:tc>
        <w:tc>
          <w:tcPr>
            <w:tcW w:w="6216" w:type="dxa"/>
            <w:hideMark/>
          </w:tcPr>
          <w:p w14:paraId="5708FF30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A financing mechanism and funds are available for timely response to public health emergencies</w:t>
            </w:r>
          </w:p>
        </w:tc>
      </w:tr>
      <w:tr w:rsidR="00AA2DF7" w:rsidRPr="00724840" w14:paraId="1F65C1B8" w14:textId="77777777" w:rsidTr="00A94795">
        <w:trPr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254C375D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IHR coordination, communication and advocacy</w:t>
            </w:r>
          </w:p>
        </w:tc>
        <w:tc>
          <w:tcPr>
            <w:tcW w:w="1039" w:type="dxa"/>
            <w:hideMark/>
          </w:tcPr>
          <w:p w14:paraId="77F4BFAD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P.2.1</w:t>
            </w:r>
          </w:p>
        </w:tc>
        <w:tc>
          <w:tcPr>
            <w:tcW w:w="6216" w:type="dxa"/>
            <w:hideMark/>
          </w:tcPr>
          <w:p w14:paraId="036A4856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A functional mechanism is established for the coordination and integration of relevant sectors in the implementation of IHR</w:t>
            </w:r>
          </w:p>
        </w:tc>
      </w:tr>
      <w:tr w:rsidR="00AA2DF7" w:rsidRPr="00724840" w14:paraId="2E42B1AE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1DC56558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Antimicrobial resistance</w:t>
            </w:r>
          </w:p>
        </w:tc>
        <w:tc>
          <w:tcPr>
            <w:tcW w:w="1039" w:type="dxa"/>
            <w:hideMark/>
          </w:tcPr>
          <w:p w14:paraId="38CDAEF8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P.3.1</w:t>
            </w:r>
          </w:p>
        </w:tc>
        <w:tc>
          <w:tcPr>
            <w:tcW w:w="6216" w:type="dxa"/>
            <w:hideMark/>
          </w:tcPr>
          <w:p w14:paraId="45BE3D4E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Effective multisectoral coordination on AMR</w:t>
            </w:r>
          </w:p>
        </w:tc>
      </w:tr>
      <w:tr w:rsidR="00AA2DF7" w:rsidRPr="00724840" w14:paraId="6A6EDE0E" w14:textId="77777777" w:rsidTr="00A94795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4FA7199B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39" w:type="dxa"/>
            <w:hideMark/>
          </w:tcPr>
          <w:p w14:paraId="588E2E64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P.3.2</w:t>
            </w:r>
          </w:p>
        </w:tc>
        <w:tc>
          <w:tcPr>
            <w:tcW w:w="6216" w:type="dxa"/>
            <w:hideMark/>
          </w:tcPr>
          <w:p w14:paraId="61969F6C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Surveillance of AMR</w:t>
            </w:r>
          </w:p>
        </w:tc>
      </w:tr>
      <w:tr w:rsidR="00AA2DF7" w:rsidRPr="00724840" w14:paraId="238E77C5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3A49A789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39" w:type="dxa"/>
            <w:hideMark/>
          </w:tcPr>
          <w:p w14:paraId="36AD148D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P.3.3</w:t>
            </w:r>
          </w:p>
        </w:tc>
        <w:tc>
          <w:tcPr>
            <w:tcW w:w="6216" w:type="dxa"/>
            <w:hideMark/>
          </w:tcPr>
          <w:p w14:paraId="28FA40A3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Infection prevention and control</w:t>
            </w:r>
          </w:p>
        </w:tc>
      </w:tr>
      <w:tr w:rsidR="00AA2DF7" w:rsidRPr="00724840" w14:paraId="709B93DA" w14:textId="77777777" w:rsidTr="00A94795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2B959024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39" w:type="dxa"/>
            <w:hideMark/>
          </w:tcPr>
          <w:p w14:paraId="23C78B2C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P.3.4</w:t>
            </w:r>
          </w:p>
        </w:tc>
        <w:tc>
          <w:tcPr>
            <w:tcW w:w="6216" w:type="dxa"/>
            <w:hideMark/>
          </w:tcPr>
          <w:p w14:paraId="3932E583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Optimize use of antimicrobial medicines in human and animal health and agriculture</w:t>
            </w:r>
          </w:p>
        </w:tc>
      </w:tr>
      <w:tr w:rsidR="00AA2DF7" w:rsidRPr="00724840" w14:paraId="25053941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1B83F40E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Zoonotic diseases</w:t>
            </w:r>
          </w:p>
        </w:tc>
        <w:tc>
          <w:tcPr>
            <w:tcW w:w="1039" w:type="dxa"/>
            <w:hideMark/>
          </w:tcPr>
          <w:p w14:paraId="30367941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P.4.1</w:t>
            </w:r>
          </w:p>
        </w:tc>
        <w:tc>
          <w:tcPr>
            <w:tcW w:w="6216" w:type="dxa"/>
            <w:hideMark/>
          </w:tcPr>
          <w:p w14:paraId="34D686FC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Coordinated surveillance systems in place in the animal health and public health sectors for zoonotic diseases/pathogens identified as joint priorities</w:t>
            </w:r>
          </w:p>
        </w:tc>
      </w:tr>
      <w:tr w:rsidR="00AA2DF7" w:rsidRPr="00724840" w14:paraId="1CD0183A" w14:textId="77777777" w:rsidTr="00A94795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547245EF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39" w:type="dxa"/>
            <w:hideMark/>
          </w:tcPr>
          <w:p w14:paraId="3EF1BB10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P.4.2</w:t>
            </w:r>
          </w:p>
        </w:tc>
        <w:tc>
          <w:tcPr>
            <w:tcW w:w="6216" w:type="dxa"/>
            <w:hideMark/>
          </w:tcPr>
          <w:p w14:paraId="5AA23B77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Mechanisms for responding to infectious and potential zoonotic diseases established and functional</w:t>
            </w:r>
          </w:p>
        </w:tc>
      </w:tr>
      <w:tr w:rsidR="00AA2DF7" w:rsidRPr="00724840" w14:paraId="58975A7B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763E344C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Food safety</w:t>
            </w:r>
          </w:p>
        </w:tc>
        <w:tc>
          <w:tcPr>
            <w:tcW w:w="1039" w:type="dxa"/>
            <w:hideMark/>
          </w:tcPr>
          <w:p w14:paraId="4B692F89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P.5.1</w:t>
            </w:r>
          </w:p>
        </w:tc>
        <w:tc>
          <w:tcPr>
            <w:tcW w:w="6216" w:type="dxa"/>
            <w:hideMark/>
          </w:tcPr>
          <w:p w14:paraId="1D517237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Surveillance systems in place for the detection and monitoring of foodborne diseases and food contamination</w:t>
            </w:r>
          </w:p>
        </w:tc>
      </w:tr>
      <w:tr w:rsidR="00AA2DF7" w:rsidRPr="00724840" w14:paraId="24A71C6C" w14:textId="77777777" w:rsidTr="00A94795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41770ADB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39" w:type="dxa"/>
            <w:hideMark/>
          </w:tcPr>
          <w:p w14:paraId="0EE85C29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P.5.2</w:t>
            </w:r>
          </w:p>
        </w:tc>
        <w:tc>
          <w:tcPr>
            <w:tcW w:w="6216" w:type="dxa"/>
            <w:hideMark/>
          </w:tcPr>
          <w:p w14:paraId="03245A41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Mechanisms are established and functioning for the response and management of food safety emergencies</w:t>
            </w:r>
          </w:p>
        </w:tc>
      </w:tr>
      <w:tr w:rsidR="00AA2DF7" w:rsidRPr="00724840" w14:paraId="52CC5211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39FA268A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Biosafety and biosecurity</w:t>
            </w:r>
          </w:p>
        </w:tc>
        <w:tc>
          <w:tcPr>
            <w:tcW w:w="1039" w:type="dxa"/>
            <w:hideMark/>
          </w:tcPr>
          <w:p w14:paraId="4CA55BAA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P.6.1</w:t>
            </w:r>
          </w:p>
        </w:tc>
        <w:tc>
          <w:tcPr>
            <w:tcW w:w="6216" w:type="dxa"/>
            <w:hideMark/>
          </w:tcPr>
          <w:p w14:paraId="7EBA794C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Whole-of-government biosafety and biosecurity system in place for all sectors (including human, animal and agriculture facilities)</w:t>
            </w:r>
          </w:p>
        </w:tc>
      </w:tr>
      <w:tr w:rsidR="00AA2DF7" w:rsidRPr="00724840" w14:paraId="21A51981" w14:textId="77777777" w:rsidTr="00A94795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037540F4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39" w:type="dxa"/>
            <w:hideMark/>
          </w:tcPr>
          <w:p w14:paraId="44497DE6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P.6.2</w:t>
            </w:r>
          </w:p>
        </w:tc>
        <w:tc>
          <w:tcPr>
            <w:tcW w:w="6216" w:type="dxa"/>
            <w:hideMark/>
          </w:tcPr>
          <w:p w14:paraId="526FAF4E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Biosafety and biosecurity training and practices in all relevant sectors (including human, animal and agriculture)</w:t>
            </w:r>
          </w:p>
        </w:tc>
      </w:tr>
      <w:tr w:rsidR="00AA2DF7" w:rsidRPr="00724840" w14:paraId="3635025B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55D03F5B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Immunisation</w:t>
            </w:r>
          </w:p>
        </w:tc>
        <w:tc>
          <w:tcPr>
            <w:tcW w:w="1039" w:type="dxa"/>
            <w:hideMark/>
          </w:tcPr>
          <w:p w14:paraId="311B6991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P.7.1</w:t>
            </w:r>
          </w:p>
        </w:tc>
        <w:tc>
          <w:tcPr>
            <w:tcW w:w="6216" w:type="dxa"/>
            <w:hideMark/>
          </w:tcPr>
          <w:p w14:paraId="03AD9B8C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Vaccine coverage (measles) as part of national programme</w:t>
            </w:r>
          </w:p>
        </w:tc>
      </w:tr>
      <w:tr w:rsidR="00AA2DF7" w:rsidRPr="00724840" w14:paraId="555D19A1" w14:textId="77777777" w:rsidTr="00A94795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2AA83540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39" w:type="dxa"/>
            <w:hideMark/>
          </w:tcPr>
          <w:p w14:paraId="120FAA13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P.7.2</w:t>
            </w:r>
          </w:p>
        </w:tc>
        <w:tc>
          <w:tcPr>
            <w:tcW w:w="6216" w:type="dxa"/>
            <w:hideMark/>
          </w:tcPr>
          <w:p w14:paraId="7DFC5BDD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National vaccine access and delivery</w:t>
            </w:r>
          </w:p>
        </w:tc>
      </w:tr>
      <w:tr w:rsidR="00AA2DF7" w:rsidRPr="00724840" w14:paraId="1EF32C1D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6FAD2880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National laboratory system</w:t>
            </w:r>
          </w:p>
        </w:tc>
        <w:tc>
          <w:tcPr>
            <w:tcW w:w="1039" w:type="dxa"/>
            <w:hideMark/>
          </w:tcPr>
          <w:p w14:paraId="60F7AFBB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D.1.1</w:t>
            </w:r>
          </w:p>
        </w:tc>
        <w:tc>
          <w:tcPr>
            <w:tcW w:w="6216" w:type="dxa"/>
            <w:hideMark/>
          </w:tcPr>
          <w:p w14:paraId="191D953E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Laboratory testing for detection of priority diseases</w:t>
            </w:r>
          </w:p>
        </w:tc>
      </w:tr>
      <w:tr w:rsidR="00AA2DF7" w:rsidRPr="00724840" w14:paraId="1E3CD746" w14:textId="77777777" w:rsidTr="00A94795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71F01E09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39" w:type="dxa"/>
            <w:hideMark/>
          </w:tcPr>
          <w:p w14:paraId="23BD46BE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D.1.2</w:t>
            </w:r>
          </w:p>
        </w:tc>
        <w:tc>
          <w:tcPr>
            <w:tcW w:w="6216" w:type="dxa"/>
            <w:hideMark/>
          </w:tcPr>
          <w:p w14:paraId="2F4FAA16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Specimen referral and transport system</w:t>
            </w:r>
          </w:p>
        </w:tc>
      </w:tr>
      <w:tr w:rsidR="00AA2DF7" w:rsidRPr="00724840" w14:paraId="759A5A1E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1F1B64A2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39" w:type="dxa"/>
            <w:hideMark/>
          </w:tcPr>
          <w:p w14:paraId="78F06A46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D.1.3</w:t>
            </w:r>
          </w:p>
        </w:tc>
        <w:tc>
          <w:tcPr>
            <w:tcW w:w="6216" w:type="dxa"/>
            <w:hideMark/>
          </w:tcPr>
          <w:p w14:paraId="3A29EDF3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Effective national diagnostic network</w:t>
            </w:r>
          </w:p>
        </w:tc>
      </w:tr>
      <w:tr w:rsidR="00AA2DF7" w:rsidRPr="00724840" w14:paraId="14FC935D" w14:textId="77777777" w:rsidTr="00A94795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3D801EBE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39" w:type="dxa"/>
            <w:hideMark/>
          </w:tcPr>
          <w:p w14:paraId="772843F3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D.1.4</w:t>
            </w:r>
          </w:p>
        </w:tc>
        <w:tc>
          <w:tcPr>
            <w:tcW w:w="6216" w:type="dxa"/>
            <w:hideMark/>
          </w:tcPr>
          <w:p w14:paraId="5EC3B4D1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Laboratory quality system</w:t>
            </w:r>
          </w:p>
        </w:tc>
      </w:tr>
      <w:tr w:rsidR="00AA2DF7" w:rsidRPr="00724840" w14:paraId="5905EB6D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38AE1DAB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Surveillance</w:t>
            </w:r>
          </w:p>
        </w:tc>
        <w:tc>
          <w:tcPr>
            <w:tcW w:w="1039" w:type="dxa"/>
            <w:hideMark/>
          </w:tcPr>
          <w:p w14:paraId="0AB4FC85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D.2.1</w:t>
            </w:r>
          </w:p>
        </w:tc>
        <w:tc>
          <w:tcPr>
            <w:tcW w:w="6216" w:type="dxa"/>
            <w:hideMark/>
          </w:tcPr>
          <w:p w14:paraId="5C483429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Surveillance systems</w:t>
            </w:r>
          </w:p>
        </w:tc>
      </w:tr>
      <w:tr w:rsidR="00AA2DF7" w:rsidRPr="00724840" w14:paraId="02BDA4FD" w14:textId="77777777" w:rsidTr="00A94795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532588F7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39" w:type="dxa"/>
            <w:hideMark/>
          </w:tcPr>
          <w:p w14:paraId="620459CC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D.2.2</w:t>
            </w:r>
          </w:p>
        </w:tc>
        <w:tc>
          <w:tcPr>
            <w:tcW w:w="6216" w:type="dxa"/>
            <w:hideMark/>
          </w:tcPr>
          <w:p w14:paraId="5BF5E0CB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Use of electronic tools</w:t>
            </w:r>
          </w:p>
        </w:tc>
      </w:tr>
      <w:tr w:rsidR="00AA2DF7" w:rsidRPr="00724840" w14:paraId="06F39582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406F3E33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39" w:type="dxa"/>
            <w:hideMark/>
          </w:tcPr>
          <w:p w14:paraId="06B1FE87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D.2.3</w:t>
            </w:r>
          </w:p>
        </w:tc>
        <w:tc>
          <w:tcPr>
            <w:tcW w:w="6216" w:type="dxa"/>
            <w:hideMark/>
          </w:tcPr>
          <w:p w14:paraId="757E3CE8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Analysis of surveillance data</w:t>
            </w:r>
          </w:p>
        </w:tc>
      </w:tr>
      <w:tr w:rsidR="00AA2DF7" w:rsidRPr="00724840" w14:paraId="7C80260F" w14:textId="77777777" w:rsidTr="00A94795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49BB4E34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Reporting</w:t>
            </w:r>
          </w:p>
        </w:tc>
        <w:tc>
          <w:tcPr>
            <w:tcW w:w="1039" w:type="dxa"/>
            <w:hideMark/>
          </w:tcPr>
          <w:p w14:paraId="31B400A6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D.3.1</w:t>
            </w:r>
          </w:p>
        </w:tc>
        <w:tc>
          <w:tcPr>
            <w:tcW w:w="6216" w:type="dxa"/>
            <w:hideMark/>
          </w:tcPr>
          <w:p w14:paraId="6189BF63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System for efficient reporting to FAO, OIE and WHO</w:t>
            </w:r>
          </w:p>
        </w:tc>
      </w:tr>
      <w:tr w:rsidR="00AA2DF7" w:rsidRPr="00724840" w14:paraId="72F32A99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5B40F945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39" w:type="dxa"/>
            <w:hideMark/>
          </w:tcPr>
          <w:p w14:paraId="66A7B497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D.3.2</w:t>
            </w:r>
          </w:p>
        </w:tc>
        <w:tc>
          <w:tcPr>
            <w:tcW w:w="6216" w:type="dxa"/>
            <w:hideMark/>
          </w:tcPr>
          <w:p w14:paraId="4AC7ED9B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Reporting network and protocols in country</w:t>
            </w:r>
          </w:p>
        </w:tc>
      </w:tr>
      <w:tr w:rsidR="00AA2DF7" w:rsidRPr="00724840" w14:paraId="366CBA0C" w14:textId="77777777" w:rsidTr="00A94795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75B620DF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Human resources (animal and human health sectors)</w:t>
            </w:r>
          </w:p>
        </w:tc>
        <w:tc>
          <w:tcPr>
            <w:tcW w:w="1039" w:type="dxa"/>
            <w:hideMark/>
          </w:tcPr>
          <w:p w14:paraId="6717FD6D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D.4.1</w:t>
            </w:r>
          </w:p>
        </w:tc>
        <w:tc>
          <w:tcPr>
            <w:tcW w:w="6216" w:type="dxa"/>
            <w:hideMark/>
          </w:tcPr>
          <w:p w14:paraId="1E622687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 xml:space="preserve">An </w:t>
            </w:r>
            <w:proofErr w:type="gramStart"/>
            <w:r w:rsidRPr="00724840">
              <w:rPr>
                <w:rFonts w:asciiTheme="minorHAnsi" w:hAnsiTheme="minorHAnsi" w:cstheme="minorHAnsi"/>
                <w:sz w:val="22"/>
              </w:rPr>
              <w:t>up-to-date</w:t>
            </w:r>
            <w:proofErr w:type="gramEnd"/>
            <w:r w:rsidRPr="00724840">
              <w:rPr>
                <w:rFonts w:asciiTheme="minorHAnsi" w:hAnsiTheme="minorHAnsi" w:cstheme="minorHAnsi"/>
                <w:sz w:val="22"/>
              </w:rPr>
              <w:t xml:space="preserve"> multisectoral workforce strategy is in place</w:t>
            </w:r>
          </w:p>
        </w:tc>
      </w:tr>
      <w:tr w:rsidR="00AA2DF7" w:rsidRPr="00724840" w14:paraId="3F57F71A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042A3043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39" w:type="dxa"/>
            <w:hideMark/>
          </w:tcPr>
          <w:p w14:paraId="618A1BE8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D.4.2</w:t>
            </w:r>
          </w:p>
        </w:tc>
        <w:tc>
          <w:tcPr>
            <w:tcW w:w="6216" w:type="dxa"/>
            <w:hideMark/>
          </w:tcPr>
          <w:p w14:paraId="0A5D7B83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Human resources are available to effectively implement IHR</w:t>
            </w:r>
          </w:p>
        </w:tc>
      </w:tr>
      <w:tr w:rsidR="00AA2DF7" w:rsidRPr="00724840" w14:paraId="68C0ECBD" w14:textId="77777777" w:rsidTr="00A94795">
        <w:trPr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2CAF8839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39" w:type="dxa"/>
            <w:hideMark/>
          </w:tcPr>
          <w:p w14:paraId="6509BC23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D.4.3</w:t>
            </w:r>
          </w:p>
        </w:tc>
        <w:tc>
          <w:tcPr>
            <w:tcW w:w="6216" w:type="dxa"/>
            <w:hideMark/>
          </w:tcPr>
          <w:p w14:paraId="418364DB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In-service trainings are available</w:t>
            </w:r>
          </w:p>
        </w:tc>
      </w:tr>
      <w:tr w:rsidR="00AA2DF7" w:rsidRPr="00724840" w14:paraId="09F56018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4C46FDEE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39" w:type="dxa"/>
            <w:hideMark/>
          </w:tcPr>
          <w:p w14:paraId="5A88632F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D.4.4</w:t>
            </w:r>
          </w:p>
        </w:tc>
        <w:tc>
          <w:tcPr>
            <w:tcW w:w="6216" w:type="dxa"/>
            <w:hideMark/>
          </w:tcPr>
          <w:p w14:paraId="3D51E61B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FETP or other applied epidemiology training programme is in place</w:t>
            </w:r>
          </w:p>
        </w:tc>
      </w:tr>
      <w:tr w:rsidR="00AA2DF7" w:rsidRPr="00724840" w14:paraId="1903EFFE" w14:textId="77777777" w:rsidTr="00A94795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25743ABC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Preparedness</w:t>
            </w:r>
          </w:p>
        </w:tc>
        <w:tc>
          <w:tcPr>
            <w:tcW w:w="1039" w:type="dxa"/>
            <w:hideMark/>
          </w:tcPr>
          <w:p w14:paraId="76FDF2BE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R.1.1</w:t>
            </w:r>
          </w:p>
        </w:tc>
        <w:tc>
          <w:tcPr>
            <w:tcW w:w="6216" w:type="dxa"/>
            <w:hideMark/>
          </w:tcPr>
          <w:p w14:paraId="075668ED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Strategic emergency risk assessments conducted, and emergency resources identified and mapped</w:t>
            </w:r>
          </w:p>
        </w:tc>
      </w:tr>
      <w:tr w:rsidR="00AA2DF7" w:rsidRPr="00724840" w14:paraId="499D1DF5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471A96F9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39" w:type="dxa"/>
            <w:hideMark/>
          </w:tcPr>
          <w:p w14:paraId="621EB508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R.1.2</w:t>
            </w:r>
          </w:p>
        </w:tc>
        <w:tc>
          <w:tcPr>
            <w:tcW w:w="6216" w:type="dxa"/>
            <w:hideMark/>
          </w:tcPr>
          <w:p w14:paraId="4F13E74C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 xml:space="preserve">National multisectoral </w:t>
            </w:r>
            <w:proofErr w:type="spellStart"/>
            <w:r w:rsidRPr="00724840">
              <w:rPr>
                <w:rFonts w:asciiTheme="minorHAnsi" w:hAnsiTheme="minorHAnsi" w:cstheme="minorHAnsi"/>
                <w:sz w:val="22"/>
              </w:rPr>
              <w:t>multihazard</w:t>
            </w:r>
            <w:proofErr w:type="spellEnd"/>
            <w:r w:rsidRPr="00724840">
              <w:rPr>
                <w:rFonts w:asciiTheme="minorHAnsi" w:hAnsiTheme="minorHAnsi" w:cstheme="minorHAnsi"/>
                <w:sz w:val="22"/>
              </w:rPr>
              <w:t xml:space="preserve"> emergency preparedness measures, including emergency response plans, are developed, implemented and tested</w:t>
            </w:r>
          </w:p>
        </w:tc>
      </w:tr>
      <w:tr w:rsidR="00AA2DF7" w:rsidRPr="00724840" w14:paraId="64D2D1EC" w14:textId="77777777" w:rsidTr="00A94795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2B93278E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Emergency response operations</w:t>
            </w:r>
          </w:p>
        </w:tc>
        <w:tc>
          <w:tcPr>
            <w:tcW w:w="1039" w:type="dxa"/>
            <w:hideMark/>
          </w:tcPr>
          <w:p w14:paraId="47614D79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R.2.1</w:t>
            </w:r>
          </w:p>
        </w:tc>
        <w:tc>
          <w:tcPr>
            <w:tcW w:w="6216" w:type="dxa"/>
            <w:hideMark/>
          </w:tcPr>
          <w:p w14:paraId="7AE60175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Emergency response coordination</w:t>
            </w:r>
          </w:p>
        </w:tc>
      </w:tr>
      <w:tr w:rsidR="00AA2DF7" w:rsidRPr="00724840" w14:paraId="017BE142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06CC44A6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39" w:type="dxa"/>
            <w:hideMark/>
          </w:tcPr>
          <w:p w14:paraId="657235B9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R.2.2</w:t>
            </w:r>
          </w:p>
        </w:tc>
        <w:tc>
          <w:tcPr>
            <w:tcW w:w="6216" w:type="dxa"/>
            <w:hideMark/>
          </w:tcPr>
          <w:p w14:paraId="6983D47E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Emergency operations centre (EOC) capacities, procedures and plans</w:t>
            </w:r>
          </w:p>
        </w:tc>
      </w:tr>
      <w:tr w:rsidR="00AA2DF7" w:rsidRPr="00724840" w14:paraId="3C66E1BD" w14:textId="77777777" w:rsidTr="00A94795">
        <w:trPr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087D61A5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39" w:type="dxa"/>
            <w:hideMark/>
          </w:tcPr>
          <w:p w14:paraId="4D17A10D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R.2.3</w:t>
            </w:r>
          </w:p>
        </w:tc>
        <w:tc>
          <w:tcPr>
            <w:tcW w:w="6216" w:type="dxa"/>
            <w:hideMark/>
          </w:tcPr>
          <w:p w14:paraId="1E8A5836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Emergency exercise management programme</w:t>
            </w:r>
          </w:p>
        </w:tc>
      </w:tr>
      <w:tr w:rsidR="00AA2DF7" w:rsidRPr="00724840" w14:paraId="0EB05337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51EEEC7F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Linking public health and security authorities</w:t>
            </w:r>
          </w:p>
        </w:tc>
        <w:tc>
          <w:tcPr>
            <w:tcW w:w="1039" w:type="dxa"/>
            <w:hideMark/>
          </w:tcPr>
          <w:p w14:paraId="55F39FFF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R.3.1</w:t>
            </w:r>
          </w:p>
        </w:tc>
        <w:tc>
          <w:tcPr>
            <w:tcW w:w="6216" w:type="dxa"/>
            <w:hideMark/>
          </w:tcPr>
          <w:p w14:paraId="7E4DEDFF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Public health and security authorities (e.g. law enforcement, border control, customs) linked during a suspect or confirmed biological, chemical or radiological event</w:t>
            </w:r>
          </w:p>
        </w:tc>
      </w:tr>
      <w:tr w:rsidR="00AA2DF7" w:rsidRPr="00724840" w14:paraId="470AD9D4" w14:textId="77777777" w:rsidTr="00A94795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1D7516F6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Medical countermeasures and personnel deployment</w:t>
            </w:r>
          </w:p>
        </w:tc>
        <w:tc>
          <w:tcPr>
            <w:tcW w:w="1039" w:type="dxa"/>
            <w:hideMark/>
          </w:tcPr>
          <w:p w14:paraId="2FFE94C3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R.4.1</w:t>
            </w:r>
          </w:p>
        </w:tc>
        <w:tc>
          <w:tcPr>
            <w:tcW w:w="6216" w:type="dxa"/>
            <w:hideMark/>
          </w:tcPr>
          <w:p w14:paraId="549DDBEC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System in place for activating and coordinating medical countermeasures during a public health emergency</w:t>
            </w:r>
          </w:p>
        </w:tc>
      </w:tr>
      <w:tr w:rsidR="00AA2DF7" w:rsidRPr="00724840" w14:paraId="015DC78C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065385D7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39" w:type="dxa"/>
            <w:hideMark/>
          </w:tcPr>
          <w:p w14:paraId="4D424B31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R.4.2</w:t>
            </w:r>
          </w:p>
        </w:tc>
        <w:tc>
          <w:tcPr>
            <w:tcW w:w="6216" w:type="dxa"/>
            <w:hideMark/>
          </w:tcPr>
          <w:p w14:paraId="034B7896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System in place for activating and coordinating health personnel during a public health emergency</w:t>
            </w:r>
          </w:p>
        </w:tc>
      </w:tr>
      <w:tr w:rsidR="00AA2DF7" w:rsidRPr="00724840" w14:paraId="348EE898" w14:textId="77777777" w:rsidTr="00A94795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05BCEA0E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39" w:type="dxa"/>
            <w:hideMark/>
          </w:tcPr>
          <w:p w14:paraId="3B6BDB4B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R.4.3</w:t>
            </w:r>
          </w:p>
        </w:tc>
        <w:tc>
          <w:tcPr>
            <w:tcW w:w="6216" w:type="dxa"/>
            <w:hideMark/>
          </w:tcPr>
          <w:p w14:paraId="33C8AC83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Case management procedures implemented for IHR relevant hazards</w:t>
            </w:r>
          </w:p>
        </w:tc>
      </w:tr>
      <w:tr w:rsidR="00AA2DF7" w:rsidRPr="00724840" w14:paraId="62F2FE71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697DE23D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Risk communication</w:t>
            </w:r>
          </w:p>
        </w:tc>
        <w:tc>
          <w:tcPr>
            <w:tcW w:w="1039" w:type="dxa"/>
            <w:hideMark/>
          </w:tcPr>
          <w:p w14:paraId="1D5D21E4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R.5.1</w:t>
            </w:r>
          </w:p>
        </w:tc>
        <w:tc>
          <w:tcPr>
            <w:tcW w:w="6216" w:type="dxa"/>
            <w:hideMark/>
          </w:tcPr>
          <w:p w14:paraId="18E9F89B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Risk communication systems for unusual/ unexpected events and emergencies</w:t>
            </w:r>
          </w:p>
        </w:tc>
      </w:tr>
      <w:tr w:rsidR="00AA2DF7" w:rsidRPr="00724840" w14:paraId="1C1D74C9" w14:textId="77777777" w:rsidTr="00A94795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1F180E5E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39" w:type="dxa"/>
            <w:hideMark/>
          </w:tcPr>
          <w:p w14:paraId="78EBF367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R.5.2</w:t>
            </w:r>
          </w:p>
        </w:tc>
        <w:tc>
          <w:tcPr>
            <w:tcW w:w="6216" w:type="dxa"/>
            <w:hideMark/>
          </w:tcPr>
          <w:p w14:paraId="0EE5ACA8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Internal and partner coordination for emergency risk communication</w:t>
            </w:r>
          </w:p>
        </w:tc>
      </w:tr>
      <w:tr w:rsidR="00AA2DF7" w:rsidRPr="00724840" w14:paraId="4955B663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31160F00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39" w:type="dxa"/>
            <w:hideMark/>
          </w:tcPr>
          <w:p w14:paraId="364A2D85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R.5.3</w:t>
            </w:r>
          </w:p>
        </w:tc>
        <w:tc>
          <w:tcPr>
            <w:tcW w:w="6216" w:type="dxa"/>
            <w:hideMark/>
          </w:tcPr>
          <w:p w14:paraId="56C11BD6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Public communication for emergencies</w:t>
            </w:r>
          </w:p>
        </w:tc>
      </w:tr>
      <w:tr w:rsidR="00AA2DF7" w:rsidRPr="00724840" w14:paraId="1F57588D" w14:textId="77777777" w:rsidTr="00A94795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7842BF0A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39" w:type="dxa"/>
            <w:hideMark/>
          </w:tcPr>
          <w:p w14:paraId="33A7E2FC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R.5.4</w:t>
            </w:r>
          </w:p>
        </w:tc>
        <w:tc>
          <w:tcPr>
            <w:tcW w:w="6216" w:type="dxa"/>
            <w:hideMark/>
          </w:tcPr>
          <w:p w14:paraId="4ABBBD3B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Communication engagement with affected communities</w:t>
            </w:r>
          </w:p>
        </w:tc>
      </w:tr>
      <w:tr w:rsidR="00AA2DF7" w:rsidRPr="00724840" w14:paraId="3F49921A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74ECE413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39" w:type="dxa"/>
            <w:hideMark/>
          </w:tcPr>
          <w:p w14:paraId="3EF6985A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R.5.5</w:t>
            </w:r>
          </w:p>
        </w:tc>
        <w:tc>
          <w:tcPr>
            <w:tcW w:w="6216" w:type="dxa"/>
            <w:hideMark/>
          </w:tcPr>
          <w:p w14:paraId="153F7A75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Addressing perceptions, risky behaviours and misinformation</w:t>
            </w:r>
          </w:p>
        </w:tc>
      </w:tr>
      <w:tr w:rsidR="00AA2DF7" w:rsidRPr="00724840" w14:paraId="14EF7AEA" w14:textId="77777777" w:rsidTr="00A94795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0476C0BF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Points of entry</w:t>
            </w:r>
          </w:p>
        </w:tc>
        <w:tc>
          <w:tcPr>
            <w:tcW w:w="1039" w:type="dxa"/>
            <w:hideMark/>
          </w:tcPr>
          <w:p w14:paraId="5ACD15EF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PoE.1</w:t>
            </w:r>
          </w:p>
        </w:tc>
        <w:tc>
          <w:tcPr>
            <w:tcW w:w="6216" w:type="dxa"/>
            <w:hideMark/>
          </w:tcPr>
          <w:p w14:paraId="08CF54A9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Routine capacities established at points of entry</w:t>
            </w:r>
          </w:p>
        </w:tc>
      </w:tr>
      <w:tr w:rsidR="00AA2DF7" w:rsidRPr="00724840" w14:paraId="48513629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424B1A3B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39" w:type="dxa"/>
            <w:hideMark/>
          </w:tcPr>
          <w:p w14:paraId="563A1E40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PoE.2</w:t>
            </w:r>
          </w:p>
        </w:tc>
        <w:tc>
          <w:tcPr>
            <w:tcW w:w="6216" w:type="dxa"/>
            <w:hideMark/>
          </w:tcPr>
          <w:p w14:paraId="0EA76EC5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Effective public health response at points of entry</w:t>
            </w:r>
          </w:p>
        </w:tc>
      </w:tr>
      <w:tr w:rsidR="00AA2DF7" w:rsidRPr="00724840" w14:paraId="39190FBC" w14:textId="77777777" w:rsidTr="00A94795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6E979E61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Chemical events</w:t>
            </w:r>
          </w:p>
        </w:tc>
        <w:tc>
          <w:tcPr>
            <w:tcW w:w="1039" w:type="dxa"/>
            <w:hideMark/>
          </w:tcPr>
          <w:p w14:paraId="49A3E720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CE.1</w:t>
            </w:r>
          </w:p>
        </w:tc>
        <w:tc>
          <w:tcPr>
            <w:tcW w:w="6216" w:type="dxa"/>
            <w:hideMark/>
          </w:tcPr>
          <w:p w14:paraId="2FE68214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Mechanisms established and functioning for detecting and responding to chemical events or emergencies</w:t>
            </w:r>
          </w:p>
        </w:tc>
      </w:tr>
      <w:tr w:rsidR="00AA2DF7" w:rsidRPr="00724840" w14:paraId="2316E923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117D6A4E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39" w:type="dxa"/>
            <w:hideMark/>
          </w:tcPr>
          <w:p w14:paraId="1363DEFF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CE.2</w:t>
            </w:r>
          </w:p>
        </w:tc>
        <w:tc>
          <w:tcPr>
            <w:tcW w:w="6216" w:type="dxa"/>
            <w:hideMark/>
          </w:tcPr>
          <w:p w14:paraId="796E9A00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Enabling environment in place for management of chemical events</w:t>
            </w:r>
          </w:p>
        </w:tc>
      </w:tr>
      <w:tr w:rsidR="00AA2DF7" w:rsidRPr="00724840" w14:paraId="2695CBFC" w14:textId="77777777" w:rsidTr="00A94795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40FAB65C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Radiation Emergencies</w:t>
            </w:r>
          </w:p>
        </w:tc>
        <w:tc>
          <w:tcPr>
            <w:tcW w:w="1039" w:type="dxa"/>
            <w:hideMark/>
          </w:tcPr>
          <w:p w14:paraId="6D32CEAC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RE.1</w:t>
            </w:r>
          </w:p>
        </w:tc>
        <w:tc>
          <w:tcPr>
            <w:tcW w:w="6216" w:type="dxa"/>
            <w:hideMark/>
          </w:tcPr>
          <w:p w14:paraId="512F81DD" w14:textId="77777777" w:rsidR="00AA2DF7" w:rsidRPr="00724840" w:rsidRDefault="00AA2DF7" w:rsidP="00A9479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Mechanisms established and functioning for detecting and responding to radiological and nuclear emergencies</w:t>
            </w:r>
          </w:p>
        </w:tc>
      </w:tr>
      <w:tr w:rsidR="00AA2DF7" w:rsidRPr="00724840" w14:paraId="74C08ACD" w14:textId="77777777" w:rsidTr="00A9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hideMark/>
          </w:tcPr>
          <w:p w14:paraId="5BBF4E13" w14:textId="77777777" w:rsidR="00AA2DF7" w:rsidRPr="00724840" w:rsidRDefault="00AA2DF7" w:rsidP="00A94795">
            <w:pPr>
              <w:spacing w:line="48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39" w:type="dxa"/>
            <w:hideMark/>
          </w:tcPr>
          <w:p w14:paraId="55230C56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RE.2</w:t>
            </w:r>
          </w:p>
        </w:tc>
        <w:tc>
          <w:tcPr>
            <w:tcW w:w="6216" w:type="dxa"/>
            <w:hideMark/>
          </w:tcPr>
          <w:p w14:paraId="3C9D2C7D" w14:textId="77777777" w:rsidR="00AA2DF7" w:rsidRPr="00724840" w:rsidRDefault="00AA2DF7" w:rsidP="00A94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24840">
              <w:rPr>
                <w:rFonts w:asciiTheme="minorHAnsi" w:hAnsiTheme="minorHAnsi" w:cstheme="minorHAnsi"/>
                <w:sz w:val="22"/>
              </w:rPr>
              <w:t>Enabling environment in place for management of radiological and nuclear emergencies</w:t>
            </w:r>
          </w:p>
        </w:tc>
      </w:tr>
    </w:tbl>
    <w:p w14:paraId="1999E10C" w14:textId="77777777" w:rsidR="00AA2DF7" w:rsidRDefault="00AA2DF7" w:rsidP="00AA2DF7">
      <w:pPr>
        <w:spacing w:line="480" w:lineRule="auto"/>
        <w:rPr>
          <w:rFonts w:asciiTheme="minorHAnsi" w:hAnsiTheme="minorHAnsi" w:cstheme="minorHAnsi"/>
          <w:sz w:val="22"/>
        </w:rPr>
      </w:pPr>
    </w:p>
    <w:p w14:paraId="22C15392" w14:textId="77777777" w:rsidR="00B27683" w:rsidRDefault="00AA2DF7">
      <w:bookmarkStart w:id="0" w:name="_GoBack"/>
      <w:bookmarkEnd w:id="0"/>
    </w:p>
    <w:sectPr w:rsidR="00B276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E9720C"/>
    <w:multiLevelType w:val="multilevel"/>
    <w:tmpl w:val="42B2245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DF7"/>
    <w:rsid w:val="00AA2DF7"/>
    <w:rsid w:val="00C77FC4"/>
    <w:rsid w:val="00DA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600DE"/>
  <w15:chartTrackingRefBased/>
  <w15:docId w15:val="{47218F12-823F-4C98-B670-D016E3BB5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DF7"/>
    <w:pPr>
      <w:spacing w:line="288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DF7"/>
    <w:pPr>
      <w:keepNext/>
      <w:keepLines/>
      <w:numPr>
        <w:numId w:val="1"/>
      </w:numPr>
      <w:spacing w:before="240" w:after="120"/>
      <w:ind w:left="431" w:hanging="431"/>
      <w:outlineLvl w:val="0"/>
    </w:pPr>
    <w:rPr>
      <w:rFonts w:eastAsiaTheme="majorEastAsia" w:cstheme="majorBidi"/>
      <w:color w:val="98002E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2DF7"/>
    <w:pPr>
      <w:keepNext/>
      <w:keepLines/>
      <w:numPr>
        <w:ilvl w:val="1"/>
        <w:numId w:val="1"/>
      </w:numPr>
      <w:spacing w:before="200" w:after="120"/>
      <w:outlineLvl w:val="1"/>
    </w:pPr>
    <w:rPr>
      <w:rFonts w:eastAsiaTheme="majorEastAsia" w:cstheme="majorBidi"/>
      <w:color w:val="98002E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2DF7"/>
    <w:pPr>
      <w:keepNext/>
      <w:keepLines/>
      <w:numPr>
        <w:ilvl w:val="2"/>
        <w:numId w:val="1"/>
      </w:numPr>
      <w:spacing w:before="200" w:after="120"/>
      <w:ind w:left="0" w:hanging="851"/>
      <w:outlineLvl w:val="2"/>
    </w:pPr>
    <w:rPr>
      <w:rFonts w:eastAsiaTheme="majorEastAsia" w:cstheme="majorBidi"/>
      <w:b/>
      <w:color w:val="98002E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A2DF7"/>
    <w:pPr>
      <w:keepNext/>
      <w:keepLines/>
      <w:numPr>
        <w:ilvl w:val="3"/>
        <w:numId w:val="1"/>
      </w:numPr>
      <w:spacing w:before="200" w:after="80"/>
      <w:ind w:left="0" w:hanging="851"/>
      <w:outlineLvl w:val="3"/>
    </w:pPr>
    <w:rPr>
      <w:rFonts w:eastAsiaTheme="majorEastAsia" w:cstheme="majorBidi"/>
      <w:iCs/>
      <w:color w:val="98002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2DF7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2DF7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DF7"/>
    <w:rPr>
      <w:rFonts w:ascii="Arial" w:eastAsiaTheme="majorEastAsia" w:hAnsi="Arial" w:cstheme="majorBidi"/>
      <w:color w:val="98002E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A2DF7"/>
    <w:rPr>
      <w:rFonts w:ascii="Arial" w:eastAsiaTheme="majorEastAsia" w:hAnsi="Arial" w:cstheme="majorBidi"/>
      <w:color w:val="98002E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A2DF7"/>
    <w:rPr>
      <w:rFonts w:ascii="Arial" w:eastAsiaTheme="majorEastAsia" w:hAnsi="Arial" w:cstheme="majorBidi"/>
      <w:b/>
      <w:color w:val="98002E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A2DF7"/>
    <w:rPr>
      <w:rFonts w:ascii="Arial" w:eastAsiaTheme="majorEastAsia" w:hAnsi="Arial" w:cstheme="majorBidi"/>
      <w:iCs/>
      <w:color w:val="98002E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2DF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2DF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PlainTable5">
    <w:name w:val="Plain Table 5"/>
    <w:basedOn w:val="TableNormal"/>
    <w:uiPriority w:val="45"/>
    <w:rsid w:val="00AA2DF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968</Words>
  <Characters>5522</Characters>
  <Application>Microsoft Office Word</Application>
  <DocSecurity>0</DocSecurity>
  <Lines>46</Lines>
  <Paragraphs>12</Paragraphs>
  <ScaleCrop>false</ScaleCrop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Razavi</dc:creator>
  <cp:keywords/>
  <dc:description/>
  <cp:lastModifiedBy>Ahmed Razavi</cp:lastModifiedBy>
  <cp:revision>1</cp:revision>
  <dcterms:created xsi:type="dcterms:W3CDTF">2021-03-23T16:17:00Z</dcterms:created>
  <dcterms:modified xsi:type="dcterms:W3CDTF">2021-03-23T16:17:00Z</dcterms:modified>
</cp:coreProperties>
</file>