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741" w:rsidRDefault="00480741" w:rsidP="00480741">
      <w:pPr>
        <w:pStyle w:val="Caption"/>
      </w:pPr>
      <w:bookmarkStart w:id="0" w:name="_GoBack"/>
      <w:bookmarkEnd w:id="0"/>
      <w:r w:rsidRPr="00864514">
        <w:rPr>
          <w:b/>
        </w:rPr>
        <w:t>Sensitivity analysis for the interaction effect on water and sanitation infrastructure.</w:t>
      </w:r>
    </w:p>
    <w:tbl>
      <w:tblPr>
        <w:tblStyle w:val="TableGrid"/>
        <w:tblW w:w="9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1471"/>
        <w:gridCol w:w="1471"/>
        <w:gridCol w:w="1753"/>
        <w:gridCol w:w="1471"/>
        <w:gridCol w:w="1471"/>
      </w:tblGrid>
      <w:tr w:rsidR="00480741" w:rsidRPr="00BA15B4" w:rsidTr="00B208AB">
        <w:trPr>
          <w:trHeight w:val="276"/>
        </w:trPr>
        <w:tc>
          <w:tcPr>
            <w:tcW w:w="1474" w:type="dxa"/>
            <w:tcBorders>
              <w:top w:val="single" w:sz="12" w:space="0" w:color="000000"/>
            </w:tcBorders>
            <w:vAlign w:val="center"/>
          </w:tcPr>
          <w:p w:rsidR="00480741" w:rsidRPr="00BA15B4" w:rsidRDefault="00480741" w:rsidP="00B208AB">
            <w:pPr>
              <w:pStyle w:val="NoSpacing"/>
              <w:rPr>
                <w:sz w:val="22"/>
              </w:rPr>
            </w:pPr>
          </w:p>
        </w:tc>
        <w:tc>
          <w:tcPr>
            <w:tcW w:w="7637" w:type="dxa"/>
            <w:gridSpan w:val="5"/>
            <w:tcBorders>
              <w:top w:val="single" w:sz="12" w:space="0" w:color="000000"/>
              <w:bottom w:val="single" w:sz="4" w:space="0" w:color="000000"/>
            </w:tcBorders>
            <w:noWrap/>
            <w:vAlign w:val="center"/>
          </w:tcPr>
          <w:p w:rsidR="00480741" w:rsidRPr="00BA15B4" w:rsidRDefault="00480741" w:rsidP="00B208AB">
            <w:pPr>
              <w:pStyle w:val="NoSpacing"/>
              <w:jc w:val="center"/>
              <w:rPr>
                <w:rFonts w:eastAsia="Times New Roman"/>
                <w:color w:val="000000"/>
                <w:sz w:val="22"/>
              </w:rPr>
            </w:pPr>
            <w:r w:rsidRPr="00BA15B4">
              <w:rPr>
                <w:sz w:val="22"/>
              </w:rPr>
              <w:t>±2 year time lag</w:t>
            </w:r>
            <w:r w:rsidRPr="00BA15B4">
              <w:rPr>
                <w:sz w:val="22"/>
                <w:vertAlign w:val="superscript"/>
              </w:rPr>
              <w:t>∆</w:t>
            </w:r>
            <w:r>
              <w:rPr>
                <w:sz w:val="22"/>
              </w:rPr>
              <w:t>: O</w:t>
            </w:r>
            <w:r w:rsidRPr="00BA15B4">
              <w:rPr>
                <w:sz w:val="22"/>
              </w:rPr>
              <w:t>R (95%CI) for interaction close*active</w:t>
            </w:r>
          </w:p>
        </w:tc>
      </w:tr>
      <w:tr w:rsidR="00480741" w:rsidRPr="00BA15B4" w:rsidTr="00B208AB">
        <w:trPr>
          <w:trHeight w:val="276"/>
        </w:trPr>
        <w:tc>
          <w:tcPr>
            <w:tcW w:w="1474" w:type="dxa"/>
            <w:tcBorders>
              <w:bottom w:val="single" w:sz="4" w:space="0" w:color="000000"/>
            </w:tcBorders>
            <w:vAlign w:val="center"/>
          </w:tcPr>
          <w:p w:rsidR="00480741" w:rsidRPr="00BA15B4" w:rsidRDefault="00480741" w:rsidP="00B208AB">
            <w:pPr>
              <w:pStyle w:val="NoSpacing"/>
              <w:rPr>
                <w:sz w:val="22"/>
              </w:rPr>
            </w:pPr>
          </w:p>
        </w:tc>
        <w:tc>
          <w:tcPr>
            <w:tcW w:w="1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480741" w:rsidRPr="00BA15B4" w:rsidRDefault="00480741" w:rsidP="00B208AB">
            <w:pPr>
              <w:pStyle w:val="NoSpacing"/>
              <w:rPr>
                <w:rFonts w:eastAsia="Times New Roman"/>
                <w:sz w:val="22"/>
              </w:rPr>
            </w:pPr>
            <w:r w:rsidRPr="00BA15B4">
              <w:rPr>
                <w:sz w:val="22"/>
              </w:rPr>
              <w:t>crude model</w:t>
            </w:r>
            <w:r w:rsidRPr="00BA15B4">
              <w:rPr>
                <w:sz w:val="22"/>
                <w:vertAlign w:val="superscript"/>
              </w:rPr>
              <w:t>†</w:t>
            </w:r>
          </w:p>
        </w:tc>
        <w:tc>
          <w:tcPr>
            <w:tcW w:w="1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480741" w:rsidRPr="00BA15B4" w:rsidRDefault="00480741" w:rsidP="00B208AB">
            <w:pPr>
              <w:pStyle w:val="NoSpacing"/>
              <w:rPr>
                <w:rFonts w:eastAsia="Times New Roman"/>
                <w:sz w:val="22"/>
              </w:rPr>
            </w:pPr>
            <w:r w:rsidRPr="00BA15B4">
              <w:rPr>
                <w:sz w:val="22"/>
              </w:rPr>
              <w:t xml:space="preserve">adj. for </w:t>
            </w:r>
            <w:proofErr w:type="spellStart"/>
            <w:r w:rsidRPr="00BA15B4">
              <w:rPr>
                <w:sz w:val="22"/>
              </w:rPr>
              <w:t>ind.</w:t>
            </w:r>
            <w:proofErr w:type="spellEnd"/>
            <w:r w:rsidRPr="00BA15B4">
              <w:rPr>
                <w:sz w:val="22"/>
              </w:rPr>
              <w:t xml:space="preserve"> factors</w:t>
            </w:r>
            <w:r w:rsidRPr="00BA15B4">
              <w:rPr>
                <w:sz w:val="22"/>
                <w:vertAlign w:val="superscript"/>
              </w:rPr>
              <w:t>‡</w:t>
            </w:r>
          </w:p>
        </w:tc>
        <w:tc>
          <w:tcPr>
            <w:tcW w:w="175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480741" w:rsidRPr="00BA15B4" w:rsidRDefault="00480741" w:rsidP="00B208AB">
            <w:pPr>
              <w:pStyle w:val="NoSpacing"/>
              <w:rPr>
                <w:rFonts w:eastAsia="Times New Roman"/>
                <w:sz w:val="22"/>
              </w:rPr>
            </w:pPr>
            <w:r w:rsidRPr="00BA15B4">
              <w:rPr>
                <w:sz w:val="22"/>
              </w:rPr>
              <w:t xml:space="preserve">adj. for </w:t>
            </w:r>
            <w:proofErr w:type="spellStart"/>
            <w:r w:rsidRPr="00BA15B4">
              <w:rPr>
                <w:sz w:val="22"/>
              </w:rPr>
              <w:t>ind.</w:t>
            </w:r>
            <w:proofErr w:type="spellEnd"/>
            <w:r w:rsidRPr="00BA15B4">
              <w:rPr>
                <w:sz w:val="22"/>
              </w:rPr>
              <w:t xml:space="preserve"> and HH factors</w:t>
            </w:r>
            <w:r w:rsidRPr="00BA15B4">
              <w:rPr>
                <w:sz w:val="22"/>
                <w:vertAlign w:val="superscript"/>
              </w:rPr>
              <w:t>∞</w:t>
            </w:r>
          </w:p>
        </w:tc>
        <w:tc>
          <w:tcPr>
            <w:tcW w:w="1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480741" w:rsidRPr="00BA15B4" w:rsidRDefault="00480741" w:rsidP="00B208AB">
            <w:pPr>
              <w:pStyle w:val="NoSpacing"/>
              <w:rPr>
                <w:rFonts w:eastAsia="Times New Roman"/>
                <w:sz w:val="22"/>
              </w:rPr>
            </w:pPr>
            <w:r w:rsidRPr="00BA15B4">
              <w:rPr>
                <w:sz w:val="22"/>
              </w:rPr>
              <w:t>wealthier HH only</w:t>
            </w:r>
            <w:r w:rsidRPr="00BA15B4">
              <w:rPr>
                <w:sz w:val="22"/>
                <w:vertAlign w:val="superscript"/>
              </w:rPr>
              <w:t>‡</w:t>
            </w:r>
            <w:r w:rsidRPr="00BA15B4">
              <w:rPr>
                <w:sz w:val="22"/>
              </w:rPr>
              <w:t>^</w:t>
            </w:r>
          </w:p>
        </w:tc>
        <w:tc>
          <w:tcPr>
            <w:tcW w:w="1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480741" w:rsidRPr="00BA15B4" w:rsidRDefault="00480741" w:rsidP="00B208AB">
            <w:pPr>
              <w:pStyle w:val="NoSpacing"/>
              <w:rPr>
                <w:rFonts w:eastAsia="Times New Roman"/>
                <w:sz w:val="22"/>
              </w:rPr>
            </w:pPr>
            <w:r w:rsidRPr="00BA15B4">
              <w:rPr>
                <w:sz w:val="22"/>
              </w:rPr>
              <w:t>poorer HH only</w:t>
            </w:r>
            <w:r w:rsidRPr="00BA15B4">
              <w:rPr>
                <w:sz w:val="22"/>
                <w:vertAlign w:val="superscript"/>
              </w:rPr>
              <w:t>‡</w:t>
            </w:r>
            <w:r w:rsidRPr="00BA15B4">
              <w:rPr>
                <w:sz w:val="22"/>
              </w:rPr>
              <w:t>^</w:t>
            </w:r>
          </w:p>
        </w:tc>
      </w:tr>
      <w:tr w:rsidR="00480741" w:rsidRPr="00BA15B4" w:rsidTr="00B208AB">
        <w:trPr>
          <w:trHeight w:val="567"/>
        </w:trPr>
        <w:tc>
          <w:tcPr>
            <w:tcW w:w="1474" w:type="dxa"/>
            <w:tcBorders>
              <w:top w:val="single" w:sz="4" w:space="0" w:color="000000"/>
            </w:tcBorders>
            <w:vAlign w:val="center"/>
            <w:hideMark/>
          </w:tcPr>
          <w:p w:rsidR="00480741" w:rsidRPr="00BA15B4" w:rsidRDefault="00480741" w:rsidP="00B208AB">
            <w:pPr>
              <w:pStyle w:val="NoSpacing"/>
              <w:rPr>
                <w:sz w:val="22"/>
              </w:rPr>
            </w:pPr>
            <w:r w:rsidRPr="00BA15B4">
              <w:rPr>
                <w:sz w:val="22"/>
              </w:rPr>
              <w:t>Stunting</w:t>
            </w:r>
          </w:p>
        </w:tc>
        <w:tc>
          <w:tcPr>
            <w:tcW w:w="1471" w:type="dxa"/>
            <w:tcBorders>
              <w:top w:val="single" w:sz="4" w:space="0" w:color="000000"/>
            </w:tcBorders>
            <w:noWrap/>
            <w:vAlign w:val="center"/>
            <w:hideMark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 xml:space="preserve">0.63 </w:t>
            </w:r>
            <w:r w:rsidRPr="00BA15B4">
              <w:rPr>
                <w:sz w:val="22"/>
              </w:rPr>
              <w:br/>
              <w:t>(0.41 - 0.98)*</w:t>
            </w:r>
          </w:p>
        </w:tc>
        <w:tc>
          <w:tcPr>
            <w:tcW w:w="1471" w:type="dxa"/>
            <w:tcBorders>
              <w:top w:val="single" w:sz="4" w:space="0" w:color="000000"/>
            </w:tcBorders>
            <w:noWrap/>
            <w:vAlign w:val="center"/>
            <w:hideMark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 xml:space="preserve">0.63 </w:t>
            </w:r>
            <w:r w:rsidRPr="00BA15B4">
              <w:rPr>
                <w:sz w:val="22"/>
              </w:rPr>
              <w:br/>
              <w:t>(0.40 - 0.99)*</w:t>
            </w:r>
          </w:p>
        </w:tc>
        <w:tc>
          <w:tcPr>
            <w:tcW w:w="1753" w:type="dxa"/>
            <w:tcBorders>
              <w:top w:val="single" w:sz="4" w:space="0" w:color="000000"/>
            </w:tcBorders>
            <w:noWrap/>
            <w:vAlign w:val="center"/>
            <w:hideMark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 xml:space="preserve">0.85 </w:t>
            </w:r>
            <w:r w:rsidRPr="00BA15B4">
              <w:rPr>
                <w:sz w:val="22"/>
              </w:rPr>
              <w:br/>
              <w:t>(0.54 - 1.34)</w:t>
            </w:r>
          </w:p>
        </w:tc>
        <w:tc>
          <w:tcPr>
            <w:tcW w:w="1471" w:type="dxa"/>
            <w:tcBorders>
              <w:top w:val="single" w:sz="4" w:space="0" w:color="000000"/>
            </w:tcBorders>
            <w:noWrap/>
            <w:vAlign w:val="center"/>
            <w:hideMark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 xml:space="preserve">0.65 </w:t>
            </w:r>
            <w:r w:rsidRPr="00BA15B4">
              <w:rPr>
                <w:sz w:val="22"/>
              </w:rPr>
              <w:br/>
              <w:t>(0.28 - 1.53)</w:t>
            </w:r>
          </w:p>
        </w:tc>
        <w:tc>
          <w:tcPr>
            <w:tcW w:w="1471" w:type="dxa"/>
            <w:tcBorders>
              <w:top w:val="single" w:sz="4" w:space="0" w:color="000000"/>
            </w:tcBorders>
            <w:noWrap/>
            <w:vAlign w:val="center"/>
            <w:hideMark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 xml:space="preserve">0.73 </w:t>
            </w:r>
            <w:r w:rsidRPr="00BA15B4">
              <w:rPr>
                <w:sz w:val="22"/>
              </w:rPr>
              <w:br/>
              <w:t>(0.34 - 1.54)</w:t>
            </w:r>
          </w:p>
        </w:tc>
      </w:tr>
      <w:tr w:rsidR="00480741" w:rsidRPr="00BA15B4" w:rsidTr="00B208AB">
        <w:trPr>
          <w:trHeight w:val="567"/>
        </w:trPr>
        <w:tc>
          <w:tcPr>
            <w:tcW w:w="1474" w:type="dxa"/>
            <w:vAlign w:val="center"/>
          </w:tcPr>
          <w:p w:rsidR="00480741" w:rsidRPr="00BA15B4" w:rsidRDefault="00480741" w:rsidP="00B208AB">
            <w:pPr>
              <w:pStyle w:val="NoSpacing"/>
              <w:rPr>
                <w:sz w:val="22"/>
              </w:rPr>
            </w:pPr>
            <w:r w:rsidRPr="00BA15B4">
              <w:rPr>
                <w:sz w:val="22"/>
              </w:rPr>
              <w:t>Wasting</w:t>
            </w:r>
          </w:p>
        </w:tc>
        <w:tc>
          <w:tcPr>
            <w:tcW w:w="1471" w:type="dxa"/>
            <w:noWrap/>
            <w:vAlign w:val="center"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 xml:space="preserve">0.51 </w:t>
            </w:r>
            <w:r w:rsidRPr="00BA15B4">
              <w:rPr>
                <w:sz w:val="22"/>
              </w:rPr>
              <w:br/>
              <w:t>(0.27 - 0.98)*</w:t>
            </w:r>
          </w:p>
        </w:tc>
        <w:tc>
          <w:tcPr>
            <w:tcW w:w="1471" w:type="dxa"/>
            <w:noWrap/>
            <w:vAlign w:val="center"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 xml:space="preserve">0.48 </w:t>
            </w:r>
            <w:r w:rsidRPr="00BA15B4">
              <w:rPr>
                <w:sz w:val="22"/>
              </w:rPr>
              <w:br/>
              <w:t>(0.25 - 0.94)*</w:t>
            </w:r>
          </w:p>
        </w:tc>
        <w:tc>
          <w:tcPr>
            <w:tcW w:w="1753" w:type="dxa"/>
            <w:noWrap/>
            <w:vAlign w:val="center"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 xml:space="preserve">0.55 </w:t>
            </w:r>
            <w:r w:rsidRPr="00BA15B4">
              <w:rPr>
                <w:sz w:val="22"/>
              </w:rPr>
              <w:br/>
              <w:t>(0.28 - 1.07)</w:t>
            </w:r>
          </w:p>
        </w:tc>
        <w:tc>
          <w:tcPr>
            <w:tcW w:w="1471" w:type="dxa"/>
            <w:noWrap/>
            <w:vAlign w:val="center"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 xml:space="preserve">1.15 </w:t>
            </w:r>
            <w:r w:rsidRPr="00BA15B4">
              <w:rPr>
                <w:sz w:val="22"/>
              </w:rPr>
              <w:br/>
              <w:t>(0.23 - 5.88)</w:t>
            </w:r>
          </w:p>
        </w:tc>
        <w:tc>
          <w:tcPr>
            <w:tcW w:w="1471" w:type="dxa"/>
            <w:noWrap/>
            <w:vAlign w:val="center"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 xml:space="preserve">0.32 </w:t>
            </w:r>
            <w:r w:rsidRPr="00BA15B4">
              <w:rPr>
                <w:sz w:val="22"/>
              </w:rPr>
              <w:br/>
              <w:t>(0.12 - 0.82)*</w:t>
            </w:r>
          </w:p>
        </w:tc>
      </w:tr>
      <w:tr w:rsidR="00480741" w:rsidRPr="00BA15B4" w:rsidTr="00B208AB">
        <w:trPr>
          <w:trHeight w:val="567"/>
        </w:trPr>
        <w:tc>
          <w:tcPr>
            <w:tcW w:w="1474" w:type="dxa"/>
            <w:vAlign w:val="center"/>
          </w:tcPr>
          <w:p w:rsidR="00480741" w:rsidRPr="00BA15B4" w:rsidRDefault="00480741" w:rsidP="00B208AB">
            <w:pPr>
              <w:pStyle w:val="NoSpacing"/>
              <w:rPr>
                <w:sz w:val="22"/>
              </w:rPr>
            </w:pPr>
            <w:r w:rsidRPr="00BA15B4">
              <w:rPr>
                <w:sz w:val="22"/>
              </w:rPr>
              <w:t>Underweight</w:t>
            </w:r>
          </w:p>
        </w:tc>
        <w:tc>
          <w:tcPr>
            <w:tcW w:w="1471" w:type="dxa"/>
            <w:noWrap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0.55</w:t>
            </w:r>
            <w:r w:rsidRPr="00BA15B4">
              <w:rPr>
                <w:sz w:val="22"/>
              </w:rPr>
              <w:br/>
              <w:t>(0.34 - 0.90)*</w:t>
            </w:r>
          </w:p>
        </w:tc>
        <w:tc>
          <w:tcPr>
            <w:tcW w:w="1471" w:type="dxa"/>
            <w:noWrap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0.56</w:t>
            </w:r>
            <w:r w:rsidRPr="00BA15B4">
              <w:rPr>
                <w:sz w:val="22"/>
              </w:rPr>
              <w:br/>
              <w:t>(0.34 - 0.91)*</w:t>
            </w:r>
          </w:p>
        </w:tc>
        <w:tc>
          <w:tcPr>
            <w:tcW w:w="1753" w:type="dxa"/>
            <w:noWrap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0.79</w:t>
            </w:r>
            <w:r w:rsidRPr="00BA15B4">
              <w:rPr>
                <w:sz w:val="22"/>
              </w:rPr>
              <w:br/>
              <w:t>(0.48 - 1.30)</w:t>
            </w:r>
          </w:p>
        </w:tc>
        <w:tc>
          <w:tcPr>
            <w:tcW w:w="1471" w:type="dxa"/>
            <w:noWrap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1.49</w:t>
            </w:r>
            <w:r w:rsidRPr="00BA15B4">
              <w:rPr>
                <w:sz w:val="22"/>
              </w:rPr>
              <w:br/>
              <w:t>(0.46 - 4.81)</w:t>
            </w:r>
          </w:p>
        </w:tc>
        <w:tc>
          <w:tcPr>
            <w:tcW w:w="1471" w:type="dxa"/>
            <w:noWrap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>0.43</w:t>
            </w:r>
            <w:r w:rsidRPr="00BA15B4">
              <w:rPr>
                <w:sz w:val="22"/>
              </w:rPr>
              <w:br/>
              <w:t>(0.20 - 0.93)*</w:t>
            </w:r>
          </w:p>
        </w:tc>
      </w:tr>
      <w:tr w:rsidR="00480741" w:rsidRPr="00BA15B4" w:rsidTr="00B208AB">
        <w:trPr>
          <w:trHeight w:val="567"/>
        </w:trPr>
        <w:tc>
          <w:tcPr>
            <w:tcW w:w="1474" w:type="dxa"/>
            <w:tcBorders>
              <w:bottom w:val="single" w:sz="12" w:space="0" w:color="000000"/>
            </w:tcBorders>
            <w:vAlign w:val="center"/>
            <w:hideMark/>
          </w:tcPr>
          <w:p w:rsidR="00480741" w:rsidRPr="00BA15B4" w:rsidRDefault="00480741" w:rsidP="00B208AB">
            <w:pPr>
              <w:pStyle w:val="NoSpacing"/>
              <w:rPr>
                <w:sz w:val="22"/>
              </w:rPr>
            </w:pPr>
            <w:r w:rsidRPr="00BA15B4">
              <w:rPr>
                <w:sz w:val="22"/>
              </w:rPr>
              <w:t>Diarrhea</w:t>
            </w:r>
          </w:p>
        </w:tc>
        <w:tc>
          <w:tcPr>
            <w:tcW w:w="1471" w:type="dxa"/>
            <w:tcBorders>
              <w:bottom w:val="single" w:sz="12" w:space="0" w:color="000000"/>
            </w:tcBorders>
            <w:noWrap/>
            <w:vAlign w:val="center"/>
            <w:hideMark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 xml:space="preserve">0.82 </w:t>
            </w:r>
            <w:r w:rsidRPr="00BA15B4">
              <w:rPr>
                <w:sz w:val="22"/>
              </w:rPr>
              <w:br/>
              <w:t>(0.56 - 1.20)</w:t>
            </w:r>
          </w:p>
        </w:tc>
        <w:tc>
          <w:tcPr>
            <w:tcW w:w="1471" w:type="dxa"/>
            <w:tcBorders>
              <w:bottom w:val="single" w:sz="12" w:space="0" w:color="000000"/>
            </w:tcBorders>
            <w:noWrap/>
            <w:vAlign w:val="center"/>
            <w:hideMark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 xml:space="preserve">0.81 </w:t>
            </w:r>
            <w:r w:rsidRPr="00BA15B4">
              <w:rPr>
                <w:sz w:val="22"/>
              </w:rPr>
              <w:br/>
              <w:t>(0.54 - 1.19)</w:t>
            </w:r>
          </w:p>
        </w:tc>
        <w:tc>
          <w:tcPr>
            <w:tcW w:w="1753" w:type="dxa"/>
            <w:tcBorders>
              <w:bottom w:val="single" w:sz="12" w:space="0" w:color="000000"/>
            </w:tcBorders>
            <w:noWrap/>
            <w:vAlign w:val="center"/>
            <w:hideMark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 xml:space="preserve">0.85 </w:t>
            </w:r>
            <w:r w:rsidRPr="00BA15B4">
              <w:rPr>
                <w:sz w:val="22"/>
              </w:rPr>
              <w:br/>
              <w:t>(0.57 - 1.27)</w:t>
            </w:r>
          </w:p>
        </w:tc>
        <w:tc>
          <w:tcPr>
            <w:tcW w:w="1471" w:type="dxa"/>
            <w:tcBorders>
              <w:bottom w:val="single" w:sz="12" w:space="0" w:color="000000"/>
            </w:tcBorders>
            <w:noWrap/>
            <w:vAlign w:val="center"/>
            <w:hideMark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 xml:space="preserve">1.33 </w:t>
            </w:r>
            <w:r w:rsidRPr="00BA15B4">
              <w:rPr>
                <w:sz w:val="22"/>
              </w:rPr>
              <w:br/>
              <w:t>(0.63 - 2.81)</w:t>
            </w:r>
          </w:p>
        </w:tc>
        <w:tc>
          <w:tcPr>
            <w:tcW w:w="1471" w:type="dxa"/>
            <w:tcBorders>
              <w:bottom w:val="single" w:sz="12" w:space="0" w:color="000000"/>
            </w:tcBorders>
            <w:noWrap/>
            <w:vAlign w:val="center"/>
            <w:hideMark/>
          </w:tcPr>
          <w:p w:rsidR="00480741" w:rsidRPr="00BA15B4" w:rsidRDefault="00480741" w:rsidP="00B208AB">
            <w:pPr>
              <w:pStyle w:val="NoSpacing"/>
              <w:jc w:val="center"/>
              <w:rPr>
                <w:sz w:val="22"/>
              </w:rPr>
            </w:pPr>
            <w:r w:rsidRPr="00BA15B4">
              <w:rPr>
                <w:sz w:val="22"/>
              </w:rPr>
              <w:t xml:space="preserve">0.42 </w:t>
            </w:r>
            <w:r w:rsidRPr="00BA15B4">
              <w:rPr>
                <w:sz w:val="22"/>
              </w:rPr>
              <w:br/>
              <w:t>(0.21 - 0.83)*</w:t>
            </w:r>
          </w:p>
        </w:tc>
      </w:tr>
    </w:tbl>
    <w:p w:rsidR="00480741" w:rsidRPr="00397D18" w:rsidRDefault="00480741" w:rsidP="00480741">
      <w:pPr>
        <w:pStyle w:val="NoSpacing"/>
        <w:rPr>
          <w:sz w:val="22"/>
        </w:rPr>
      </w:pPr>
      <w:r>
        <w:t>The coefficients quantify the interaction effect of mining activity (before vs. after mine opening) and proximity to the mine (≤10 km vs. 10-50 km) on childhood health outcomes using the longitudinal household dataset.</w:t>
      </w:r>
      <w:r w:rsidRPr="001057F8">
        <w:t xml:space="preserve"> </w:t>
      </w:r>
      <w:r>
        <w:t xml:space="preserve">Data during a potential transition phase 2 years before and after mine opening </w:t>
      </w:r>
      <w:proofErr w:type="gramStart"/>
      <w:r>
        <w:t>were excluded</w:t>
      </w:r>
      <w:proofErr w:type="gramEnd"/>
      <w:r>
        <w:t>.</w:t>
      </w:r>
      <w:r>
        <w:br/>
      </w:r>
      <w:proofErr w:type="gramStart"/>
      <w:r w:rsidRPr="00397D18">
        <w:rPr>
          <w:sz w:val="22"/>
          <w:vertAlign w:val="superscript"/>
        </w:rPr>
        <w:t>∆</w:t>
      </w:r>
      <w:r w:rsidRPr="00397D18">
        <w:rPr>
          <w:sz w:val="22"/>
        </w:rPr>
        <w:t xml:space="preserve"> sensitivity analysis: data obtained between 2 years before and 2 years after mine opening excluded</w:t>
      </w:r>
      <w:r w:rsidRPr="00397D18">
        <w:rPr>
          <w:sz w:val="22"/>
        </w:rPr>
        <w:br/>
        <w:t>† mine-level random intercept only</w:t>
      </w:r>
      <w:r w:rsidRPr="00397D18">
        <w:rPr>
          <w:sz w:val="22"/>
        </w:rPr>
        <w:br/>
        <w:t>‡ adjusted for individual-level factors (child age and sex)</w:t>
      </w:r>
      <w:r w:rsidRPr="00397D18">
        <w:rPr>
          <w:sz w:val="22"/>
        </w:rPr>
        <w:br/>
      </w:r>
      <w:r w:rsidRPr="00397D18">
        <w:rPr>
          <w:b/>
          <w:bCs/>
          <w:color w:val="000000"/>
          <w:sz w:val="22"/>
          <w:vertAlign w:val="superscript"/>
        </w:rPr>
        <w:t>∞</w:t>
      </w:r>
      <w:r w:rsidRPr="00397D18">
        <w:rPr>
          <w:sz w:val="22"/>
        </w:rPr>
        <w:t xml:space="preserve"> adjusted for individual and household-level factors (wealth, access to water and sanitation, household size)</w:t>
      </w:r>
      <w:r w:rsidRPr="00397D18">
        <w:rPr>
          <w:sz w:val="22"/>
        </w:rPr>
        <w:br/>
        <w:t>^ stratified analyses using only data from the two lower wealth quintiles (poorer households) and the two upper wealth quintiles (wealthier households), respectively</w:t>
      </w:r>
      <w:r w:rsidRPr="00397D18">
        <w:rPr>
          <w:sz w:val="22"/>
        </w:rPr>
        <w:br/>
        <w:t xml:space="preserve">* </w:t>
      </w:r>
      <w:r w:rsidRPr="00397D18">
        <w:rPr>
          <w:i/>
          <w:sz w:val="22"/>
        </w:rPr>
        <w:t>p</w:t>
      </w:r>
      <w:r w:rsidRPr="00397D18">
        <w:rPr>
          <w:sz w:val="22"/>
        </w:rPr>
        <w:t xml:space="preserve"> &lt; 0.05; ** </w:t>
      </w:r>
      <w:r w:rsidRPr="00397D18">
        <w:rPr>
          <w:i/>
          <w:sz w:val="22"/>
        </w:rPr>
        <w:t>p</w:t>
      </w:r>
      <w:r w:rsidRPr="00397D18">
        <w:rPr>
          <w:sz w:val="22"/>
        </w:rPr>
        <w:t>&lt;0.001</w:t>
      </w:r>
      <w:proofErr w:type="gramEnd"/>
    </w:p>
    <w:p w:rsidR="00BB01B3" w:rsidRPr="00FF37A5" w:rsidRDefault="00BB01B3" w:rsidP="005621EA">
      <w:pPr>
        <w:rPr>
          <w:rFonts w:cs="Arial"/>
        </w:rPr>
      </w:pPr>
    </w:p>
    <w:sectPr w:rsidR="00BB01B3" w:rsidRPr="00FF37A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741"/>
    <w:rsid w:val="001B747E"/>
    <w:rsid w:val="002E679A"/>
    <w:rsid w:val="003647A4"/>
    <w:rsid w:val="00414738"/>
    <w:rsid w:val="00472FB9"/>
    <w:rsid w:val="00480741"/>
    <w:rsid w:val="004C3418"/>
    <w:rsid w:val="005621EA"/>
    <w:rsid w:val="005669CA"/>
    <w:rsid w:val="0058675C"/>
    <w:rsid w:val="00625C7F"/>
    <w:rsid w:val="006E3743"/>
    <w:rsid w:val="007F48CF"/>
    <w:rsid w:val="0084165B"/>
    <w:rsid w:val="008E18AB"/>
    <w:rsid w:val="009F33FC"/>
    <w:rsid w:val="00A111B1"/>
    <w:rsid w:val="00A16765"/>
    <w:rsid w:val="00A77AB1"/>
    <w:rsid w:val="00A97E35"/>
    <w:rsid w:val="00AA519F"/>
    <w:rsid w:val="00AB5AC7"/>
    <w:rsid w:val="00AE0C6C"/>
    <w:rsid w:val="00B03147"/>
    <w:rsid w:val="00B13D3A"/>
    <w:rsid w:val="00B22EC8"/>
    <w:rsid w:val="00B802AA"/>
    <w:rsid w:val="00B95593"/>
    <w:rsid w:val="00BB01B3"/>
    <w:rsid w:val="00CA3615"/>
    <w:rsid w:val="00D74C5B"/>
    <w:rsid w:val="00F05A7D"/>
    <w:rsid w:val="00FF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627491"/>
  <w15:chartTrackingRefBased/>
  <w15:docId w15:val="{3D0859F7-59C2-4CA0-A523-819ED1162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741"/>
    <w:pPr>
      <w:spacing w:line="480" w:lineRule="auto"/>
    </w:pPr>
    <w:rPr>
      <w:rFonts w:ascii="Times New Roman" w:hAnsi="Times New Roman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80741"/>
    <w:pPr>
      <w:spacing w:line="240" w:lineRule="auto"/>
    </w:pPr>
    <w:rPr>
      <w:i/>
      <w:iCs/>
      <w:sz w:val="22"/>
      <w:szCs w:val="18"/>
    </w:rPr>
  </w:style>
  <w:style w:type="table" w:styleId="TableGrid">
    <w:name w:val="Table Grid"/>
    <w:basedOn w:val="TableNormal"/>
    <w:uiPriority w:val="59"/>
    <w:rsid w:val="00480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80741"/>
    <w:pPr>
      <w:spacing w:after="0" w:line="240" w:lineRule="auto"/>
    </w:pPr>
    <w:rPr>
      <w:rFonts w:ascii="Times New Roman" w:hAnsi="Times New Roman" w:cs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Dietler</dc:creator>
  <cp:keywords/>
  <dc:description/>
  <cp:lastModifiedBy>Dominik Dietler</cp:lastModifiedBy>
  <cp:revision>1</cp:revision>
  <dcterms:created xsi:type="dcterms:W3CDTF">2021-01-26T09:38:00Z</dcterms:created>
  <dcterms:modified xsi:type="dcterms:W3CDTF">2021-01-26T09:42:00Z</dcterms:modified>
</cp:coreProperties>
</file>