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berschrift4"/>
        <w:rPr>
          <w:rFonts w:asciiTheme="minorHAnsi" w:hAnsiTheme="minorHAnsi" w:cstheme="minorHAnsi"/>
          <w:b w:val="0"/>
          <w:i w:val="0"/>
          <w:color w:val="auto"/>
        </w:rPr>
      </w:pPr>
      <w:r>
        <w:rPr>
          <w:rFonts w:asciiTheme="minorHAnsi" w:hAnsiTheme="minorHAnsi" w:cstheme="minorHAnsi"/>
          <w:b w:val="0"/>
          <w:i w:val="0"/>
          <w:color w:val="auto"/>
          <w:shd w:val="clear" w:color="auto" w:fill="FFFFFF"/>
        </w:rPr>
        <w:t xml:space="preserve">"This supplementary material is hosted by </w:t>
      </w:r>
      <w:r>
        <w:rPr>
          <w:rStyle w:val="Hervorhebung"/>
          <w:rFonts w:asciiTheme="minorHAnsi" w:hAnsiTheme="minorHAnsi" w:cstheme="minorHAnsi"/>
          <w:b w:val="0"/>
          <w:i/>
          <w:color w:val="auto"/>
        </w:rPr>
        <w:t xml:space="preserve">Globalization and Health </w:t>
      </w:r>
      <w:r>
        <w:rPr>
          <w:rFonts w:asciiTheme="minorHAnsi" w:hAnsiTheme="minorHAnsi" w:cstheme="minorHAnsi"/>
          <w:b w:val="0"/>
          <w:i w:val="0"/>
          <w:color w:val="auto"/>
          <w:shd w:val="clear" w:color="auto" w:fill="FFFFFF"/>
        </w:rPr>
        <w:t>as supporting information alongside the article [</w:t>
      </w:r>
      <w:r>
        <w:rPr>
          <w:rFonts w:asciiTheme="minorHAnsi" w:hAnsiTheme="minorHAnsi" w:cstheme="minorHAnsi"/>
          <w:b w:val="0"/>
          <w:i w:val="0"/>
          <w:color w:val="auto"/>
        </w:rPr>
        <w:t>De-escalation strategies for non-pharmaceutical interventions following infectious disease outbreaks: a rapid review and a proposed dynamic de-escalation framework</w:t>
      </w:r>
      <w:r>
        <w:rPr>
          <w:rFonts w:asciiTheme="minorHAnsi" w:hAnsiTheme="minorHAnsi" w:cstheme="minorHAnsi"/>
          <w:b w:val="0"/>
          <w:i w:val="0"/>
          <w:color w:val="auto"/>
          <w:shd w:val="clear" w:color="auto" w:fill="FFFFFF"/>
        </w:rPr>
        <w:t xml:space="preserve">], on behalf of the authors, who remain responsible for the accuracy and appropriateness of the content. The same standards for ethics, copyright, attributions and permissions as for the article apply. Supplements are not edited by </w:t>
      </w:r>
      <w:r>
        <w:rPr>
          <w:rStyle w:val="Hervorhebung"/>
          <w:rFonts w:asciiTheme="minorHAnsi" w:hAnsiTheme="minorHAnsi" w:cstheme="minorHAnsi"/>
          <w:b w:val="0"/>
          <w:i/>
          <w:color w:val="auto"/>
        </w:rPr>
        <w:t>Globalization and Health</w:t>
      </w:r>
      <w:r>
        <w:rPr>
          <w:rFonts w:asciiTheme="minorHAnsi" w:hAnsiTheme="minorHAnsi" w:cstheme="minorHAnsi"/>
          <w:b w:val="0"/>
          <w:i w:val="0"/>
          <w:color w:val="auto"/>
          <w:shd w:val="clear" w:color="auto" w:fill="FFFFFF"/>
        </w:rPr>
        <w:t xml:space="preserve"> and the journal is not responsible for the maintenance of any links or email addresses provided therein."</w:t>
      </w:r>
    </w:p>
    <w:p>
      <w:pPr>
        <w:pStyle w:val="Beschriftung"/>
        <w:keepNext/>
        <w:spacing w:after="0"/>
        <w:rPr>
          <w:rFonts w:ascii="Times New Roman" w:hAnsi="Times New Roman" w:cs="Times New Roman"/>
          <w:b w:val="0"/>
          <w:color w:val="auto"/>
          <w:sz w:val="20"/>
        </w:rPr>
      </w:pPr>
    </w:p>
    <w:p>
      <w:pPr>
        <w:pStyle w:val="Beschriftung"/>
        <w:keepNext/>
        <w:spacing w:after="0"/>
        <w:rPr>
          <w:rFonts w:ascii="Times New Roman" w:hAnsi="Times New Roman" w:cs="Times New Roman"/>
          <w:b w:val="0"/>
          <w:color w:val="auto"/>
          <w:sz w:val="20"/>
        </w:rPr>
      </w:pPr>
      <w:r>
        <w:rPr>
          <w:rFonts w:ascii="Times New Roman" w:hAnsi="Times New Roman" w:cs="Times New Roman"/>
          <w:b w:val="0"/>
          <w:color w:val="auto"/>
          <w:sz w:val="20"/>
        </w:rPr>
        <w:t xml:space="preserve">Table </w:t>
      </w:r>
      <w:r>
        <w:rPr>
          <w:rFonts w:ascii="Times New Roman" w:hAnsi="Times New Roman" w:cs="Times New Roman"/>
          <w:b w:val="0"/>
          <w:color w:val="auto"/>
          <w:sz w:val="20"/>
        </w:rPr>
        <w:fldChar w:fldCharType="begin"/>
      </w:r>
      <w:r>
        <w:rPr>
          <w:rFonts w:ascii="Times New Roman" w:hAnsi="Times New Roman" w:cs="Times New Roman"/>
          <w:b w:val="0"/>
          <w:color w:val="auto"/>
          <w:sz w:val="20"/>
        </w:rPr>
        <w:instrText xml:space="preserve"> SEQ Table \* ARABIC </w:instrText>
      </w:r>
      <w:r>
        <w:rPr>
          <w:rFonts w:ascii="Times New Roman" w:hAnsi="Times New Roman" w:cs="Times New Roman"/>
          <w:b w:val="0"/>
          <w:color w:val="auto"/>
          <w:sz w:val="20"/>
        </w:rPr>
        <w:fldChar w:fldCharType="separate"/>
      </w:r>
      <w:r>
        <w:rPr>
          <w:rFonts w:ascii="Times New Roman" w:hAnsi="Times New Roman" w:cs="Times New Roman"/>
          <w:b w:val="0"/>
          <w:noProof/>
          <w:color w:val="auto"/>
          <w:sz w:val="20"/>
        </w:rPr>
        <w:t>1</w:t>
      </w:r>
      <w:r>
        <w:rPr>
          <w:rFonts w:ascii="Times New Roman" w:hAnsi="Times New Roman" w:cs="Times New Roman"/>
          <w:b w:val="0"/>
          <w:color w:val="auto"/>
          <w:sz w:val="20"/>
        </w:rPr>
        <w:fldChar w:fldCharType="end"/>
      </w:r>
      <w:r>
        <w:rPr>
          <w:rFonts w:ascii="Times New Roman" w:hAnsi="Times New Roman" w:cs="Times New Roman"/>
          <w:b w:val="0"/>
          <w:color w:val="auto"/>
          <w:sz w:val="20"/>
        </w:rPr>
        <w:t>: Documents included in final analysis by type and setting</w:t>
      </w:r>
    </w:p>
    <w:tbl>
      <w:tblPr>
        <w:tblStyle w:val="Tabellenraster"/>
        <w:tblW w:w="9451" w:type="dxa"/>
        <w:tblLayout w:type="fixed"/>
        <w:tblLook w:val="0600" w:firstRow="0" w:lastRow="0" w:firstColumn="0" w:lastColumn="0" w:noHBand="1" w:noVBand="1"/>
      </w:tblPr>
      <w:tblGrid>
        <w:gridCol w:w="1660"/>
        <w:gridCol w:w="3685"/>
        <w:gridCol w:w="1418"/>
        <w:gridCol w:w="993"/>
        <w:gridCol w:w="1695"/>
      </w:tblGrid>
      <w:tr>
        <w:trPr>
          <w:trHeight w:hRule="exact" w:val="170"/>
        </w:trPr>
        <w:tc>
          <w:tcPr>
            <w:tcW w:w="1660" w:type="dxa"/>
          </w:tcPr>
          <w:p>
            <w:pPr>
              <w:widowControl w:val="0"/>
              <w:pBdr>
                <w:top w:val="nil"/>
                <w:left w:val="nil"/>
                <w:bottom w:val="nil"/>
                <w:right w:val="nil"/>
                <w:between w:val="nil"/>
              </w:pBdr>
              <w:rPr>
                <w:rFonts w:ascii="Times New Roman" w:hAnsi="Times New Roman" w:cs="Times New Roman"/>
                <w:b/>
                <w:sz w:val="16"/>
                <w:szCs w:val="16"/>
              </w:rPr>
            </w:pPr>
            <w:bookmarkStart w:id="0" w:name="_ai9boidt5l0e" w:colFirst="0" w:colLast="0"/>
            <w:bookmarkEnd w:id="0"/>
            <w:r>
              <w:rPr>
                <w:rFonts w:ascii="Times New Roman" w:hAnsi="Times New Roman" w:cs="Times New Roman"/>
                <w:b/>
                <w:sz w:val="16"/>
                <w:szCs w:val="16"/>
              </w:rPr>
              <w:t>Document type</w:t>
            </w:r>
          </w:p>
        </w:tc>
        <w:tc>
          <w:tcPr>
            <w:tcW w:w="3685" w:type="dxa"/>
          </w:tcPr>
          <w:p>
            <w:pPr>
              <w:widowControl w:val="0"/>
              <w:pBdr>
                <w:top w:val="nil"/>
                <w:left w:val="nil"/>
                <w:bottom w:val="nil"/>
                <w:right w:val="nil"/>
                <w:between w:val="nil"/>
              </w:pBdr>
              <w:rPr>
                <w:rFonts w:ascii="Times New Roman" w:hAnsi="Times New Roman" w:cs="Times New Roman"/>
                <w:b/>
                <w:sz w:val="16"/>
                <w:szCs w:val="16"/>
              </w:rPr>
            </w:pPr>
            <w:r>
              <w:rPr>
                <w:rFonts w:ascii="Times New Roman" w:hAnsi="Times New Roman" w:cs="Times New Roman"/>
                <w:b/>
                <w:sz w:val="16"/>
                <w:szCs w:val="16"/>
              </w:rPr>
              <w:t>Citation</w:t>
            </w:r>
          </w:p>
        </w:tc>
        <w:tc>
          <w:tcPr>
            <w:tcW w:w="1418" w:type="dxa"/>
          </w:tcPr>
          <w:p>
            <w:pPr>
              <w:widowControl w:val="0"/>
              <w:pBdr>
                <w:top w:val="nil"/>
                <w:left w:val="nil"/>
                <w:bottom w:val="nil"/>
                <w:right w:val="nil"/>
                <w:between w:val="nil"/>
              </w:pBdr>
              <w:rPr>
                <w:rFonts w:ascii="Times New Roman" w:hAnsi="Times New Roman" w:cs="Times New Roman"/>
                <w:b/>
                <w:sz w:val="16"/>
                <w:szCs w:val="16"/>
              </w:rPr>
            </w:pPr>
            <w:r>
              <w:rPr>
                <w:rFonts w:ascii="Times New Roman" w:hAnsi="Times New Roman" w:cs="Times New Roman"/>
                <w:b/>
                <w:sz w:val="16"/>
                <w:szCs w:val="16"/>
              </w:rPr>
              <w:t>Geography</w:t>
            </w:r>
          </w:p>
        </w:tc>
        <w:tc>
          <w:tcPr>
            <w:tcW w:w="993" w:type="dxa"/>
          </w:tcPr>
          <w:p>
            <w:pPr>
              <w:widowControl w:val="0"/>
              <w:pBdr>
                <w:top w:val="nil"/>
                <w:left w:val="nil"/>
                <w:bottom w:val="nil"/>
                <w:right w:val="nil"/>
                <w:between w:val="nil"/>
              </w:pBdr>
              <w:rPr>
                <w:rFonts w:ascii="Times New Roman" w:hAnsi="Times New Roman" w:cs="Times New Roman"/>
                <w:b/>
                <w:sz w:val="16"/>
                <w:szCs w:val="16"/>
              </w:rPr>
            </w:pPr>
            <w:r>
              <w:rPr>
                <w:rFonts w:ascii="Times New Roman" w:hAnsi="Times New Roman" w:cs="Times New Roman"/>
                <w:b/>
                <w:sz w:val="16"/>
                <w:szCs w:val="16"/>
              </w:rPr>
              <w:t>Year(s)</w:t>
            </w:r>
          </w:p>
        </w:tc>
        <w:tc>
          <w:tcPr>
            <w:tcW w:w="1695" w:type="dxa"/>
          </w:tcPr>
          <w:p>
            <w:pPr>
              <w:widowControl w:val="0"/>
              <w:pBdr>
                <w:top w:val="nil"/>
                <w:left w:val="nil"/>
                <w:bottom w:val="nil"/>
                <w:right w:val="nil"/>
                <w:between w:val="nil"/>
              </w:pBdr>
              <w:rPr>
                <w:rFonts w:ascii="Times New Roman" w:hAnsi="Times New Roman" w:cs="Times New Roman"/>
                <w:b/>
                <w:sz w:val="16"/>
                <w:szCs w:val="16"/>
              </w:rPr>
            </w:pPr>
            <w:r>
              <w:rPr>
                <w:rFonts w:ascii="Times New Roman" w:hAnsi="Times New Roman" w:cs="Times New Roman"/>
                <w:b/>
                <w:sz w:val="16"/>
                <w:szCs w:val="16"/>
              </w:rPr>
              <w:t>Type of hazard, risk, emergency or event</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Commentary </w:t>
            </w:r>
          </w:p>
        </w:tc>
        <w:tc>
          <w:tcPr>
            <w:tcW w:w="3685" w:type="dxa"/>
          </w:tcPr>
          <w:p>
            <w:pPr>
              <w:widowControl w:val="0"/>
              <w:pBdr>
                <w:top w:val="nil"/>
                <w:left w:val="nil"/>
                <w:bottom w:val="nil"/>
                <w:right w:val="nil"/>
                <w:between w:val="nil"/>
              </w:pBdr>
              <w:rPr>
                <w:rFonts w:ascii="Times New Roman" w:hAnsi="Times New Roman" w:cs="Times New Roman"/>
                <w:sz w:val="16"/>
                <w:szCs w:val="16"/>
              </w:rPr>
            </w:pPr>
            <w:proofErr w:type="spellStart"/>
            <w:r>
              <w:rPr>
                <w:rFonts w:ascii="Times New Roman" w:hAnsi="Times New Roman" w:cs="Times New Roman"/>
                <w:sz w:val="16"/>
                <w:szCs w:val="16"/>
                <w:lang w:val="fr-FR"/>
              </w:rPr>
              <w:t>Christakis</w:t>
            </w:r>
            <w:proofErr w:type="spellEnd"/>
            <w:r>
              <w:rPr>
                <w:rFonts w:ascii="Times New Roman" w:hAnsi="Times New Roman" w:cs="Times New Roman"/>
                <w:sz w:val="16"/>
                <w:szCs w:val="16"/>
                <w:lang w:val="fr-FR"/>
              </w:rPr>
              <w:t xml:space="preserve">, D.A.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rPr>
            </w:pPr>
            <w:proofErr w:type="spellStart"/>
            <w:r>
              <w:rPr>
                <w:rFonts w:ascii="Times New Roman" w:hAnsi="Times New Roman" w:cs="Times New Roman"/>
                <w:sz w:val="16"/>
                <w:szCs w:val="16"/>
              </w:rPr>
              <w:t>Dzobo</w:t>
            </w:r>
            <w:proofErr w:type="spellEnd"/>
            <w:r>
              <w:rPr>
                <w:rFonts w:ascii="Times New Roman" w:hAnsi="Times New Roman" w:cs="Times New Roman"/>
                <w:sz w:val="16"/>
                <w:szCs w:val="16"/>
              </w:rPr>
              <w:t>, M.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Zimbabwe</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rPr>
            </w:pPr>
            <w:proofErr w:type="spellStart"/>
            <w:r>
              <w:rPr>
                <w:rFonts w:ascii="Times New Roman" w:hAnsi="Times New Roman" w:cs="Times New Roman"/>
                <w:sz w:val="16"/>
                <w:szCs w:val="16"/>
              </w:rPr>
              <w:t>Eyawo</w:t>
            </w:r>
            <w:proofErr w:type="spellEnd"/>
            <w:r>
              <w:rPr>
                <w:rFonts w:ascii="Times New Roman" w:hAnsi="Times New Roman" w:cs="Times New Roman"/>
                <w:sz w:val="16"/>
                <w:szCs w:val="16"/>
              </w:rPr>
              <w:t>, O.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LMIC</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2021</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Commentary </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Gilbert, M.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Godwin A.</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UK</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2021</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Leung, G.</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McKee, M.</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Europe</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Petersen, E.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rPr>
              <w:t>Pollok, A.</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UK</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Romer, P. </w:t>
            </w:r>
            <w:r>
              <w:rPr>
                <w:rFonts w:ascii="Times New Roman" w:hAnsi="Times New Roman" w:cs="Times New Roman"/>
                <w:sz w:val="16"/>
                <w:szCs w:val="16"/>
                <w:lang w:val="fr-FR"/>
              </w:rPr>
              <w:t>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Sheikh, A.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UK</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proofErr w:type="spellStart"/>
            <w:r>
              <w:rPr>
                <w:rFonts w:ascii="Times New Roman" w:hAnsi="Times New Roman" w:cs="Times New Roman"/>
                <w:sz w:val="16"/>
                <w:szCs w:val="16"/>
                <w:lang w:val="fr-FR"/>
              </w:rPr>
              <w:t>Searchinger</w:t>
            </w:r>
            <w:proofErr w:type="spellEnd"/>
            <w:r>
              <w:rPr>
                <w:rFonts w:ascii="Times New Roman" w:hAnsi="Times New Roman" w:cs="Times New Roman"/>
                <w:sz w:val="16"/>
                <w:szCs w:val="16"/>
                <w:lang w:val="fr-FR"/>
              </w:rPr>
              <w:t>, T.</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Commentary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rPr>
              <w:t>Wu, Y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Hong Kong</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Guidelines</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 xml:space="preserve">ECDC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Europe</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Guidelines</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ECDC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Europe</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proofErr w:type="spellStart"/>
            <w:r>
              <w:rPr>
                <w:rFonts w:ascii="Times New Roman" w:hAnsi="Times New Roman" w:cs="Times New Roman"/>
                <w:sz w:val="16"/>
                <w:szCs w:val="16"/>
                <w:lang w:val="fr-FR"/>
              </w:rPr>
              <w:t>Araz</w:t>
            </w:r>
            <w:proofErr w:type="spellEnd"/>
            <w:r>
              <w:rPr>
                <w:rFonts w:ascii="Times New Roman" w:hAnsi="Times New Roman" w:cs="Times New Roman"/>
                <w:sz w:val="16"/>
                <w:szCs w:val="16"/>
                <w:lang w:val="fr-FR"/>
              </w:rPr>
              <w:t xml:space="preserve">, O.M. et al.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2012</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Infectious disease outbreak</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proofErr w:type="spellStart"/>
            <w:r>
              <w:rPr>
                <w:rFonts w:ascii="Times New Roman" w:hAnsi="Times New Roman" w:cs="Times New Roman"/>
                <w:sz w:val="16"/>
                <w:szCs w:val="16"/>
                <w:lang w:val="fr-FR"/>
              </w:rPr>
              <w:t>Chowdhury</w:t>
            </w:r>
            <w:proofErr w:type="spellEnd"/>
            <w:r>
              <w:rPr>
                <w:rFonts w:ascii="Times New Roman" w:hAnsi="Times New Roman" w:cs="Times New Roman"/>
                <w:sz w:val="16"/>
                <w:szCs w:val="16"/>
                <w:lang w:val="fr-FR"/>
              </w:rPr>
              <w:t>, R.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De </w:t>
            </w:r>
            <w:proofErr w:type="spellStart"/>
            <w:r>
              <w:rPr>
                <w:rFonts w:ascii="Times New Roman" w:hAnsi="Times New Roman" w:cs="Times New Roman"/>
                <w:sz w:val="16"/>
                <w:szCs w:val="16"/>
              </w:rPr>
              <w:t>Vlas</w:t>
            </w:r>
            <w:proofErr w:type="spellEnd"/>
            <w:r>
              <w:rPr>
                <w:rFonts w:ascii="Times New Roman" w:hAnsi="Times New Roman" w:cs="Times New Roman"/>
                <w:sz w:val="16"/>
                <w:szCs w:val="16"/>
              </w:rPr>
              <w:t>, S.J.</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Di Domenico, L. et al.</w:t>
            </w:r>
          </w:p>
        </w:tc>
        <w:tc>
          <w:tcPr>
            <w:tcW w:w="1418"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Ile de France</w:t>
            </w:r>
          </w:p>
        </w:tc>
        <w:tc>
          <w:tcPr>
            <w:tcW w:w="993"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2020</w:t>
            </w:r>
          </w:p>
        </w:tc>
        <w:tc>
          <w:tcPr>
            <w:tcW w:w="169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Ferguson, N.M.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UK/US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Glass, K. </w:t>
            </w:r>
            <w:r>
              <w:rPr>
                <w:rFonts w:ascii="Times New Roman" w:hAnsi="Times New Roman" w:cs="Times New Roman"/>
                <w:sz w:val="16"/>
                <w:szCs w:val="16"/>
                <w:lang w:val="fr-FR"/>
              </w:rPr>
              <w:t xml:space="preserve">et al.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2007</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Influenza</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proofErr w:type="spellStart"/>
            <w:r>
              <w:rPr>
                <w:rFonts w:ascii="Times New Roman" w:hAnsi="Times New Roman" w:cs="Times New Roman"/>
                <w:sz w:val="16"/>
                <w:szCs w:val="16"/>
                <w:lang w:val="fr-FR"/>
              </w:rPr>
              <w:t>Hatef</w:t>
            </w:r>
            <w:proofErr w:type="spellEnd"/>
            <w:r>
              <w:rPr>
                <w:rFonts w:ascii="Times New Roman" w:hAnsi="Times New Roman" w:cs="Times New Roman"/>
                <w:sz w:val="16"/>
                <w:szCs w:val="16"/>
                <w:lang w:val="fr-FR"/>
              </w:rPr>
              <w:t xml:space="preserve">, E. et al.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2021</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rPr>
            </w:pPr>
            <w:proofErr w:type="spellStart"/>
            <w:r>
              <w:rPr>
                <w:rFonts w:ascii="Times New Roman" w:hAnsi="Times New Roman" w:cs="Times New Roman"/>
                <w:sz w:val="16"/>
                <w:szCs w:val="16"/>
              </w:rPr>
              <w:t>Kissler</w:t>
            </w:r>
            <w:proofErr w:type="spellEnd"/>
            <w:r>
              <w:rPr>
                <w:rFonts w:ascii="Times New Roman" w:hAnsi="Times New Roman" w:cs="Times New Roman"/>
                <w:sz w:val="16"/>
                <w:szCs w:val="16"/>
              </w:rPr>
              <w:t xml:space="preserve">, S. </w:t>
            </w:r>
            <w:r>
              <w:rPr>
                <w:rFonts w:ascii="Times New Roman" w:hAnsi="Times New Roman" w:cs="Times New Roman"/>
                <w:sz w:val="16"/>
                <w:szCs w:val="16"/>
                <w:lang w:val="fr-FR"/>
              </w:rPr>
              <w:t>et al</w:t>
            </w:r>
            <w:r>
              <w:rPr>
                <w:rFonts w:ascii="Times New Roman" w:hAnsi="Times New Roman" w:cs="Times New Roman"/>
                <w:sz w:val="16"/>
                <w:szCs w:val="16"/>
              </w:rPr>
              <w:t xml:space="preserve">.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Neufeld, Z. </w:t>
            </w:r>
            <w:r>
              <w:rPr>
                <w:rFonts w:ascii="Times New Roman" w:hAnsi="Times New Roman" w:cs="Times New Roman"/>
                <w:sz w:val="16"/>
                <w:szCs w:val="16"/>
                <w:lang w:val="fr-FR"/>
              </w:rPr>
              <w:t>et al</w:t>
            </w:r>
            <w:r>
              <w:rPr>
                <w:rFonts w:ascii="Times New Roman" w:hAnsi="Times New Roman" w:cs="Times New Roman"/>
                <w:sz w:val="16"/>
                <w:szCs w:val="16"/>
              </w:rPr>
              <w:t xml:space="preserve">.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Rawson, T. et al.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UK</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Modelling study</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Schmitt, F-J.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Germany</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Plan</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CDC</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2009</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Influenza</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Plan</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Department of Health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Australia</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2019</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Influenza</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Plan</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Gottlieb, S. </w:t>
            </w:r>
            <w:r>
              <w:rPr>
                <w:rFonts w:ascii="Times New Roman" w:hAnsi="Times New Roman" w:cs="Times New Roman"/>
                <w:sz w:val="16"/>
                <w:szCs w:val="16"/>
                <w:lang w:val="fr-FR"/>
              </w:rPr>
              <w:t>et al</w:t>
            </w:r>
            <w:r>
              <w:rPr>
                <w:rFonts w:ascii="Times New Roman" w:hAnsi="Times New Roman" w:cs="Times New Roman"/>
                <w:sz w:val="16"/>
                <w:szCs w:val="16"/>
              </w:rPr>
              <w:t xml:space="preserve">.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Plan</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Emanuel, Z. et al.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Plan</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HHS</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2005</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Influenza</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Plan</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New Zealand Ministry of Health</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New Zealand</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2017</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Influenza</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Plan</w:t>
            </w:r>
          </w:p>
        </w:tc>
        <w:tc>
          <w:tcPr>
            <w:tcW w:w="3685" w:type="dxa"/>
          </w:tcPr>
          <w:p>
            <w:pPr>
              <w:widowControl w:val="0"/>
              <w:pBdr>
                <w:top w:val="nil"/>
                <w:left w:val="nil"/>
                <w:bottom w:val="nil"/>
                <w:right w:val="nil"/>
                <w:between w:val="nil"/>
              </w:pBdr>
              <w:rPr>
                <w:rFonts w:ascii="Times New Roman" w:hAnsi="Times New Roman" w:cs="Times New Roman"/>
                <w:sz w:val="16"/>
                <w:szCs w:val="16"/>
                <w:vertAlign w:val="superscript"/>
              </w:rPr>
            </w:pPr>
            <w:r>
              <w:rPr>
                <w:rFonts w:ascii="Times New Roman" w:hAnsi="Times New Roman" w:cs="Times New Roman"/>
                <w:sz w:val="16"/>
                <w:szCs w:val="16"/>
              </w:rPr>
              <w:t xml:space="preserve">WHO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04/2020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Plan</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WHO</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Global </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11/2020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proofErr w:type="spellStart"/>
            <w:r>
              <w:rPr>
                <w:rFonts w:ascii="Times New Roman" w:hAnsi="Times New Roman" w:cs="Times New Roman"/>
                <w:sz w:val="16"/>
                <w:szCs w:val="16"/>
              </w:rPr>
              <w:t>Covid</w:t>
            </w:r>
            <w:proofErr w:type="spellEnd"/>
            <w:r>
              <w:rPr>
                <w:rFonts w:ascii="Times New Roman" w:hAnsi="Times New Roman" w:cs="Times New Roman"/>
                <w:sz w:val="16"/>
                <w:szCs w:val="16"/>
              </w:rPr>
              <w:t>- 19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Policy paper</w:t>
            </w:r>
          </w:p>
        </w:tc>
        <w:tc>
          <w:tcPr>
            <w:tcW w:w="3685" w:type="dxa"/>
          </w:tcPr>
          <w:p>
            <w:pPr>
              <w:widowControl w:val="0"/>
              <w:pBdr>
                <w:top w:val="nil"/>
                <w:left w:val="nil"/>
                <w:bottom w:val="nil"/>
                <w:right w:val="nil"/>
                <w:between w:val="nil"/>
              </w:pBdr>
              <w:rPr>
                <w:rFonts w:ascii="Times New Roman" w:hAnsi="Times New Roman" w:cs="Times New Roman"/>
                <w:sz w:val="16"/>
                <w:szCs w:val="16"/>
                <w:lang w:val="de-DE"/>
              </w:rPr>
            </w:pPr>
            <w:r>
              <w:rPr>
                <w:rFonts w:ascii="Times New Roman" w:hAnsi="Times New Roman" w:cs="Times New Roman"/>
                <w:sz w:val="16"/>
                <w:szCs w:val="16"/>
                <w:lang w:val="de-DE"/>
              </w:rPr>
              <w:t>Abele-Brehm, A.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Germany</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Policy paper</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Allen, D. et al.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US</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2020</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Review</w:t>
            </w:r>
          </w:p>
        </w:tc>
        <w:tc>
          <w:tcPr>
            <w:tcW w:w="368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D’Angelo, D. et al. </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Global</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2021</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Observational Study</w:t>
            </w:r>
          </w:p>
        </w:tc>
        <w:tc>
          <w:tcPr>
            <w:tcW w:w="3685" w:type="dxa"/>
          </w:tcPr>
          <w:p>
            <w:pPr>
              <w:widowControl w:val="0"/>
              <w:pBdr>
                <w:top w:val="nil"/>
                <w:left w:val="nil"/>
                <w:bottom w:val="nil"/>
                <w:right w:val="nil"/>
                <w:between w:val="nil"/>
              </w:pBdr>
              <w:rPr>
                <w:rFonts w:ascii="Times New Roman" w:hAnsi="Times New Roman" w:cs="Times New Roman"/>
                <w:sz w:val="16"/>
                <w:szCs w:val="16"/>
              </w:rPr>
            </w:pPr>
            <w:proofErr w:type="spellStart"/>
            <w:r>
              <w:rPr>
                <w:rFonts w:ascii="Times New Roman" w:hAnsi="Times New Roman" w:cs="Times New Roman"/>
                <w:sz w:val="16"/>
                <w:szCs w:val="16"/>
              </w:rPr>
              <w:t>Somekh</w:t>
            </w:r>
            <w:proofErr w:type="spellEnd"/>
            <w:r>
              <w:rPr>
                <w:rFonts w:ascii="Times New Roman" w:hAnsi="Times New Roman" w:cs="Times New Roman"/>
                <w:sz w:val="16"/>
                <w:szCs w:val="16"/>
              </w:rPr>
              <w:t>, I.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 xml:space="preserve">Israel </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2021</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r>
        <w:trPr>
          <w:trHeight w:hRule="exact" w:val="170"/>
        </w:trPr>
        <w:tc>
          <w:tcPr>
            <w:tcW w:w="1660"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Observational Study</w:t>
            </w:r>
          </w:p>
        </w:tc>
        <w:tc>
          <w:tcPr>
            <w:tcW w:w="3685" w:type="dxa"/>
          </w:tcPr>
          <w:p>
            <w:pPr>
              <w:widowControl w:val="0"/>
              <w:pBdr>
                <w:top w:val="nil"/>
                <w:left w:val="nil"/>
                <w:bottom w:val="nil"/>
                <w:right w:val="nil"/>
                <w:between w:val="nil"/>
              </w:pBdr>
              <w:rPr>
                <w:rFonts w:ascii="Times New Roman" w:hAnsi="Times New Roman" w:cs="Times New Roman"/>
                <w:sz w:val="16"/>
                <w:szCs w:val="16"/>
                <w:lang w:val="fr-FR"/>
              </w:rPr>
            </w:pPr>
            <w:r>
              <w:rPr>
                <w:rFonts w:ascii="Times New Roman" w:hAnsi="Times New Roman" w:cs="Times New Roman"/>
                <w:sz w:val="16"/>
                <w:szCs w:val="16"/>
                <w:lang w:val="fr-FR"/>
              </w:rPr>
              <w:t>Teixeira da Silva et al.</w:t>
            </w:r>
          </w:p>
        </w:tc>
        <w:tc>
          <w:tcPr>
            <w:tcW w:w="1418"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Italy</w:t>
            </w:r>
          </w:p>
        </w:tc>
        <w:tc>
          <w:tcPr>
            <w:tcW w:w="993"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2021</w:t>
            </w:r>
          </w:p>
        </w:tc>
        <w:tc>
          <w:tcPr>
            <w:tcW w:w="1695" w:type="dxa"/>
          </w:tcPr>
          <w:p>
            <w:pPr>
              <w:widowControl w:val="0"/>
              <w:pBdr>
                <w:top w:val="nil"/>
                <w:left w:val="nil"/>
                <w:bottom w:val="nil"/>
                <w:right w:val="nil"/>
                <w:between w:val="nil"/>
              </w:pBdr>
              <w:rPr>
                <w:rFonts w:ascii="Times New Roman" w:hAnsi="Times New Roman" w:cs="Times New Roman"/>
                <w:sz w:val="16"/>
                <w:szCs w:val="16"/>
              </w:rPr>
            </w:pPr>
            <w:r>
              <w:rPr>
                <w:rFonts w:ascii="Times New Roman" w:hAnsi="Times New Roman" w:cs="Times New Roman"/>
                <w:sz w:val="16"/>
                <w:szCs w:val="16"/>
              </w:rPr>
              <w:t>Covid-19</w:t>
            </w:r>
          </w:p>
        </w:tc>
      </w:tr>
    </w:tbl>
    <w:p>
      <w:pPr>
        <w:pStyle w:val="Beschriftung"/>
        <w:keepNext/>
      </w:pPr>
      <w:bookmarkStart w:id="1" w:name="_GoBack"/>
      <w:bookmarkEnd w:id="1"/>
    </w:p>
    <w:p>
      <w:r>
        <w:br w:type="page"/>
      </w:r>
    </w:p>
    <w:p/>
    <w:p>
      <w:pPr>
        <w:pStyle w:val="Beschriftung"/>
        <w:keepNext/>
        <w:spacing w:after="0"/>
        <w:rPr>
          <w:rFonts w:ascii="Times New Roman" w:hAnsi="Times New Roman" w:cs="Times New Roman"/>
          <w:b w:val="0"/>
          <w:color w:val="auto"/>
          <w:sz w:val="20"/>
        </w:rPr>
      </w:pPr>
      <w:r>
        <w:rPr>
          <w:rFonts w:ascii="Times New Roman" w:hAnsi="Times New Roman" w:cs="Times New Roman"/>
          <w:b w:val="0"/>
          <w:color w:val="auto"/>
          <w:sz w:val="20"/>
        </w:rPr>
        <w:t xml:space="preserve">Table </w:t>
      </w:r>
      <w:r>
        <w:rPr>
          <w:rFonts w:ascii="Times New Roman" w:hAnsi="Times New Roman" w:cs="Times New Roman"/>
          <w:b w:val="0"/>
          <w:color w:val="auto"/>
          <w:sz w:val="20"/>
        </w:rPr>
        <w:fldChar w:fldCharType="begin"/>
      </w:r>
      <w:r>
        <w:rPr>
          <w:rFonts w:ascii="Times New Roman" w:hAnsi="Times New Roman" w:cs="Times New Roman"/>
          <w:b w:val="0"/>
          <w:color w:val="auto"/>
          <w:sz w:val="20"/>
        </w:rPr>
        <w:instrText xml:space="preserve"> SEQ Table \* ARABIC </w:instrText>
      </w:r>
      <w:r>
        <w:rPr>
          <w:rFonts w:ascii="Times New Roman" w:hAnsi="Times New Roman" w:cs="Times New Roman"/>
          <w:b w:val="0"/>
          <w:color w:val="auto"/>
          <w:sz w:val="20"/>
        </w:rPr>
        <w:fldChar w:fldCharType="separate"/>
      </w:r>
      <w:r>
        <w:rPr>
          <w:rFonts w:ascii="Times New Roman" w:hAnsi="Times New Roman" w:cs="Times New Roman"/>
          <w:b w:val="0"/>
          <w:noProof/>
          <w:color w:val="auto"/>
          <w:sz w:val="20"/>
        </w:rPr>
        <w:t>2</w:t>
      </w:r>
      <w:r>
        <w:rPr>
          <w:rFonts w:ascii="Times New Roman" w:hAnsi="Times New Roman" w:cs="Times New Roman"/>
          <w:b w:val="0"/>
          <w:color w:val="auto"/>
          <w:sz w:val="20"/>
        </w:rPr>
        <w:fldChar w:fldCharType="end"/>
      </w:r>
      <w:r>
        <w:rPr>
          <w:rFonts w:ascii="Times New Roman" w:hAnsi="Times New Roman" w:cs="Times New Roman"/>
          <w:b w:val="0"/>
          <w:color w:val="auto"/>
          <w:sz w:val="20"/>
        </w:rPr>
        <w:t>: Summary of main non-pharmaceutical interventions</w:t>
      </w:r>
    </w:p>
    <w:tbl>
      <w:tblPr>
        <w:tblStyle w:val="Tabellenraster"/>
        <w:tblW w:w="9015" w:type="dxa"/>
        <w:tblLayout w:type="fixed"/>
        <w:tblLook w:val="0600" w:firstRow="0" w:lastRow="0" w:firstColumn="0" w:lastColumn="0" w:noHBand="1" w:noVBand="1"/>
      </w:tblPr>
      <w:tblGrid>
        <w:gridCol w:w="2715"/>
        <w:gridCol w:w="6300"/>
      </w:tblGrid>
      <w:tr>
        <w:trPr>
          <w:trHeight w:hRule="exact" w:val="397"/>
        </w:trPr>
        <w:tc>
          <w:tcPr>
            <w:tcW w:w="2715" w:type="dxa"/>
          </w:tcPr>
          <w:p>
            <w:pPr>
              <w:rPr>
                <w:rFonts w:ascii="Times New Roman" w:hAnsi="Times New Roman" w:cs="Times New Roman"/>
                <w:b/>
                <w:sz w:val="16"/>
                <w:szCs w:val="16"/>
              </w:rPr>
            </w:pPr>
            <w:r>
              <w:rPr>
                <w:rFonts w:ascii="Times New Roman" w:hAnsi="Times New Roman" w:cs="Times New Roman"/>
                <w:b/>
                <w:sz w:val="16"/>
                <w:szCs w:val="16"/>
              </w:rPr>
              <w:t xml:space="preserve">Policy </w:t>
            </w:r>
          </w:p>
        </w:tc>
        <w:tc>
          <w:tcPr>
            <w:tcW w:w="6300" w:type="dxa"/>
          </w:tcPr>
          <w:p>
            <w:pPr>
              <w:rPr>
                <w:rFonts w:ascii="Times New Roman" w:hAnsi="Times New Roman" w:cs="Times New Roman"/>
                <w:b/>
                <w:sz w:val="16"/>
                <w:szCs w:val="16"/>
              </w:rPr>
            </w:pPr>
            <w:r>
              <w:rPr>
                <w:rFonts w:ascii="Times New Roman" w:hAnsi="Times New Roman" w:cs="Times New Roman"/>
                <w:b/>
                <w:sz w:val="16"/>
                <w:szCs w:val="16"/>
              </w:rPr>
              <w:t>Description</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 xml:space="preserve">Case isolation </w:t>
            </w:r>
          </w:p>
        </w:tc>
        <w:tc>
          <w:tcPr>
            <w:tcW w:w="6300" w:type="dxa"/>
          </w:tcPr>
          <w:p>
            <w:pPr>
              <w:rPr>
                <w:rFonts w:ascii="Times New Roman" w:hAnsi="Times New Roman" w:cs="Times New Roman"/>
                <w:sz w:val="16"/>
                <w:szCs w:val="16"/>
              </w:rPr>
            </w:pPr>
            <w:r>
              <w:rPr>
                <w:rFonts w:ascii="Times New Roman" w:hAnsi="Times New Roman" w:cs="Times New Roman"/>
                <w:sz w:val="16"/>
                <w:szCs w:val="16"/>
              </w:rPr>
              <w:t>Isolation of symptomatic cases in hospital or their home. Reduce non-household contacts.</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Close contact isolation</w:t>
            </w:r>
          </w:p>
        </w:tc>
        <w:tc>
          <w:tcPr>
            <w:tcW w:w="6300" w:type="dxa"/>
          </w:tcPr>
          <w:p>
            <w:pPr>
              <w:rPr>
                <w:rFonts w:ascii="Times New Roman" w:hAnsi="Times New Roman" w:cs="Times New Roman"/>
                <w:sz w:val="16"/>
                <w:szCs w:val="16"/>
              </w:rPr>
            </w:pPr>
            <w:r>
              <w:rPr>
                <w:rFonts w:ascii="Times New Roman" w:hAnsi="Times New Roman" w:cs="Times New Roman"/>
                <w:sz w:val="16"/>
                <w:szCs w:val="16"/>
              </w:rPr>
              <w:t xml:space="preserve">Isolation of asymptomatic potentially exposed individuals at home or in a healthcare facility, monitoring for symptoms. </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 xml:space="preserve">Closure </w:t>
            </w:r>
          </w:p>
        </w:tc>
        <w:tc>
          <w:tcPr>
            <w:tcW w:w="6300" w:type="dxa"/>
          </w:tcPr>
          <w:p>
            <w:pPr>
              <w:rPr>
                <w:rFonts w:ascii="Times New Roman" w:hAnsi="Times New Roman" w:cs="Times New Roman"/>
                <w:sz w:val="16"/>
                <w:szCs w:val="16"/>
              </w:rPr>
            </w:pPr>
            <w:r>
              <w:rPr>
                <w:rFonts w:ascii="Times New Roman" w:hAnsi="Times New Roman" w:cs="Times New Roman"/>
                <w:sz w:val="16"/>
                <w:szCs w:val="16"/>
              </w:rPr>
              <w:t>Closure of an institution or business, e.g. schools, workplaces.</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 xml:space="preserve">Community-wide containment </w:t>
            </w:r>
          </w:p>
        </w:tc>
        <w:tc>
          <w:tcPr>
            <w:tcW w:w="6300" w:type="dxa"/>
          </w:tcPr>
          <w:p>
            <w:pPr>
              <w:rPr>
                <w:rFonts w:ascii="Times New Roman" w:hAnsi="Times New Roman" w:cs="Times New Roman"/>
                <w:sz w:val="16"/>
                <w:szCs w:val="16"/>
              </w:rPr>
            </w:pPr>
            <w:r>
              <w:rPr>
                <w:rFonts w:ascii="Times New Roman" w:hAnsi="Times New Roman" w:cs="Times New Roman"/>
                <w:sz w:val="16"/>
                <w:szCs w:val="16"/>
              </w:rPr>
              <w:t>Essential contact to ensure vital supplies only. Also referred to as “lockdown”.</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Contact tracing</w:t>
            </w:r>
          </w:p>
        </w:tc>
        <w:tc>
          <w:tcPr>
            <w:tcW w:w="6300" w:type="dxa"/>
          </w:tcPr>
          <w:p>
            <w:pPr>
              <w:rPr>
                <w:rFonts w:ascii="Times New Roman" w:hAnsi="Times New Roman" w:cs="Times New Roman"/>
                <w:sz w:val="16"/>
                <w:szCs w:val="16"/>
              </w:rPr>
            </w:pPr>
            <w:r>
              <w:rPr>
                <w:rFonts w:ascii="Times New Roman" w:hAnsi="Times New Roman" w:cs="Times New Roman"/>
                <w:sz w:val="16"/>
                <w:szCs w:val="16"/>
              </w:rPr>
              <w:t>Identification and follow-up of persons who may have come into contact with an infected person</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Environmental measures</w:t>
            </w:r>
          </w:p>
        </w:tc>
        <w:tc>
          <w:tcPr>
            <w:tcW w:w="6300" w:type="dxa"/>
          </w:tcPr>
          <w:p>
            <w:pPr>
              <w:rPr>
                <w:rFonts w:ascii="Times New Roman" w:hAnsi="Times New Roman" w:cs="Times New Roman"/>
                <w:sz w:val="16"/>
                <w:szCs w:val="16"/>
              </w:rPr>
            </w:pPr>
            <w:r>
              <w:rPr>
                <w:rFonts w:ascii="Times New Roman" w:hAnsi="Times New Roman" w:cs="Times New Roman"/>
                <w:sz w:val="16"/>
                <w:szCs w:val="16"/>
              </w:rPr>
              <w:t>Routine cleaning of frequently used surfaces and objects to reduce transmission.</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Movement restriction</w:t>
            </w:r>
          </w:p>
        </w:tc>
        <w:tc>
          <w:tcPr>
            <w:tcW w:w="6300" w:type="dxa"/>
          </w:tcPr>
          <w:p>
            <w:pPr>
              <w:rPr>
                <w:rFonts w:ascii="Times New Roman" w:hAnsi="Times New Roman" w:cs="Times New Roman"/>
                <w:sz w:val="16"/>
                <w:szCs w:val="16"/>
              </w:rPr>
            </w:pPr>
            <w:r>
              <w:rPr>
                <w:rFonts w:ascii="Times New Roman" w:hAnsi="Times New Roman" w:cs="Times New Roman"/>
                <w:sz w:val="16"/>
                <w:szCs w:val="16"/>
              </w:rPr>
              <w:t>Limitation on the movements of a person who has or is suspected of having an infection</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Personal protective measures</w:t>
            </w:r>
          </w:p>
        </w:tc>
        <w:tc>
          <w:tcPr>
            <w:tcW w:w="6300" w:type="dxa"/>
          </w:tcPr>
          <w:p>
            <w:pPr>
              <w:rPr>
                <w:rFonts w:ascii="Times New Roman" w:hAnsi="Times New Roman" w:cs="Times New Roman"/>
                <w:sz w:val="16"/>
                <w:szCs w:val="16"/>
              </w:rPr>
            </w:pPr>
            <w:r>
              <w:rPr>
                <w:rFonts w:ascii="Times New Roman" w:hAnsi="Times New Roman" w:cs="Times New Roman"/>
                <w:sz w:val="16"/>
                <w:szCs w:val="16"/>
              </w:rPr>
              <w:t>Measures to reduce personal risk of infection, such as respiratory etiquette (e.g. using tissues when coughing or sneezing), hand washing and face masks</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 xml:space="preserve">Physical distancing of entire population </w:t>
            </w:r>
          </w:p>
        </w:tc>
        <w:tc>
          <w:tcPr>
            <w:tcW w:w="6300" w:type="dxa"/>
          </w:tcPr>
          <w:p>
            <w:pPr>
              <w:rPr>
                <w:rFonts w:ascii="Times New Roman" w:hAnsi="Times New Roman" w:cs="Times New Roman"/>
                <w:sz w:val="16"/>
                <w:szCs w:val="16"/>
              </w:rPr>
            </w:pPr>
            <w:r>
              <w:rPr>
                <w:rFonts w:ascii="Times New Roman" w:hAnsi="Times New Roman" w:cs="Times New Roman"/>
                <w:sz w:val="16"/>
                <w:szCs w:val="16"/>
              </w:rPr>
              <w:t>All households reduce contact outside of household, school or workplace</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Physical distancing of at-risk groups</w:t>
            </w:r>
          </w:p>
        </w:tc>
        <w:tc>
          <w:tcPr>
            <w:tcW w:w="6300" w:type="dxa"/>
          </w:tcPr>
          <w:p>
            <w:pPr>
              <w:rPr>
                <w:rFonts w:ascii="Times New Roman" w:hAnsi="Times New Roman" w:cs="Times New Roman"/>
                <w:sz w:val="16"/>
                <w:szCs w:val="16"/>
              </w:rPr>
            </w:pPr>
            <w:r>
              <w:rPr>
                <w:rFonts w:ascii="Times New Roman" w:hAnsi="Times New Roman" w:cs="Times New Roman"/>
                <w:sz w:val="16"/>
                <w:szCs w:val="16"/>
              </w:rPr>
              <w:t>Reduce contacts outside of the household.</w:t>
            </w:r>
          </w:p>
        </w:tc>
      </w:tr>
      <w:tr>
        <w:trPr>
          <w:trHeight w:hRule="exact" w:val="397"/>
        </w:trPr>
        <w:tc>
          <w:tcPr>
            <w:tcW w:w="2715" w:type="dxa"/>
          </w:tcPr>
          <w:p>
            <w:pPr>
              <w:rPr>
                <w:rFonts w:ascii="Times New Roman" w:hAnsi="Times New Roman" w:cs="Times New Roman"/>
                <w:sz w:val="16"/>
                <w:szCs w:val="16"/>
              </w:rPr>
            </w:pPr>
            <w:r>
              <w:rPr>
                <w:rFonts w:ascii="Times New Roman" w:hAnsi="Times New Roman" w:cs="Times New Roman"/>
                <w:sz w:val="16"/>
                <w:szCs w:val="16"/>
              </w:rPr>
              <w:t>Travel-related measures</w:t>
            </w:r>
          </w:p>
        </w:tc>
        <w:tc>
          <w:tcPr>
            <w:tcW w:w="6300" w:type="dxa"/>
          </w:tcPr>
          <w:p>
            <w:pPr>
              <w:rPr>
                <w:rFonts w:ascii="Times New Roman" w:hAnsi="Times New Roman" w:cs="Times New Roman"/>
                <w:sz w:val="16"/>
                <w:szCs w:val="16"/>
              </w:rPr>
            </w:pPr>
            <w:r>
              <w:rPr>
                <w:rFonts w:ascii="Times New Roman" w:hAnsi="Times New Roman" w:cs="Times New Roman"/>
                <w:sz w:val="16"/>
                <w:szCs w:val="16"/>
              </w:rPr>
              <w:t>Advice or restrictions on the movement of travellers including entry or exit screening, international travel restrictions and border closures.</w:t>
            </w:r>
          </w:p>
        </w:tc>
      </w:tr>
    </w:tbl>
    <w:p>
      <w:pPr>
        <w:rPr>
          <w:rFonts w:asciiTheme="majorHAnsi" w:hAnsiTheme="majorHAnsi" w:cstheme="majorHAnsi"/>
        </w:rPr>
      </w:pPr>
      <w:bookmarkStart w:id="2" w:name="_tuz2wh6pamc4" w:colFirst="0" w:colLast="0"/>
      <w:bookmarkEnd w:id="2"/>
    </w:p>
    <w:p>
      <w:pPr>
        <w:rPr>
          <w:rFonts w:asciiTheme="majorHAnsi" w:hAnsiTheme="majorHAnsi" w:cstheme="majorHAnsi"/>
        </w:rPr>
      </w:pPr>
    </w:p>
    <w:p>
      <w:pPr>
        <w:rPr>
          <w:rFonts w:asciiTheme="majorHAnsi" w:hAnsiTheme="majorHAnsi" w:cstheme="majorHAnsi"/>
        </w:rPr>
      </w:pPr>
    </w:p>
    <w:p/>
    <w:sectPr>
      <w:footerReference w:type="default" r:id="rId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204667"/>
      <w:docPartObj>
        <w:docPartGallery w:val="Page Numbers (Bottom of Page)"/>
        <w:docPartUnique/>
      </w:docPartObj>
    </w:sdtPr>
    <w:sdtEndPr>
      <w:rPr>
        <w:noProof/>
      </w:rPr>
    </w:sdtEndPr>
    <w:sdtContent>
      <w:p>
        <w:pPr>
          <w:pStyle w:val="Fuzeile"/>
          <w:jc w:val="center"/>
        </w:pPr>
        <w:r>
          <w:fldChar w:fldCharType="begin"/>
        </w:r>
        <w:r>
          <w:instrText xml:space="preserve"> PAGE   \* MERGEFORMAT </w:instrText>
        </w:r>
        <w:r>
          <w:fldChar w:fldCharType="separate"/>
        </w:r>
        <w:r>
          <w:rPr>
            <w:noProof/>
          </w:rPr>
          <w:t>4</w:t>
        </w:r>
        <w:r>
          <w:rPr>
            <w:noProof/>
          </w:rPr>
          <w:fldChar w:fldCharType="end"/>
        </w:r>
      </w:p>
    </w:sdtContent>
  </w:sdt>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0&lt;/ScanUnformatted&gt;&lt;ScanChanges&gt;0&lt;/ScanChanges&gt;&lt;Suspended&gt;1&lt;/Suspended&gt;&lt;/ENInstantFormat&gt;"/>
  </w:docVar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EB4796-709E-4F91-9FC8-7F2928402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after="200" w:line="276" w:lineRule="auto"/>
    </w:pPr>
    <w:rPr>
      <w:rFonts w:eastAsiaTheme="minorEastAsia"/>
      <w:lang w:val="en-GB" w:eastAsia="en-GB"/>
    </w:rPr>
  </w:style>
  <w:style w:type="paragraph" w:styleId="berschrift1">
    <w:name w:val="heading 1"/>
    <w:basedOn w:val="Standard"/>
    <w:next w:val="Standard"/>
    <w:link w:val="berschrift1Zchn"/>
    <w:uiPriority w:val="9"/>
    <w:qFormat/>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berschrift4">
    <w:name w:val="heading 4"/>
    <w:basedOn w:val="Standard"/>
    <w:next w:val="Standard"/>
    <w:link w:val="berschrift4Zchn"/>
    <w:uiPriority w:val="9"/>
    <w:unhideWhenUsed/>
    <w:qFormat/>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b/>
      <w:bCs/>
      <w:color w:val="2F5496" w:themeColor="accent1" w:themeShade="BF"/>
      <w:sz w:val="28"/>
      <w:szCs w:val="28"/>
      <w:lang w:val="en-GB" w:eastAsia="en-GB"/>
    </w:rPr>
  </w:style>
  <w:style w:type="character" w:customStyle="1" w:styleId="berschrift2Zchn">
    <w:name w:val="Überschrift 2 Zchn"/>
    <w:basedOn w:val="Absatz-Standardschriftart"/>
    <w:link w:val="berschrift2"/>
    <w:uiPriority w:val="9"/>
    <w:rPr>
      <w:rFonts w:asciiTheme="majorHAnsi" w:eastAsiaTheme="majorEastAsia" w:hAnsiTheme="majorHAnsi" w:cstheme="majorBidi"/>
      <w:b/>
      <w:bCs/>
      <w:color w:val="4472C4" w:themeColor="accent1"/>
      <w:sz w:val="26"/>
      <w:szCs w:val="26"/>
      <w:lang w:val="en-GB" w:eastAsia="en-GB"/>
    </w:rPr>
  </w:style>
  <w:style w:type="character" w:customStyle="1" w:styleId="berschrift4Zchn">
    <w:name w:val="Überschrift 4 Zchn"/>
    <w:basedOn w:val="Absatz-Standardschriftart"/>
    <w:link w:val="berschrift4"/>
    <w:uiPriority w:val="9"/>
    <w:rPr>
      <w:rFonts w:asciiTheme="majorHAnsi" w:eastAsiaTheme="majorEastAsia" w:hAnsiTheme="majorHAnsi" w:cstheme="majorBidi"/>
      <w:b/>
      <w:bCs/>
      <w:i/>
      <w:iCs/>
      <w:color w:val="4472C4" w:themeColor="accent1"/>
      <w:lang w:val="en-GB" w:eastAsia="en-GB"/>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eastAsiaTheme="minorEastAsia" w:hAnsi="Tahoma" w:cs="Tahoma"/>
      <w:sz w:val="16"/>
      <w:szCs w:val="16"/>
      <w:lang w:val="en-GB" w:eastAsia="en-GB"/>
    </w:rPr>
  </w:style>
  <w:style w:type="paragraph" w:styleId="Beschriftung">
    <w:name w:val="caption"/>
    <w:basedOn w:val="Standard"/>
    <w:next w:val="Standard"/>
    <w:uiPriority w:val="35"/>
    <w:unhideWhenUsed/>
    <w:qFormat/>
    <w:pPr>
      <w:spacing w:line="240" w:lineRule="auto"/>
    </w:pPr>
    <w:rPr>
      <w:b/>
      <w:bCs/>
      <w:color w:val="4472C4" w:themeColor="accent1"/>
      <w:sz w:val="18"/>
      <w:szCs w:val="18"/>
    </w:rPr>
  </w:style>
  <w:style w:type="paragraph" w:styleId="Kopfzeile">
    <w:name w:val="header"/>
    <w:basedOn w:val="Standard"/>
    <w:link w:val="KopfzeileZchn"/>
    <w:uiPriority w:val="99"/>
    <w:unhideWhenUsed/>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Pr>
      <w:rFonts w:eastAsiaTheme="minorEastAsia"/>
      <w:lang w:val="en-GB" w:eastAsia="en-GB"/>
    </w:rPr>
  </w:style>
  <w:style w:type="paragraph" w:styleId="Fuzeile">
    <w:name w:val="footer"/>
    <w:basedOn w:val="Standard"/>
    <w:link w:val="FuzeileZchn"/>
    <w:uiPriority w:val="99"/>
    <w:unhideWhenUsed/>
    <w:pPr>
      <w:tabs>
        <w:tab w:val="center" w:pos="4703"/>
        <w:tab w:val="right" w:pos="9406"/>
      </w:tabs>
      <w:spacing w:after="0" w:line="240" w:lineRule="auto"/>
    </w:pPr>
  </w:style>
  <w:style w:type="character" w:customStyle="1" w:styleId="FuzeileZchn">
    <w:name w:val="Fußzeile Zchn"/>
    <w:basedOn w:val="Absatz-Standardschriftart"/>
    <w:link w:val="Fuzeile"/>
    <w:uiPriority w:val="99"/>
    <w:rPr>
      <w:rFonts w:eastAsiaTheme="minorEastAsia"/>
      <w:lang w:val="en-GB" w:eastAsia="en-GB"/>
    </w:rPr>
  </w:style>
  <w:style w:type="table" w:styleId="Tabellenraster">
    <w:name w:val="Table Grid"/>
    <w:basedOn w:val="NormaleTabelle"/>
    <w:uiPriority w:val="5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Pr>
      <w:i/>
      <w:iCs/>
    </w:rPr>
  </w:style>
  <w:style w:type="paragraph" w:customStyle="1" w:styleId="EndNoteBibliographyTitle">
    <w:name w:val="EndNote Bibliography Title"/>
    <w:basedOn w:val="Standard"/>
    <w:link w:val="EndNoteBibliographyTitleChar"/>
    <w:pPr>
      <w:spacing w:after="0"/>
      <w:jc w:val="center"/>
    </w:pPr>
    <w:rPr>
      <w:rFonts w:ascii="Calibri" w:hAnsi="Calibri" w:cs="Calibri"/>
      <w:noProof/>
      <w:color w:val="4472C4" w:themeColor="accent1"/>
    </w:rPr>
  </w:style>
  <w:style w:type="character" w:customStyle="1" w:styleId="EndNoteBibliographyTitleChar">
    <w:name w:val="EndNote Bibliography Title Char"/>
    <w:basedOn w:val="berschrift4Zchn"/>
    <w:link w:val="EndNoteBibliographyTitle"/>
    <w:rPr>
      <w:rFonts w:ascii="Calibri" w:eastAsiaTheme="minorEastAsia" w:hAnsi="Calibri" w:cs="Calibri"/>
      <w:b w:val="0"/>
      <w:bCs w:val="0"/>
      <w:i w:val="0"/>
      <w:iCs w:val="0"/>
      <w:noProof/>
      <w:color w:val="4472C4" w:themeColor="accent1"/>
      <w:lang w:val="en-GB" w:eastAsia="en-GB"/>
    </w:rPr>
  </w:style>
  <w:style w:type="paragraph" w:customStyle="1" w:styleId="EndNoteBibliography">
    <w:name w:val="EndNote Bibliography"/>
    <w:basedOn w:val="Standard"/>
    <w:link w:val="EndNoteBibliographyChar"/>
    <w:pPr>
      <w:spacing w:line="240" w:lineRule="auto"/>
    </w:pPr>
    <w:rPr>
      <w:rFonts w:ascii="Calibri" w:hAnsi="Calibri" w:cs="Calibri"/>
      <w:noProof/>
      <w:color w:val="4472C4" w:themeColor="accent1"/>
    </w:rPr>
  </w:style>
  <w:style w:type="character" w:customStyle="1" w:styleId="EndNoteBibliographyChar">
    <w:name w:val="EndNote Bibliography Char"/>
    <w:basedOn w:val="berschrift4Zchn"/>
    <w:link w:val="EndNoteBibliography"/>
    <w:rPr>
      <w:rFonts w:ascii="Calibri" w:eastAsiaTheme="minorEastAsia" w:hAnsi="Calibri" w:cs="Calibri"/>
      <w:b w:val="0"/>
      <w:bCs w:val="0"/>
      <w:i w:val="0"/>
      <w:iCs w:val="0"/>
      <w:noProof/>
      <w:color w:val="4472C4" w:themeColor="accent1"/>
      <w:lang w:val="en-GB" w:eastAsia="en-GB"/>
    </w:rPr>
  </w:style>
  <w:style w:type="character" w:styleId="Hyperlink">
    <w:name w:val="Hyperlink"/>
    <w:basedOn w:val="Absatz-Standardschriftart"/>
    <w:uiPriority w:val="99"/>
    <w:unhideWhenUsed/>
    <w:rPr>
      <w:color w:val="0563C1" w:themeColor="hyperlink"/>
      <w:u w:val="singl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eastAsiaTheme="minorEastAsia"/>
      <w:sz w:val="20"/>
      <w:szCs w:val="20"/>
      <w:lang w:val="en-GB" w:eastAsia="en-GB"/>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eastAsiaTheme="minorEastAsia"/>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572</Words>
  <Characters>3607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Sophie</dc:creator>
  <cp:keywords/>
  <dc:description/>
  <cp:lastModifiedBy>Müller, Sophie</cp:lastModifiedBy>
  <cp:revision>3</cp:revision>
  <dcterms:created xsi:type="dcterms:W3CDTF">2021-08-03T15:23:00Z</dcterms:created>
  <dcterms:modified xsi:type="dcterms:W3CDTF">2021-08-03T15:24:00Z</dcterms:modified>
</cp:coreProperties>
</file>