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5B783" w14:textId="02EF0FDC" w:rsidR="001A3B4F" w:rsidRPr="001A3B4F" w:rsidRDefault="001A3B4F" w:rsidP="00FA67D6">
      <w:pPr>
        <w:rPr>
          <w:b/>
        </w:rPr>
      </w:pPr>
      <w:r w:rsidRPr="001A3B4F">
        <w:rPr>
          <w:b/>
        </w:rPr>
        <w:t xml:space="preserve">Supplemental </w:t>
      </w:r>
      <w:r w:rsidR="00904EBF">
        <w:rPr>
          <w:b/>
        </w:rPr>
        <w:t>Materials</w:t>
      </w:r>
      <w:r w:rsidR="00FA67D6">
        <w:rPr>
          <w:b/>
        </w:rPr>
        <w:t xml:space="preserve"> – </w:t>
      </w:r>
      <w:r w:rsidR="00904EBF" w:rsidRPr="00FA67D6">
        <w:rPr>
          <w:b/>
        </w:rPr>
        <w:t>Charting the evidence for climate change impacts on the global spread of malaria and dengue and adaptive responses: a scoping review of reviews</w:t>
      </w:r>
    </w:p>
    <w:p w14:paraId="598F4E85" w14:textId="77777777" w:rsidR="001A3B4F" w:rsidRDefault="001A3B4F" w:rsidP="00904EBF">
      <w:pPr>
        <w:widowControl w:val="0"/>
        <w:autoSpaceDE w:val="0"/>
        <w:autoSpaceDN w:val="0"/>
        <w:adjustRightInd w:val="0"/>
        <w:spacing w:line="480" w:lineRule="auto"/>
        <w:rPr>
          <w:b/>
        </w:rPr>
      </w:pPr>
      <w:bookmarkStart w:id="0" w:name="_GoBack"/>
      <w:bookmarkEnd w:id="0"/>
    </w:p>
    <w:p w14:paraId="38D17BF7" w14:textId="4EC0A2B7" w:rsidR="008C428E" w:rsidRDefault="00F86620" w:rsidP="00FA67D6">
      <w:pPr>
        <w:widowControl w:val="0"/>
        <w:autoSpaceDE w:val="0"/>
        <w:autoSpaceDN w:val="0"/>
        <w:adjustRightInd w:val="0"/>
      </w:pPr>
      <w:r>
        <w:rPr>
          <w:b/>
        </w:rPr>
        <w:t>Table</w:t>
      </w:r>
      <w:r w:rsidR="008C428E" w:rsidRPr="009E6978">
        <w:rPr>
          <w:b/>
        </w:rPr>
        <w:t xml:space="preserve"> </w:t>
      </w:r>
      <w:r w:rsidR="001A3B4F">
        <w:rPr>
          <w:b/>
        </w:rPr>
        <w:t>S</w:t>
      </w:r>
      <w:r w:rsidR="00904EBF">
        <w:rPr>
          <w:b/>
        </w:rPr>
        <w:t>1</w:t>
      </w:r>
      <w:r w:rsidR="008C428E" w:rsidRPr="009E6978">
        <w:rPr>
          <w:b/>
        </w:rPr>
        <w:t>.</w:t>
      </w:r>
      <w:r w:rsidR="008C428E">
        <w:t xml:space="preserve"> Detailed summary of results pertaining to climate change impacts on malaria and dengue, and adaptation strategies to address climate-driven disease spread</w:t>
      </w:r>
    </w:p>
    <w:tbl>
      <w:tblPr>
        <w:tblStyle w:val="GridTable2Accent3"/>
        <w:tblW w:w="12960" w:type="dxa"/>
        <w:tblLook w:val="06A0" w:firstRow="1" w:lastRow="0" w:firstColumn="1" w:lastColumn="0" w:noHBand="1" w:noVBand="1"/>
      </w:tblPr>
      <w:tblGrid>
        <w:gridCol w:w="3170"/>
        <w:gridCol w:w="947"/>
        <w:gridCol w:w="7276"/>
        <w:gridCol w:w="1567"/>
      </w:tblGrid>
      <w:tr w:rsidR="008C428E" w:rsidRPr="003B361E" w14:paraId="55F95969" w14:textId="77777777" w:rsidTr="00160C93">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170" w:type="dxa"/>
            <w:shd w:val="clear" w:color="auto" w:fill="BFBFBF" w:themeFill="background1" w:themeFillShade="BF"/>
          </w:tcPr>
          <w:p w14:paraId="578D7DF5" w14:textId="77777777" w:rsidR="008C428E" w:rsidRPr="003B361E" w:rsidRDefault="008C428E" w:rsidP="00160C93">
            <w:r w:rsidRPr="003B361E">
              <w:t>Malaria</w:t>
            </w:r>
          </w:p>
        </w:tc>
        <w:tc>
          <w:tcPr>
            <w:tcW w:w="947" w:type="dxa"/>
            <w:shd w:val="clear" w:color="auto" w:fill="BFBFBF" w:themeFill="background1" w:themeFillShade="BF"/>
          </w:tcPr>
          <w:p w14:paraId="6A2607ED" w14:textId="77777777" w:rsidR="008C428E" w:rsidRPr="003B361E" w:rsidRDefault="008C428E" w:rsidP="00160C93">
            <w:pPr>
              <w:cnfStyle w:val="100000000000" w:firstRow="1" w:lastRow="0" w:firstColumn="0" w:lastColumn="0" w:oddVBand="0" w:evenVBand="0" w:oddHBand="0" w:evenHBand="0" w:firstRowFirstColumn="0" w:firstRowLastColumn="0" w:lastRowFirstColumn="0" w:lastRowLastColumn="0"/>
              <w:rPr>
                <w:b w:val="0"/>
                <w:bCs w:val="0"/>
              </w:rPr>
            </w:pPr>
            <w:r>
              <w:t>No.</w:t>
            </w:r>
            <w:r w:rsidRPr="003B361E">
              <w:t xml:space="preserve"> articles </w:t>
            </w:r>
          </w:p>
        </w:tc>
        <w:tc>
          <w:tcPr>
            <w:tcW w:w="7276" w:type="dxa"/>
            <w:shd w:val="clear" w:color="auto" w:fill="BFBFBF" w:themeFill="background1" w:themeFillShade="BF"/>
          </w:tcPr>
          <w:p w14:paraId="500B0CD4" w14:textId="77777777" w:rsidR="008C428E" w:rsidRPr="0011553A" w:rsidRDefault="008C428E" w:rsidP="00160C93">
            <w:pPr>
              <w:cnfStyle w:val="100000000000" w:firstRow="1" w:lastRow="0" w:firstColumn="0" w:lastColumn="0" w:oddVBand="0" w:evenVBand="0" w:oddHBand="0" w:evenHBand="0" w:firstRowFirstColumn="0" w:firstRowLastColumn="0" w:lastRowFirstColumn="0" w:lastRowLastColumn="0"/>
              <w:rPr>
                <w:b w:val="0"/>
                <w:bCs w:val="0"/>
                <w:szCs w:val="22"/>
              </w:rPr>
            </w:pPr>
            <w:r w:rsidRPr="0011553A">
              <w:rPr>
                <w:szCs w:val="22"/>
              </w:rPr>
              <w:t>Results</w:t>
            </w:r>
          </w:p>
          <w:p w14:paraId="52F7F2E9" w14:textId="77777777" w:rsidR="008C428E" w:rsidRPr="0011553A" w:rsidRDefault="008C428E" w:rsidP="00160C93">
            <w:pPr>
              <w:cnfStyle w:val="100000000000" w:firstRow="1" w:lastRow="0" w:firstColumn="0" w:lastColumn="0" w:oddVBand="0" w:evenVBand="0" w:oddHBand="0" w:evenHBand="0" w:firstRowFirstColumn="0" w:firstRowLastColumn="0" w:lastRowFirstColumn="0" w:lastRowLastColumn="0"/>
              <w:rPr>
                <w:b w:val="0"/>
                <w:szCs w:val="22"/>
              </w:rPr>
            </w:pPr>
          </w:p>
        </w:tc>
        <w:tc>
          <w:tcPr>
            <w:tcW w:w="1567" w:type="dxa"/>
            <w:shd w:val="clear" w:color="auto" w:fill="BFBFBF" w:themeFill="background1" w:themeFillShade="BF"/>
          </w:tcPr>
          <w:p w14:paraId="0D2EC2F1" w14:textId="77777777" w:rsidR="008C428E" w:rsidRPr="0011553A" w:rsidRDefault="008C428E" w:rsidP="00160C93">
            <w:pPr>
              <w:cnfStyle w:val="100000000000" w:firstRow="1" w:lastRow="0" w:firstColumn="0" w:lastColumn="0" w:oddVBand="0" w:evenVBand="0" w:oddHBand="0" w:evenHBand="0" w:firstRowFirstColumn="0" w:firstRowLastColumn="0" w:lastRowFirstColumn="0" w:lastRowLastColumn="0"/>
              <w:rPr>
                <w:b w:val="0"/>
                <w:bCs w:val="0"/>
                <w:szCs w:val="22"/>
              </w:rPr>
            </w:pPr>
            <w:r w:rsidRPr="0011553A">
              <w:rPr>
                <w:szCs w:val="22"/>
              </w:rPr>
              <w:t>Citations</w:t>
            </w:r>
          </w:p>
        </w:tc>
      </w:tr>
      <w:tr w:rsidR="008C428E" w:rsidRPr="003B361E" w14:paraId="06330857" w14:textId="77777777" w:rsidTr="00160C93">
        <w:trPr>
          <w:trHeight w:val="622"/>
        </w:trPr>
        <w:tc>
          <w:tcPr>
            <w:cnfStyle w:val="001000000000" w:firstRow="0" w:lastRow="0" w:firstColumn="1" w:lastColumn="0" w:oddVBand="0" w:evenVBand="0" w:oddHBand="0" w:evenHBand="0" w:firstRowFirstColumn="0" w:firstRowLastColumn="0" w:lastRowFirstColumn="0" w:lastRowLastColumn="0"/>
            <w:tcW w:w="3170" w:type="dxa"/>
          </w:tcPr>
          <w:p w14:paraId="59E80462" w14:textId="77777777" w:rsidR="008C428E" w:rsidRDefault="008C428E" w:rsidP="00160C93">
            <w:pPr>
              <w:rPr>
                <w:b w:val="0"/>
                <w:bCs w:val="0"/>
              </w:rPr>
            </w:pPr>
            <w:r w:rsidRPr="003B361E">
              <w:t>Climate Impacts</w:t>
            </w:r>
          </w:p>
          <w:p w14:paraId="34FD0B61" w14:textId="77777777" w:rsidR="008C428E" w:rsidRPr="003B361E" w:rsidRDefault="008C428E" w:rsidP="00160C93">
            <w:pPr>
              <w:rPr>
                <w:bCs w:val="0"/>
              </w:rPr>
            </w:pPr>
          </w:p>
          <w:p w14:paraId="6AAA51AA" w14:textId="77777777" w:rsidR="008C428E" w:rsidRPr="003B361E" w:rsidRDefault="008C428E" w:rsidP="00160C93">
            <w:pPr>
              <w:jc w:val="right"/>
              <w:rPr>
                <w:bCs w:val="0"/>
              </w:rPr>
            </w:pPr>
            <w:r>
              <w:rPr>
                <w:b w:val="0"/>
              </w:rPr>
              <w:t>Climate/weather-disease associations</w:t>
            </w:r>
          </w:p>
        </w:tc>
        <w:tc>
          <w:tcPr>
            <w:tcW w:w="947" w:type="dxa"/>
          </w:tcPr>
          <w:p w14:paraId="230BE74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1AB3BC8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7C542995"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8</w:t>
            </w:r>
          </w:p>
        </w:tc>
        <w:tc>
          <w:tcPr>
            <w:tcW w:w="7276" w:type="dxa"/>
          </w:tcPr>
          <w:p w14:paraId="43CC2F3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Africa, </w:t>
            </w:r>
            <w:r w:rsidRPr="006B68B6">
              <w:rPr>
                <w:sz w:val="22"/>
                <w:szCs w:val="22"/>
              </w:rPr>
              <w:t xml:space="preserve">extreme climatic conditions </w:t>
            </w:r>
            <w:r>
              <w:rPr>
                <w:sz w:val="22"/>
                <w:szCs w:val="22"/>
              </w:rPr>
              <w:t>are</w:t>
            </w:r>
            <w:r w:rsidRPr="006B68B6">
              <w:rPr>
                <w:sz w:val="22"/>
                <w:szCs w:val="22"/>
              </w:rPr>
              <w:t xml:space="preserve"> predisposing factors for malaria epidemics</w:t>
            </w:r>
            <w:r>
              <w:rPr>
                <w:sz w:val="22"/>
                <w:szCs w:val="22"/>
              </w:rPr>
              <w:t xml:space="preserve">; there is a </w:t>
            </w:r>
            <w:r w:rsidRPr="006B68B6">
              <w:rPr>
                <w:sz w:val="22"/>
                <w:szCs w:val="22"/>
              </w:rPr>
              <w:t>relationship between ENSO events and unusual climatic conditions</w:t>
            </w:r>
            <w:r>
              <w:rPr>
                <w:sz w:val="22"/>
                <w:szCs w:val="22"/>
              </w:rPr>
              <w:t xml:space="preserve"> that lead </w:t>
            </w:r>
            <w:r w:rsidRPr="006B68B6">
              <w:rPr>
                <w:sz w:val="22"/>
                <w:szCs w:val="22"/>
              </w:rPr>
              <w:t>to malaria epidemics. In highland areas of Ethiopia and Rwanda, malaria epidemics were associated with increased rainfall and elevated minimum temperature.</w:t>
            </w:r>
            <w:r>
              <w:rPr>
                <w:sz w:val="22"/>
                <w:szCs w:val="22"/>
              </w:rPr>
              <w:t xml:space="preserve"> In South Africa, c</w:t>
            </w:r>
            <w:r w:rsidRPr="006B68B6">
              <w:rPr>
                <w:sz w:val="22"/>
                <w:szCs w:val="22"/>
              </w:rPr>
              <w:t>limatic conditions were found to be the major drivers of the resurgence of malaria, while the role of epidemiological, socio-economic and environmental factors was also noted</w:t>
            </w:r>
            <w:r>
              <w:rPr>
                <w:sz w:val="22"/>
                <w:szCs w:val="22"/>
              </w:rPr>
              <w:t>.</w:t>
            </w:r>
          </w:p>
          <w:p w14:paraId="0B3C350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FCA7A6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651BF5">
              <w:rPr>
                <w:sz w:val="22"/>
                <w:szCs w:val="22"/>
              </w:rPr>
              <w:t>In South America, most studies revealed a positive association between the number of malaria cases and/or different biological variables (vectors abundance, frequency, persistence and mortality, among others) and precipitation and/or temperature</w:t>
            </w:r>
            <w:r>
              <w:rPr>
                <w:sz w:val="22"/>
                <w:szCs w:val="22"/>
              </w:rPr>
              <w:t>.</w:t>
            </w:r>
          </w:p>
          <w:p w14:paraId="35C576E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36EBD4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Europe, the </w:t>
            </w:r>
            <w:r w:rsidRPr="00651BF5">
              <w:rPr>
                <w:sz w:val="22"/>
                <w:szCs w:val="22"/>
              </w:rPr>
              <w:t xml:space="preserve">presence of appropriate vectors and climatic conditions, and high frequency of human movements from malaria endemic countries may </w:t>
            </w:r>
            <w:proofErr w:type="spellStart"/>
            <w:r w:rsidRPr="00651BF5">
              <w:rPr>
                <w:sz w:val="22"/>
                <w:szCs w:val="22"/>
              </w:rPr>
              <w:t>favour</w:t>
            </w:r>
            <w:proofErr w:type="spellEnd"/>
            <w:r w:rsidRPr="00651BF5">
              <w:rPr>
                <w:sz w:val="22"/>
                <w:szCs w:val="22"/>
              </w:rPr>
              <w:t xml:space="preserve"> the reintroduction of </w:t>
            </w:r>
            <w:r>
              <w:rPr>
                <w:sz w:val="22"/>
                <w:szCs w:val="22"/>
              </w:rPr>
              <w:t xml:space="preserve">malaria in </w:t>
            </w:r>
            <w:r w:rsidRPr="00651BF5">
              <w:rPr>
                <w:sz w:val="22"/>
                <w:szCs w:val="22"/>
              </w:rPr>
              <w:t>Greece and parts of Italy, Spain and Croatia, and the Camargue region of France</w:t>
            </w:r>
            <w:r>
              <w:rPr>
                <w:sz w:val="22"/>
                <w:szCs w:val="22"/>
              </w:rPr>
              <w:t>; t</w:t>
            </w:r>
            <w:r w:rsidRPr="00651BF5">
              <w:rPr>
                <w:sz w:val="22"/>
                <w:szCs w:val="22"/>
              </w:rPr>
              <w:t xml:space="preserve">emperature was a key factor to be able to understand </w:t>
            </w:r>
            <w:r>
              <w:rPr>
                <w:sz w:val="22"/>
                <w:szCs w:val="22"/>
              </w:rPr>
              <w:t>malaria vector</w:t>
            </w:r>
            <w:r w:rsidRPr="00651BF5">
              <w:rPr>
                <w:sz w:val="22"/>
                <w:szCs w:val="22"/>
              </w:rPr>
              <w:t xml:space="preserve"> abundance and expansion</w:t>
            </w:r>
            <w:r>
              <w:rPr>
                <w:sz w:val="22"/>
                <w:szCs w:val="22"/>
              </w:rPr>
              <w:t>.</w:t>
            </w:r>
            <w:r w:rsidRPr="00651BF5">
              <w:rPr>
                <w:sz w:val="22"/>
                <w:szCs w:val="22"/>
              </w:rPr>
              <w:t xml:space="preserve"> </w:t>
            </w:r>
          </w:p>
          <w:p w14:paraId="7A602C5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6915CC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236FC8">
              <w:rPr>
                <w:sz w:val="22"/>
                <w:szCs w:val="22"/>
              </w:rPr>
              <w:t>In Iran, malaria outbreaks are strongly correlated with precipitation and humidity</w:t>
            </w:r>
            <w:r>
              <w:rPr>
                <w:sz w:val="22"/>
                <w:szCs w:val="22"/>
              </w:rPr>
              <w:t xml:space="preserve"> with </w:t>
            </w:r>
            <w:r w:rsidRPr="00236FC8">
              <w:rPr>
                <w:sz w:val="22"/>
                <w:szCs w:val="22"/>
              </w:rPr>
              <w:t>a significant relationship between malaria transmission and the minimum and maximum temperature in all of the studied regions</w:t>
            </w:r>
            <w:r>
              <w:rPr>
                <w:sz w:val="22"/>
                <w:szCs w:val="22"/>
              </w:rPr>
              <w:t>.</w:t>
            </w:r>
          </w:p>
          <w:p w14:paraId="21A0CBB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0B3A5F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F7218F">
              <w:rPr>
                <w:sz w:val="22"/>
                <w:szCs w:val="22"/>
              </w:rPr>
              <w:t xml:space="preserve">In Pakistan, </w:t>
            </w:r>
            <w:r>
              <w:rPr>
                <w:sz w:val="22"/>
                <w:szCs w:val="22"/>
              </w:rPr>
              <w:t>i</w:t>
            </w:r>
            <w:r w:rsidRPr="00F7218F">
              <w:rPr>
                <w:sz w:val="22"/>
                <w:szCs w:val="22"/>
              </w:rPr>
              <w:t xml:space="preserve">ncreases in heat and humidity are associated with an increase in vectors and malaria, while increase in droughts is associated with a decrease </w:t>
            </w:r>
            <w:r w:rsidRPr="00F7218F">
              <w:rPr>
                <w:sz w:val="22"/>
                <w:szCs w:val="22"/>
              </w:rPr>
              <w:lastRenderedPageBreak/>
              <w:t>in vectors and malaria.</w:t>
            </w:r>
          </w:p>
          <w:p w14:paraId="76F1B11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123B57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91462">
              <w:rPr>
                <w:sz w:val="22"/>
                <w:szCs w:val="22"/>
              </w:rPr>
              <w:t>In China, in general there were significant positive relationships between malaria incidence and maximum temperature for both P. vivax and P. falciparum malaria, although associations varied across province of study</w:t>
            </w:r>
            <w:r>
              <w:rPr>
                <w:sz w:val="22"/>
                <w:szCs w:val="22"/>
              </w:rPr>
              <w:t xml:space="preserve">; the </w:t>
            </w:r>
            <w:r w:rsidRPr="00191462">
              <w:rPr>
                <w:sz w:val="22"/>
                <w:szCs w:val="22"/>
              </w:rPr>
              <w:t>impact of precipitation on malaria transmission is inconsistent across geographical locations in China.</w:t>
            </w:r>
          </w:p>
          <w:p w14:paraId="41F4941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EE1AFE9"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Nepal there</w:t>
            </w:r>
            <w:r w:rsidRPr="00191462">
              <w:rPr>
                <w:sz w:val="22"/>
                <w:szCs w:val="22"/>
              </w:rPr>
              <w:t xml:space="preserve"> </w:t>
            </w:r>
            <w:r>
              <w:rPr>
                <w:sz w:val="22"/>
                <w:szCs w:val="22"/>
              </w:rPr>
              <w:t>has been</w:t>
            </w:r>
            <w:r w:rsidRPr="00191462">
              <w:rPr>
                <w:sz w:val="22"/>
                <w:szCs w:val="22"/>
              </w:rPr>
              <w:t xml:space="preserve"> a gradual shift in the Plasmodium parasite population from P. vivax to P. falciparum, possibly due to the rising temperature trends. Positive relationship between rainfall and malaria cases with a certain time lag has been observed in Nepal as well as a significantly positive correlation of malaria incidence with minimum as well as maximum temperatures and rainfall</w:t>
            </w:r>
            <w:r>
              <w:rPr>
                <w:sz w:val="22"/>
                <w:szCs w:val="22"/>
              </w:rPr>
              <w:t>.</w:t>
            </w:r>
          </w:p>
        </w:tc>
        <w:tc>
          <w:tcPr>
            <w:tcW w:w="1567" w:type="dxa"/>
          </w:tcPr>
          <w:p w14:paraId="1326660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651BF5">
              <w:rPr>
                <w:sz w:val="22"/>
                <w:szCs w:val="22"/>
              </w:rPr>
              <w:lastRenderedPageBreak/>
              <w:t>Mabaso and Ndlovu, 2012</w:t>
            </w:r>
            <w:r>
              <w:rPr>
                <w:sz w:val="22"/>
                <w:szCs w:val="22"/>
              </w:rPr>
              <w:t>,</w:t>
            </w:r>
            <w:r w:rsidRPr="006B68B6">
              <w:rPr>
                <w:sz w:val="22"/>
                <w:szCs w:val="22"/>
              </w:rPr>
              <w:t xml:space="preserve"> Abiodun et al., 2020</w:t>
            </w:r>
          </w:p>
          <w:p w14:paraId="4324A8A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066080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54E985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337D4A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FE6766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651BF5">
              <w:rPr>
                <w:sz w:val="22"/>
                <w:szCs w:val="22"/>
              </w:rPr>
              <w:t>López et al., 2018</w:t>
            </w:r>
          </w:p>
          <w:p w14:paraId="1758C51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38E611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82EB53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2EB22B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651BF5">
              <w:rPr>
                <w:sz w:val="22"/>
                <w:szCs w:val="22"/>
              </w:rPr>
              <w:t>Brugueras</w:t>
            </w:r>
            <w:proofErr w:type="spellEnd"/>
            <w:r w:rsidRPr="00651BF5">
              <w:rPr>
                <w:sz w:val="22"/>
                <w:szCs w:val="22"/>
              </w:rPr>
              <w:t xml:space="preserve"> et al., 2020</w:t>
            </w:r>
          </w:p>
          <w:p w14:paraId="519F027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C2DABF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F2A6FA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A0951F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29A992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36FC8">
              <w:rPr>
                <w:sz w:val="22"/>
                <w:szCs w:val="22"/>
              </w:rPr>
              <w:t>Babaie</w:t>
            </w:r>
            <w:proofErr w:type="spellEnd"/>
            <w:r w:rsidRPr="00236FC8">
              <w:rPr>
                <w:sz w:val="22"/>
                <w:szCs w:val="22"/>
              </w:rPr>
              <w:t xml:space="preserve"> et al., 2018</w:t>
            </w:r>
          </w:p>
          <w:p w14:paraId="0FF2ED0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57CCAC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F7D652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F7218F">
              <w:rPr>
                <w:sz w:val="22"/>
                <w:szCs w:val="22"/>
              </w:rPr>
              <w:t>Ahmed et al., 2016 &amp; 2019</w:t>
            </w:r>
          </w:p>
          <w:p w14:paraId="189E700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13D3EE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5A2BC6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91462">
              <w:rPr>
                <w:sz w:val="22"/>
                <w:szCs w:val="22"/>
              </w:rPr>
              <w:t>Bai et al., 2013</w:t>
            </w:r>
          </w:p>
          <w:p w14:paraId="7F233DE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60B53B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B964F6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070A1F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C027DA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69AA82F"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Pr>
                <w:sz w:val="22"/>
                <w:szCs w:val="22"/>
              </w:rPr>
              <w:t>Dhimal</w:t>
            </w:r>
            <w:proofErr w:type="spellEnd"/>
            <w:r>
              <w:rPr>
                <w:sz w:val="22"/>
                <w:szCs w:val="22"/>
              </w:rPr>
              <w:t xml:space="preserve"> et al., 2015</w:t>
            </w:r>
          </w:p>
        </w:tc>
      </w:tr>
      <w:tr w:rsidR="008C428E" w:rsidRPr="003B361E" w14:paraId="66A285CA" w14:textId="77777777" w:rsidTr="00160C93">
        <w:trPr>
          <w:trHeight w:val="622"/>
        </w:trPr>
        <w:tc>
          <w:tcPr>
            <w:cnfStyle w:val="001000000000" w:firstRow="0" w:lastRow="0" w:firstColumn="1" w:lastColumn="0" w:oddVBand="0" w:evenVBand="0" w:oddHBand="0" w:evenHBand="0" w:firstRowFirstColumn="0" w:firstRowLastColumn="0" w:lastRowFirstColumn="0" w:lastRowLastColumn="0"/>
            <w:tcW w:w="3170" w:type="dxa"/>
          </w:tcPr>
          <w:p w14:paraId="6ED3AF58" w14:textId="77777777" w:rsidR="008C428E" w:rsidRPr="003B361E" w:rsidRDefault="008C428E" w:rsidP="00160C93">
            <w:pPr>
              <w:jc w:val="right"/>
              <w:rPr>
                <w:bCs w:val="0"/>
              </w:rPr>
            </w:pPr>
            <w:r>
              <w:rPr>
                <w:b w:val="0"/>
              </w:rPr>
              <w:lastRenderedPageBreak/>
              <w:t>Climate change impacts on disease</w:t>
            </w:r>
          </w:p>
        </w:tc>
        <w:tc>
          <w:tcPr>
            <w:tcW w:w="947" w:type="dxa"/>
          </w:tcPr>
          <w:p w14:paraId="49FAB69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323B5676"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10</w:t>
            </w:r>
          </w:p>
        </w:tc>
        <w:tc>
          <w:tcPr>
            <w:tcW w:w="7276" w:type="dxa"/>
          </w:tcPr>
          <w:p w14:paraId="2970A8A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EE469B">
              <w:rPr>
                <w:sz w:val="22"/>
                <w:szCs w:val="22"/>
              </w:rPr>
              <w:t>Studies on malaria distribution have projected increased transmission at higher altitudes in the highlands of Africa, parts of Latin America and Southeast Asia. More recent studies show increases in areas other than the highlands, depending on demographic, socio-economic and ecological factors. Most studies reveal changes at the margin of current distributions, where non-immune populations present “endemically unstable areas”, which will shift patterns of endemic/epidemic conditions.</w:t>
            </w:r>
          </w:p>
          <w:p w14:paraId="6203334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FD353D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EE469B">
              <w:rPr>
                <w:sz w:val="22"/>
                <w:szCs w:val="22"/>
              </w:rPr>
              <w:t>The IPCC predicts that in 2050, malaria may threaten some previously unexposed regions of South America, sub-Saharan Africa (SSA), and China, thus causing a 50% higher probability of malaria. Specific impacts of climate change on increasing malaria have been ide</w:t>
            </w:r>
            <w:r>
              <w:rPr>
                <w:sz w:val="22"/>
                <w:szCs w:val="22"/>
              </w:rPr>
              <w:t>n</w:t>
            </w:r>
            <w:r w:rsidRPr="00EE469B">
              <w:rPr>
                <w:sz w:val="22"/>
                <w:szCs w:val="22"/>
              </w:rPr>
              <w:t>tified in Sub-Saharan Africa (East Africa, Ethiopia and African continent), Colombia, and southern China.</w:t>
            </w:r>
            <w:r>
              <w:rPr>
                <w:sz w:val="22"/>
                <w:szCs w:val="22"/>
              </w:rPr>
              <w:t xml:space="preserve"> </w:t>
            </w:r>
          </w:p>
          <w:p w14:paraId="5943E3D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C88008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EE469B">
              <w:rPr>
                <w:sz w:val="22"/>
                <w:szCs w:val="22"/>
              </w:rPr>
              <w:t xml:space="preserve">In 2015–19, suitability for malaria transmission in highland areas was 38·7% higher in the African region and 149·7% higher in the Western Pacific region compared with a 1950s baseline. Increasing temperatures are eroding the effect altitude has as a barrier to malaria transmission which has resulted in more </w:t>
            </w:r>
            <w:proofErr w:type="spellStart"/>
            <w:r w:rsidRPr="00EE469B">
              <w:rPr>
                <w:sz w:val="22"/>
                <w:szCs w:val="22"/>
              </w:rPr>
              <w:t>favourable</w:t>
            </w:r>
            <w:proofErr w:type="spellEnd"/>
            <w:r w:rsidRPr="00EE469B">
              <w:rPr>
                <w:sz w:val="22"/>
                <w:szCs w:val="22"/>
              </w:rPr>
              <w:t xml:space="preserve"> conditions in densely populated highland areas, as seen in Ethiopia. There have been significant increases in the environmental suitability </w:t>
            </w:r>
            <w:r w:rsidRPr="00EE469B">
              <w:rPr>
                <w:sz w:val="22"/>
                <w:szCs w:val="22"/>
              </w:rPr>
              <w:lastRenderedPageBreak/>
              <w:t>for the transmission of falciparum malaria in highland areas of four of the five malaria endemic regions, with an increase of 38·7% in the African region and 149·7% in the Western Pacific region in 2015–19 compared with the 1950s baseline.</w:t>
            </w:r>
          </w:p>
          <w:p w14:paraId="2888091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5D181F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6B68B6">
              <w:rPr>
                <w:sz w:val="22"/>
                <w:szCs w:val="22"/>
              </w:rPr>
              <w:t>Malaria prevalence will be affected by CC in several African countries, specifically the East African highlands</w:t>
            </w:r>
          </w:p>
          <w:p w14:paraId="5174771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C097F5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EE469B">
              <w:rPr>
                <w:sz w:val="22"/>
                <w:szCs w:val="22"/>
              </w:rPr>
              <w:t xml:space="preserve">The population at risk </w:t>
            </w:r>
            <w:r>
              <w:rPr>
                <w:sz w:val="22"/>
                <w:szCs w:val="22"/>
              </w:rPr>
              <w:t xml:space="preserve">of malaria </w:t>
            </w:r>
            <w:r w:rsidRPr="00EE469B">
              <w:rPr>
                <w:sz w:val="22"/>
                <w:szCs w:val="22"/>
              </w:rPr>
              <w:t>is projected to increase in East and South Africa, but decreasing in West Africa</w:t>
            </w:r>
            <w:r>
              <w:rPr>
                <w:sz w:val="22"/>
                <w:szCs w:val="22"/>
              </w:rPr>
              <w:t>; t</w:t>
            </w:r>
            <w:r w:rsidRPr="00EE469B">
              <w:rPr>
                <w:sz w:val="22"/>
                <w:szCs w:val="22"/>
              </w:rPr>
              <w:t>here will be a northward expansion into West Asia and East Asia by 2030, 2050, and up to 2080</w:t>
            </w:r>
          </w:p>
          <w:p w14:paraId="1366886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F8C2EA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Europe, </w:t>
            </w:r>
            <w:r w:rsidRPr="00651BF5">
              <w:rPr>
                <w:sz w:val="22"/>
                <w:szCs w:val="22"/>
              </w:rPr>
              <w:t xml:space="preserve">increasing temperatures </w:t>
            </w:r>
            <w:r>
              <w:rPr>
                <w:sz w:val="22"/>
                <w:szCs w:val="22"/>
              </w:rPr>
              <w:t>are</w:t>
            </w:r>
            <w:r w:rsidRPr="00651BF5">
              <w:rPr>
                <w:sz w:val="22"/>
                <w:szCs w:val="22"/>
              </w:rPr>
              <w:t xml:space="preserve"> predicted </w:t>
            </w:r>
            <w:r>
              <w:rPr>
                <w:sz w:val="22"/>
                <w:szCs w:val="22"/>
              </w:rPr>
              <w:t xml:space="preserve">to result in </w:t>
            </w:r>
            <w:r w:rsidRPr="00651BF5">
              <w:rPr>
                <w:sz w:val="22"/>
                <w:szCs w:val="22"/>
              </w:rPr>
              <w:t>a northward spread of the occurrence of Anopheles mosquitoes and an extension of seasonality, enabling malaria transmission for annual periods up to 6 months in the years 2051–2080</w:t>
            </w:r>
            <w:r>
              <w:rPr>
                <w:sz w:val="22"/>
                <w:szCs w:val="22"/>
              </w:rPr>
              <w:t>, with increased risk</w:t>
            </w:r>
            <w:r w:rsidRPr="00651BF5">
              <w:rPr>
                <w:sz w:val="22"/>
                <w:szCs w:val="22"/>
              </w:rPr>
              <w:t xml:space="preserve"> in: Spain, France, Italy, Greece, the Central and Eastern European countries Bulgaria, Romania, Macedonia, Serbia, Croatia, Hungary, Ukraine and Russia</w:t>
            </w:r>
            <w:r>
              <w:rPr>
                <w:sz w:val="22"/>
                <w:szCs w:val="22"/>
              </w:rPr>
              <w:t>.</w:t>
            </w:r>
          </w:p>
          <w:p w14:paraId="1FE7EA2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F0EE0A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236FC8">
              <w:rPr>
                <w:sz w:val="22"/>
                <w:szCs w:val="22"/>
              </w:rPr>
              <w:t xml:space="preserve">In the UK, the probability of sustained </w:t>
            </w:r>
            <w:r w:rsidRPr="00236FC8">
              <w:rPr>
                <w:i/>
                <w:sz w:val="22"/>
                <w:szCs w:val="22"/>
              </w:rPr>
              <w:t>P falciparum</w:t>
            </w:r>
            <w:r w:rsidRPr="00236FC8">
              <w:rPr>
                <w:sz w:val="22"/>
                <w:szCs w:val="22"/>
              </w:rPr>
              <w:t xml:space="preserve"> transmission by 2100 is small, even under the most extreme scenarios; however, a </w:t>
            </w:r>
            <w:r w:rsidRPr="00236FC8">
              <w:rPr>
                <w:i/>
                <w:sz w:val="22"/>
                <w:szCs w:val="22"/>
              </w:rPr>
              <w:t>P vivax</w:t>
            </w:r>
            <w:r w:rsidRPr="00236FC8">
              <w:rPr>
                <w:sz w:val="22"/>
                <w:szCs w:val="22"/>
              </w:rPr>
              <w:t xml:space="preserve"> model predicts </w:t>
            </w:r>
            <w:r>
              <w:rPr>
                <w:sz w:val="22"/>
                <w:szCs w:val="22"/>
              </w:rPr>
              <w:t>increasing climatic suitability in</w:t>
            </w:r>
            <w:r w:rsidRPr="00236FC8">
              <w:rPr>
                <w:sz w:val="22"/>
                <w:szCs w:val="22"/>
              </w:rPr>
              <w:t xml:space="preserve"> southern Great Britain by 2030; by 2080, southern Scotland will be climatically suitable </w:t>
            </w:r>
            <w:r>
              <w:rPr>
                <w:sz w:val="22"/>
                <w:szCs w:val="22"/>
              </w:rPr>
              <w:t>for malaria transmission</w:t>
            </w:r>
            <w:r w:rsidRPr="00236FC8">
              <w:rPr>
                <w:sz w:val="22"/>
                <w:szCs w:val="22"/>
              </w:rPr>
              <w:t>.</w:t>
            </w:r>
          </w:p>
          <w:p w14:paraId="18CDB55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6B1E34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China, increases in</w:t>
            </w:r>
            <w:r w:rsidRPr="00191462">
              <w:rPr>
                <w:sz w:val="22"/>
                <w:szCs w:val="22"/>
              </w:rPr>
              <w:t xml:space="preserve"> temperature, relative humidity and sunshine</w:t>
            </w:r>
            <w:r>
              <w:rPr>
                <w:sz w:val="22"/>
                <w:szCs w:val="22"/>
              </w:rPr>
              <w:t xml:space="preserve"> hours</w:t>
            </w:r>
            <w:r w:rsidRPr="00191462">
              <w:rPr>
                <w:sz w:val="22"/>
                <w:szCs w:val="22"/>
              </w:rPr>
              <w:t xml:space="preserve"> led to an increase </w:t>
            </w:r>
            <w:r>
              <w:rPr>
                <w:sz w:val="22"/>
                <w:szCs w:val="22"/>
              </w:rPr>
              <w:t>in</w:t>
            </w:r>
            <w:r w:rsidRPr="00191462">
              <w:rPr>
                <w:sz w:val="22"/>
                <w:szCs w:val="22"/>
              </w:rPr>
              <w:t xml:space="preserve"> monthly malaria cases</w:t>
            </w:r>
            <w:r>
              <w:rPr>
                <w:sz w:val="22"/>
                <w:szCs w:val="22"/>
              </w:rPr>
              <w:t xml:space="preserve">; it </w:t>
            </w:r>
            <w:r w:rsidRPr="00191462">
              <w:rPr>
                <w:sz w:val="22"/>
                <w:szCs w:val="22"/>
              </w:rPr>
              <w:t xml:space="preserve">is predicted that if there are no preventive measures, the geographical scope of certain malaria vectors such as Anopheles </w:t>
            </w:r>
            <w:proofErr w:type="spellStart"/>
            <w:r w:rsidRPr="00191462">
              <w:rPr>
                <w:sz w:val="22"/>
                <w:szCs w:val="22"/>
              </w:rPr>
              <w:t>minimus</w:t>
            </w:r>
            <w:proofErr w:type="spellEnd"/>
            <w:r w:rsidRPr="00191462">
              <w:rPr>
                <w:sz w:val="22"/>
                <w:szCs w:val="22"/>
              </w:rPr>
              <w:t xml:space="preserve"> and Anopheles </w:t>
            </w:r>
            <w:proofErr w:type="spellStart"/>
            <w:r w:rsidRPr="00191462">
              <w:rPr>
                <w:sz w:val="22"/>
                <w:szCs w:val="22"/>
              </w:rPr>
              <w:t>dirus</w:t>
            </w:r>
            <w:proofErr w:type="spellEnd"/>
            <w:r w:rsidRPr="00191462">
              <w:rPr>
                <w:sz w:val="22"/>
                <w:szCs w:val="22"/>
              </w:rPr>
              <w:t xml:space="preserve"> and accordingly, the incidence of malaria may increase by </w:t>
            </w:r>
            <w:r>
              <w:rPr>
                <w:sz w:val="22"/>
                <w:szCs w:val="22"/>
              </w:rPr>
              <w:t>2030.</w:t>
            </w:r>
          </w:p>
          <w:p w14:paraId="1169087E"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5777A4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191462">
              <w:rPr>
                <w:sz w:val="22"/>
                <w:szCs w:val="22"/>
              </w:rPr>
              <w:t xml:space="preserve">rojections show </w:t>
            </w:r>
            <w:r>
              <w:rPr>
                <w:sz w:val="22"/>
                <w:szCs w:val="22"/>
              </w:rPr>
              <w:t>a</w:t>
            </w:r>
            <w:r w:rsidRPr="00191462">
              <w:rPr>
                <w:sz w:val="22"/>
                <w:szCs w:val="22"/>
              </w:rPr>
              <w:t xml:space="preserve"> reduction in the climate suitability for Anopheles in the Philippines </w:t>
            </w:r>
            <w:r>
              <w:rPr>
                <w:sz w:val="22"/>
                <w:szCs w:val="22"/>
              </w:rPr>
              <w:t xml:space="preserve">in 2100 </w:t>
            </w:r>
            <w:r w:rsidRPr="00191462">
              <w:rPr>
                <w:sz w:val="22"/>
                <w:szCs w:val="22"/>
              </w:rPr>
              <w:t>because of changes in heat stress, causing large areas to have heat stress beyond the maximum survival values for the malaria vector (&gt;40C).</w:t>
            </w:r>
          </w:p>
          <w:p w14:paraId="5399D71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FDD987F"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91462">
              <w:rPr>
                <w:sz w:val="22"/>
                <w:szCs w:val="22"/>
              </w:rPr>
              <w:t xml:space="preserve">In Nepal, the distribution of malaria, which was previously confined to lowland valleys and hills (&lt;1,200 m </w:t>
            </w:r>
            <w:r>
              <w:rPr>
                <w:sz w:val="22"/>
                <w:szCs w:val="22"/>
              </w:rPr>
              <w:t>altitude</w:t>
            </w:r>
            <w:r w:rsidRPr="00191462">
              <w:rPr>
                <w:sz w:val="22"/>
                <w:szCs w:val="22"/>
              </w:rPr>
              <w:t>) is now observed to extend to the hills and mountains (&gt; 2,000 m) causing seasonal malaria epidemics</w:t>
            </w:r>
            <w:r>
              <w:rPr>
                <w:sz w:val="22"/>
                <w:szCs w:val="22"/>
              </w:rPr>
              <w:t>; w</w:t>
            </w:r>
            <w:r w:rsidRPr="00D14015">
              <w:rPr>
                <w:sz w:val="22"/>
                <w:szCs w:val="22"/>
              </w:rPr>
              <w:t>hile the short-term data shows a clear association between climatic factors and VBDs, but it is complex and difficult to project long-term effects of climate change in the face of rapid environmental and socio-economic changes and attribution to climate change remains unclear.</w:t>
            </w:r>
          </w:p>
        </w:tc>
        <w:tc>
          <w:tcPr>
            <w:tcW w:w="1567" w:type="dxa"/>
          </w:tcPr>
          <w:p w14:paraId="033025BE"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Pr>
                <w:sz w:val="22"/>
                <w:szCs w:val="22"/>
              </w:rPr>
              <w:lastRenderedPageBreak/>
              <w:t>Bardosh</w:t>
            </w:r>
            <w:proofErr w:type="spellEnd"/>
            <w:r>
              <w:rPr>
                <w:sz w:val="22"/>
                <w:szCs w:val="22"/>
              </w:rPr>
              <w:t xml:space="preserve"> et al., 2017</w:t>
            </w:r>
          </w:p>
          <w:p w14:paraId="6924A93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E7B750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144545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563A70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B0B9E3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7C0B82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765C83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EE469B">
              <w:rPr>
                <w:sz w:val="22"/>
                <w:szCs w:val="22"/>
              </w:rPr>
              <w:t>Cella</w:t>
            </w:r>
            <w:proofErr w:type="spellEnd"/>
            <w:r w:rsidRPr="00EE469B">
              <w:rPr>
                <w:sz w:val="22"/>
                <w:szCs w:val="22"/>
              </w:rPr>
              <w:t xml:space="preserve"> et al., 2019</w:t>
            </w:r>
            <w:r>
              <w:rPr>
                <w:sz w:val="22"/>
                <w:szCs w:val="22"/>
              </w:rPr>
              <w:t xml:space="preserve">, </w:t>
            </w:r>
            <w:proofErr w:type="spellStart"/>
            <w:r w:rsidRPr="00EE469B">
              <w:rPr>
                <w:sz w:val="22"/>
                <w:szCs w:val="22"/>
              </w:rPr>
              <w:t>Swynghedauw</w:t>
            </w:r>
            <w:proofErr w:type="spellEnd"/>
            <w:r w:rsidRPr="00EE469B">
              <w:rPr>
                <w:sz w:val="22"/>
                <w:szCs w:val="22"/>
              </w:rPr>
              <w:t>, 2009</w:t>
            </w:r>
            <w:r>
              <w:rPr>
                <w:sz w:val="22"/>
                <w:szCs w:val="22"/>
              </w:rPr>
              <w:t>, Zhang et al., 2008</w:t>
            </w:r>
          </w:p>
          <w:p w14:paraId="16BE151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53AB3B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Watts et al., 2020, Yu et al., 2015</w:t>
            </w:r>
          </w:p>
          <w:p w14:paraId="080C85F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37B0C9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29F1D3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D3022A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AADC3C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73B62E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C4D528A"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D645B3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E0B1F5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6B68B6">
              <w:rPr>
                <w:sz w:val="22"/>
                <w:szCs w:val="22"/>
              </w:rPr>
              <w:t>Giesen</w:t>
            </w:r>
            <w:proofErr w:type="spellEnd"/>
            <w:r w:rsidRPr="006B68B6">
              <w:rPr>
                <w:sz w:val="22"/>
                <w:szCs w:val="22"/>
              </w:rPr>
              <w:t xml:space="preserve"> et al., 2020</w:t>
            </w:r>
          </w:p>
          <w:p w14:paraId="4BBF5EB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7A29A0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A419A7">
              <w:rPr>
                <w:sz w:val="22"/>
                <w:szCs w:val="22"/>
              </w:rPr>
              <w:t>Yu et al., 2015</w:t>
            </w:r>
          </w:p>
          <w:p w14:paraId="03FCEEA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95CD8F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9FC09B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50E969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236FC8">
              <w:rPr>
                <w:sz w:val="22"/>
                <w:szCs w:val="22"/>
              </w:rPr>
              <w:t>Fischer et al., 2020</w:t>
            </w:r>
          </w:p>
          <w:p w14:paraId="4BB3ED2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09DEA5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533675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01051BE"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D1CB76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1B4819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236FC8">
              <w:rPr>
                <w:sz w:val="22"/>
                <w:szCs w:val="22"/>
              </w:rPr>
              <w:t>Medlock and Leach, 2015</w:t>
            </w:r>
          </w:p>
          <w:p w14:paraId="14DB9CD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81C1BE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966365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13EA86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91462">
              <w:rPr>
                <w:sz w:val="22"/>
                <w:szCs w:val="22"/>
              </w:rPr>
              <w:t>Yi et al., 2019</w:t>
            </w:r>
          </w:p>
          <w:p w14:paraId="3BCE5AE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681CBDE"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C770B3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DF5474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5BBEE4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5B09C7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91462">
              <w:rPr>
                <w:sz w:val="22"/>
                <w:szCs w:val="22"/>
              </w:rPr>
              <w:t>Chua et al., 2019</w:t>
            </w:r>
          </w:p>
          <w:p w14:paraId="637055E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79D623A"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BCE31F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05EF9D0"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Pr>
                <w:sz w:val="22"/>
                <w:szCs w:val="22"/>
              </w:rPr>
              <w:t>Dhimal</w:t>
            </w:r>
            <w:proofErr w:type="spellEnd"/>
            <w:r>
              <w:rPr>
                <w:sz w:val="22"/>
                <w:szCs w:val="22"/>
              </w:rPr>
              <w:t xml:space="preserve"> et al., 2015</w:t>
            </w:r>
          </w:p>
        </w:tc>
      </w:tr>
      <w:tr w:rsidR="008C428E" w:rsidRPr="003B361E" w14:paraId="496F75A9" w14:textId="77777777" w:rsidTr="00160C93">
        <w:trPr>
          <w:trHeight w:val="654"/>
        </w:trPr>
        <w:tc>
          <w:tcPr>
            <w:cnfStyle w:val="001000000000" w:firstRow="0" w:lastRow="0" w:firstColumn="1" w:lastColumn="0" w:oddVBand="0" w:evenVBand="0" w:oddHBand="0" w:evenHBand="0" w:firstRowFirstColumn="0" w:firstRowLastColumn="0" w:lastRowFirstColumn="0" w:lastRowLastColumn="0"/>
            <w:tcW w:w="3170" w:type="dxa"/>
          </w:tcPr>
          <w:p w14:paraId="03F37F70" w14:textId="77777777" w:rsidR="008C428E" w:rsidRDefault="008C428E" w:rsidP="00160C93">
            <w:pPr>
              <w:rPr>
                <w:b w:val="0"/>
                <w:bCs w:val="0"/>
              </w:rPr>
            </w:pPr>
            <w:r w:rsidRPr="003B361E">
              <w:lastRenderedPageBreak/>
              <w:t>Adaptation Strategies</w:t>
            </w:r>
          </w:p>
          <w:p w14:paraId="2F6C9221" w14:textId="77777777" w:rsidR="008C428E" w:rsidRPr="003B361E" w:rsidRDefault="008C428E" w:rsidP="00160C93">
            <w:pPr>
              <w:rPr>
                <w:bCs w:val="0"/>
              </w:rPr>
            </w:pPr>
          </w:p>
          <w:p w14:paraId="732EB66E" w14:textId="77777777" w:rsidR="008C428E" w:rsidRDefault="008C428E" w:rsidP="00160C93">
            <w:pPr>
              <w:jc w:val="right"/>
              <w:rPr>
                <w:bCs w:val="0"/>
              </w:rPr>
            </w:pPr>
            <w:r>
              <w:rPr>
                <w:b w:val="0"/>
              </w:rPr>
              <w:t>E</w:t>
            </w:r>
            <w:r w:rsidRPr="003B361E">
              <w:rPr>
                <w:b w:val="0"/>
              </w:rPr>
              <w:t>nhanced surveillance</w:t>
            </w:r>
          </w:p>
          <w:p w14:paraId="62198DE0" w14:textId="77777777" w:rsidR="008C428E" w:rsidRPr="003B361E" w:rsidRDefault="008C428E" w:rsidP="00160C93">
            <w:pPr>
              <w:jc w:val="right"/>
              <w:rPr>
                <w:b w:val="0"/>
              </w:rPr>
            </w:pPr>
          </w:p>
        </w:tc>
        <w:tc>
          <w:tcPr>
            <w:tcW w:w="947" w:type="dxa"/>
          </w:tcPr>
          <w:p w14:paraId="0964A438"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2</w:t>
            </w:r>
          </w:p>
        </w:tc>
        <w:tc>
          <w:tcPr>
            <w:tcW w:w="7276" w:type="dxa"/>
          </w:tcPr>
          <w:p w14:paraId="74FCA3A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w:t>
            </w:r>
            <w:r w:rsidRPr="00AE213F">
              <w:rPr>
                <w:sz w:val="22"/>
                <w:szCs w:val="22"/>
              </w:rPr>
              <w:t xml:space="preserve">ommunity-based </w:t>
            </w:r>
            <w:r>
              <w:rPr>
                <w:sz w:val="22"/>
                <w:szCs w:val="22"/>
              </w:rPr>
              <w:t>adaptation strategies include</w:t>
            </w:r>
            <w:r w:rsidRPr="00AE213F">
              <w:rPr>
                <w:sz w:val="22"/>
                <w:szCs w:val="22"/>
              </w:rPr>
              <w:t xml:space="preserve"> </w:t>
            </w:r>
            <w:r>
              <w:rPr>
                <w:sz w:val="22"/>
                <w:szCs w:val="22"/>
              </w:rPr>
              <w:t>v</w:t>
            </w:r>
            <w:r w:rsidRPr="00AE213F">
              <w:rPr>
                <w:sz w:val="22"/>
                <w:szCs w:val="22"/>
              </w:rPr>
              <w:t>ector surveillance and risk mapping</w:t>
            </w:r>
            <w:r>
              <w:rPr>
                <w:sz w:val="22"/>
                <w:szCs w:val="22"/>
              </w:rPr>
              <w:t>.</w:t>
            </w:r>
          </w:p>
          <w:p w14:paraId="1B1F170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2C468C1"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In the UK, surveillance of endemic and non-native vectors is being done through passive vector surveillance schemes</w:t>
            </w:r>
          </w:p>
        </w:tc>
        <w:tc>
          <w:tcPr>
            <w:tcW w:w="1567" w:type="dxa"/>
          </w:tcPr>
          <w:p w14:paraId="13F3607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AE213F">
              <w:rPr>
                <w:sz w:val="22"/>
                <w:szCs w:val="22"/>
              </w:rPr>
              <w:t>Bardosh</w:t>
            </w:r>
            <w:proofErr w:type="spellEnd"/>
            <w:r w:rsidRPr="00AE213F">
              <w:rPr>
                <w:sz w:val="22"/>
                <w:szCs w:val="22"/>
              </w:rPr>
              <w:t xml:space="preserve"> et al., 2017</w:t>
            </w:r>
          </w:p>
          <w:p w14:paraId="7AC8C9C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3F311D3" w14:textId="77777777" w:rsidR="008C428E" w:rsidRPr="001A5746"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A5746">
              <w:rPr>
                <w:sz w:val="22"/>
                <w:szCs w:val="22"/>
              </w:rPr>
              <w:t>Medlock and Leach, 2015</w:t>
            </w:r>
          </w:p>
          <w:p w14:paraId="1EFF7670"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tc>
      </w:tr>
      <w:tr w:rsidR="008C428E" w:rsidRPr="003B361E" w14:paraId="27B84008" w14:textId="77777777" w:rsidTr="00160C93">
        <w:trPr>
          <w:trHeight w:val="654"/>
        </w:trPr>
        <w:tc>
          <w:tcPr>
            <w:cnfStyle w:val="001000000000" w:firstRow="0" w:lastRow="0" w:firstColumn="1" w:lastColumn="0" w:oddVBand="0" w:evenVBand="0" w:oddHBand="0" w:evenHBand="0" w:firstRowFirstColumn="0" w:firstRowLastColumn="0" w:lastRowFirstColumn="0" w:lastRowLastColumn="0"/>
            <w:tcW w:w="3170" w:type="dxa"/>
          </w:tcPr>
          <w:p w14:paraId="5401BF77" w14:textId="77777777" w:rsidR="008C428E" w:rsidRDefault="008C428E" w:rsidP="00160C93">
            <w:pPr>
              <w:jc w:val="right"/>
              <w:rPr>
                <w:bCs w:val="0"/>
              </w:rPr>
            </w:pPr>
            <w:r>
              <w:rPr>
                <w:b w:val="0"/>
              </w:rPr>
              <w:t>E</w:t>
            </w:r>
            <w:r w:rsidRPr="003B361E">
              <w:rPr>
                <w:b w:val="0"/>
              </w:rPr>
              <w:t>arly warning systems</w:t>
            </w:r>
            <w:r>
              <w:rPr>
                <w:b w:val="0"/>
              </w:rPr>
              <w:t xml:space="preserve"> for outbreak detection</w:t>
            </w:r>
          </w:p>
          <w:p w14:paraId="621B27B9" w14:textId="77777777" w:rsidR="008C428E" w:rsidRPr="003B361E" w:rsidRDefault="008C428E" w:rsidP="00160C93">
            <w:pPr>
              <w:rPr>
                <w:bCs w:val="0"/>
              </w:rPr>
            </w:pPr>
          </w:p>
        </w:tc>
        <w:tc>
          <w:tcPr>
            <w:tcW w:w="947" w:type="dxa"/>
          </w:tcPr>
          <w:p w14:paraId="46CFC8D6"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3</w:t>
            </w:r>
          </w:p>
        </w:tc>
        <w:tc>
          <w:tcPr>
            <w:tcW w:w="7276" w:type="dxa"/>
          </w:tcPr>
          <w:p w14:paraId="2C58916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South Africa, s</w:t>
            </w:r>
            <w:r w:rsidRPr="00651BF5">
              <w:rPr>
                <w:sz w:val="22"/>
                <w:szCs w:val="22"/>
              </w:rPr>
              <w:t>ystems for forecasting extreme weather, and tracking malaria to support malaria programming appear well established</w:t>
            </w:r>
            <w:r>
              <w:rPr>
                <w:sz w:val="22"/>
                <w:szCs w:val="22"/>
              </w:rPr>
              <w:t>, e.g. the</w:t>
            </w:r>
            <w:r w:rsidRPr="00651BF5">
              <w:rPr>
                <w:sz w:val="22"/>
                <w:szCs w:val="22"/>
              </w:rPr>
              <w:t xml:space="preserve"> Infectious Diseases Early Warning System project (</w:t>
            </w:r>
            <w:proofErr w:type="spellStart"/>
            <w:r w:rsidRPr="00651BF5">
              <w:rPr>
                <w:sz w:val="22"/>
                <w:szCs w:val="22"/>
              </w:rPr>
              <w:t>iDEWS</w:t>
            </w:r>
            <w:proofErr w:type="spellEnd"/>
            <w:r w:rsidRPr="00651BF5">
              <w:rPr>
                <w:sz w:val="22"/>
                <w:szCs w:val="22"/>
              </w:rPr>
              <w:t>) project can forecast changes in malaria incidence and the geographical expansion of disease outbreaks.</w:t>
            </w:r>
          </w:p>
          <w:p w14:paraId="5CCF308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3866F09" w14:textId="77777777" w:rsidR="008C428E" w:rsidRPr="00651BF5"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651BF5">
              <w:rPr>
                <w:sz w:val="22"/>
                <w:szCs w:val="22"/>
              </w:rPr>
              <w:t>Different malaria epidemic detection algorithms have been developed; these yielded different results in different settings. There is evidence that the source, type and quality of malaria data used have an impact on the reliability of the analysis or forecast depending on the aspect of the Malaria Early Warning System (MEWS) being modelled.</w:t>
            </w:r>
          </w:p>
          <w:p w14:paraId="275E6FA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CED58A4"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D14015">
              <w:rPr>
                <w:sz w:val="22"/>
                <w:szCs w:val="22"/>
              </w:rPr>
              <w:t>In the Philippines, adaptation strategies included associating climate/weather variables and health outcomes by using advanced modelling techniques and predictive models as part of an early warning system for disease prevention and control programs</w:t>
            </w:r>
            <w:r>
              <w:rPr>
                <w:sz w:val="22"/>
                <w:szCs w:val="22"/>
              </w:rPr>
              <w:t>.</w:t>
            </w:r>
          </w:p>
        </w:tc>
        <w:tc>
          <w:tcPr>
            <w:tcW w:w="1567" w:type="dxa"/>
          </w:tcPr>
          <w:p w14:paraId="686E6DA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651BF5">
              <w:rPr>
                <w:sz w:val="22"/>
                <w:szCs w:val="22"/>
              </w:rPr>
              <w:t>Chersich</w:t>
            </w:r>
            <w:proofErr w:type="spellEnd"/>
            <w:r w:rsidRPr="00651BF5">
              <w:rPr>
                <w:sz w:val="22"/>
                <w:szCs w:val="22"/>
              </w:rPr>
              <w:t xml:space="preserve"> and Wright, 2019</w:t>
            </w:r>
          </w:p>
          <w:p w14:paraId="6F71BD6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97B8CBA"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3D2AEE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48C02E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651BF5">
              <w:rPr>
                <w:sz w:val="22"/>
                <w:szCs w:val="22"/>
              </w:rPr>
              <w:t>Mabaso and Ndlovu, 2012</w:t>
            </w:r>
          </w:p>
          <w:p w14:paraId="5A58E40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F301D7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3E7E21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1D916C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04B66E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Chua et al., 2019</w:t>
            </w:r>
          </w:p>
        </w:tc>
      </w:tr>
      <w:tr w:rsidR="008C428E" w:rsidRPr="003B361E" w14:paraId="6324CF92" w14:textId="77777777" w:rsidTr="00160C93">
        <w:trPr>
          <w:trHeight w:val="654"/>
        </w:trPr>
        <w:tc>
          <w:tcPr>
            <w:cnfStyle w:val="001000000000" w:firstRow="0" w:lastRow="0" w:firstColumn="1" w:lastColumn="0" w:oddVBand="0" w:evenVBand="0" w:oddHBand="0" w:evenHBand="0" w:firstRowFirstColumn="0" w:firstRowLastColumn="0" w:lastRowFirstColumn="0" w:lastRowLastColumn="0"/>
            <w:tcW w:w="3170" w:type="dxa"/>
          </w:tcPr>
          <w:p w14:paraId="627D33A4" w14:textId="77777777" w:rsidR="008C428E" w:rsidRDefault="008C428E" w:rsidP="00160C93">
            <w:pPr>
              <w:jc w:val="right"/>
              <w:rPr>
                <w:bCs w:val="0"/>
              </w:rPr>
            </w:pPr>
            <w:r>
              <w:rPr>
                <w:b w:val="0"/>
              </w:rPr>
              <w:t>P</w:t>
            </w:r>
            <w:r w:rsidRPr="003B361E">
              <w:rPr>
                <w:b w:val="0"/>
              </w:rPr>
              <w:t>redictive models</w:t>
            </w:r>
            <w:r>
              <w:rPr>
                <w:b w:val="0"/>
              </w:rPr>
              <w:t xml:space="preserve"> of future climate change impacts</w:t>
            </w:r>
            <w:r w:rsidRPr="003B361E">
              <w:rPr>
                <w:b w:val="0"/>
              </w:rPr>
              <w:t xml:space="preserve"> </w:t>
            </w:r>
          </w:p>
          <w:p w14:paraId="78331861" w14:textId="77777777" w:rsidR="008C428E" w:rsidRDefault="008C428E" w:rsidP="00160C93">
            <w:pPr>
              <w:jc w:val="right"/>
              <w:rPr>
                <w:b w:val="0"/>
              </w:rPr>
            </w:pPr>
          </w:p>
        </w:tc>
        <w:tc>
          <w:tcPr>
            <w:tcW w:w="947" w:type="dxa"/>
          </w:tcPr>
          <w:p w14:paraId="5B3B4077"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1</w:t>
            </w:r>
          </w:p>
        </w:tc>
        <w:tc>
          <w:tcPr>
            <w:tcW w:w="7276" w:type="dxa"/>
          </w:tcPr>
          <w:p w14:paraId="0B24FF8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In the UK, improved models of future climate change impacts should incorporate the many drivers for change (including climate) for a range of vector-borne diseases; in addition to climate-based models, vector models should focus on land-use and its change and host distributions and abundance.</w:t>
            </w:r>
          </w:p>
          <w:p w14:paraId="256CBAC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tc>
        <w:tc>
          <w:tcPr>
            <w:tcW w:w="1567" w:type="dxa"/>
          </w:tcPr>
          <w:p w14:paraId="57458BF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Medlock and Leach, 2015</w:t>
            </w:r>
          </w:p>
          <w:p w14:paraId="2216E390" w14:textId="77777777" w:rsidR="008C428E" w:rsidRPr="00651BF5"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tc>
      </w:tr>
      <w:tr w:rsidR="008C428E" w:rsidRPr="003B361E" w14:paraId="6F6A1AE8" w14:textId="77777777" w:rsidTr="00160C93">
        <w:trPr>
          <w:trHeight w:val="654"/>
        </w:trPr>
        <w:tc>
          <w:tcPr>
            <w:cnfStyle w:val="001000000000" w:firstRow="0" w:lastRow="0" w:firstColumn="1" w:lastColumn="0" w:oddVBand="0" w:evenVBand="0" w:oddHBand="0" w:evenHBand="0" w:firstRowFirstColumn="0" w:firstRowLastColumn="0" w:lastRowFirstColumn="0" w:lastRowLastColumn="0"/>
            <w:tcW w:w="3170" w:type="dxa"/>
          </w:tcPr>
          <w:p w14:paraId="163C0017" w14:textId="77777777" w:rsidR="008C428E" w:rsidRDefault="008C428E" w:rsidP="00160C93">
            <w:pPr>
              <w:jc w:val="right"/>
              <w:rPr>
                <w:bCs w:val="0"/>
              </w:rPr>
            </w:pPr>
            <w:r>
              <w:rPr>
                <w:b w:val="0"/>
              </w:rPr>
              <w:lastRenderedPageBreak/>
              <w:t>E</w:t>
            </w:r>
            <w:r w:rsidRPr="003B361E">
              <w:rPr>
                <w:b w:val="0"/>
              </w:rPr>
              <w:t xml:space="preserve">nhanced vector control </w:t>
            </w:r>
          </w:p>
          <w:p w14:paraId="16DC22FD" w14:textId="77777777" w:rsidR="008C428E" w:rsidRPr="003B361E" w:rsidRDefault="008C428E" w:rsidP="00160C93">
            <w:pPr>
              <w:jc w:val="right"/>
              <w:rPr>
                <w:bCs w:val="0"/>
              </w:rPr>
            </w:pPr>
          </w:p>
        </w:tc>
        <w:tc>
          <w:tcPr>
            <w:tcW w:w="947" w:type="dxa"/>
          </w:tcPr>
          <w:p w14:paraId="1636F2F8"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2</w:t>
            </w:r>
          </w:p>
        </w:tc>
        <w:tc>
          <w:tcPr>
            <w:tcW w:w="7276" w:type="dxa"/>
          </w:tcPr>
          <w:p w14:paraId="5513CA4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In the UK, targeted wetland management approaches might be an option to control mosquito habitats; new habitats designed as part of climate-change adaptation (to address flooding and mitigate storm surges) should be assessed in terms of environmental effect and future disease risk from mosquitoes and should include plans to mitigate nuisance or vector mosquitoes. </w:t>
            </w:r>
          </w:p>
          <w:p w14:paraId="7343790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E87EC91"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Community-based adaptation strategies include those that address</w:t>
            </w:r>
            <w:r w:rsidRPr="00AE213F">
              <w:rPr>
                <w:sz w:val="22"/>
                <w:szCs w:val="22"/>
              </w:rPr>
              <w:t xml:space="preserve"> </w:t>
            </w:r>
            <w:r>
              <w:rPr>
                <w:sz w:val="22"/>
                <w:szCs w:val="22"/>
              </w:rPr>
              <w:t>h</w:t>
            </w:r>
            <w:r w:rsidRPr="00AE213F">
              <w:rPr>
                <w:sz w:val="22"/>
                <w:szCs w:val="22"/>
              </w:rPr>
              <w:t>ousing and the domestic environmen</w:t>
            </w:r>
            <w:r>
              <w:rPr>
                <w:sz w:val="22"/>
                <w:szCs w:val="22"/>
              </w:rPr>
              <w:t>t, m</w:t>
            </w:r>
            <w:r w:rsidRPr="00AE213F">
              <w:rPr>
                <w:sz w:val="22"/>
                <w:szCs w:val="22"/>
              </w:rPr>
              <w:t>odifying natural environments</w:t>
            </w:r>
            <w:r>
              <w:rPr>
                <w:sz w:val="22"/>
                <w:szCs w:val="22"/>
              </w:rPr>
              <w:t>, a</w:t>
            </w:r>
            <w:r w:rsidRPr="00AE213F">
              <w:rPr>
                <w:sz w:val="22"/>
                <w:szCs w:val="22"/>
              </w:rPr>
              <w:t>nimal-based interventions</w:t>
            </w:r>
            <w:r>
              <w:rPr>
                <w:sz w:val="22"/>
                <w:szCs w:val="22"/>
              </w:rPr>
              <w:t>,</w:t>
            </w:r>
            <w:r w:rsidRPr="00AE213F">
              <w:rPr>
                <w:sz w:val="22"/>
                <w:szCs w:val="22"/>
              </w:rPr>
              <w:t xml:space="preserve"> </w:t>
            </w:r>
            <w:r>
              <w:rPr>
                <w:sz w:val="22"/>
                <w:szCs w:val="22"/>
              </w:rPr>
              <w:t>w</w:t>
            </w:r>
            <w:r w:rsidRPr="00AE213F">
              <w:rPr>
                <w:sz w:val="22"/>
                <w:szCs w:val="22"/>
              </w:rPr>
              <w:t>ater, sanitation and hygiene (WASH)</w:t>
            </w:r>
            <w:r>
              <w:rPr>
                <w:sz w:val="22"/>
                <w:szCs w:val="22"/>
              </w:rPr>
              <w:t>, c</w:t>
            </w:r>
            <w:r w:rsidRPr="00AE213F">
              <w:rPr>
                <w:sz w:val="22"/>
                <w:szCs w:val="22"/>
              </w:rPr>
              <w:t>hemical vector control</w:t>
            </w:r>
            <w:r>
              <w:rPr>
                <w:sz w:val="22"/>
                <w:szCs w:val="22"/>
              </w:rPr>
              <w:t>,</w:t>
            </w:r>
            <w:r w:rsidRPr="00AE213F">
              <w:rPr>
                <w:sz w:val="22"/>
                <w:szCs w:val="22"/>
              </w:rPr>
              <w:t xml:space="preserve"> and </w:t>
            </w:r>
            <w:r>
              <w:rPr>
                <w:sz w:val="22"/>
                <w:szCs w:val="22"/>
              </w:rPr>
              <w:t>a</w:t>
            </w:r>
            <w:r w:rsidRPr="00AE213F">
              <w:rPr>
                <w:sz w:val="22"/>
                <w:szCs w:val="22"/>
              </w:rPr>
              <w:t>ccess to biomedical interventions</w:t>
            </w:r>
            <w:r>
              <w:rPr>
                <w:sz w:val="22"/>
                <w:szCs w:val="22"/>
              </w:rPr>
              <w:t>.</w:t>
            </w:r>
          </w:p>
          <w:p w14:paraId="3F8B78D4"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tc>
        <w:tc>
          <w:tcPr>
            <w:tcW w:w="1567" w:type="dxa"/>
          </w:tcPr>
          <w:p w14:paraId="64A7241F"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Medlock and Leach, 2015</w:t>
            </w:r>
          </w:p>
          <w:p w14:paraId="7B21A18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43FE52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247134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BBAC21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6B5A50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188FD4C" w14:textId="77777777" w:rsidR="008C428E" w:rsidRPr="007B31F8"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7B31F8">
              <w:rPr>
                <w:sz w:val="22"/>
                <w:szCs w:val="22"/>
              </w:rPr>
              <w:t>Bardosh</w:t>
            </w:r>
            <w:proofErr w:type="spellEnd"/>
            <w:r w:rsidRPr="007B31F8">
              <w:rPr>
                <w:sz w:val="22"/>
                <w:szCs w:val="22"/>
              </w:rPr>
              <w:t xml:space="preserve"> et al., 2017</w:t>
            </w:r>
          </w:p>
        </w:tc>
      </w:tr>
      <w:tr w:rsidR="008C428E" w:rsidRPr="003B361E" w14:paraId="3E83C1E1" w14:textId="77777777" w:rsidTr="00160C93">
        <w:trPr>
          <w:trHeight w:val="654"/>
        </w:trPr>
        <w:tc>
          <w:tcPr>
            <w:cnfStyle w:val="001000000000" w:firstRow="0" w:lastRow="0" w:firstColumn="1" w:lastColumn="0" w:oddVBand="0" w:evenVBand="0" w:oddHBand="0" w:evenHBand="0" w:firstRowFirstColumn="0" w:firstRowLastColumn="0" w:lastRowFirstColumn="0" w:lastRowLastColumn="0"/>
            <w:tcW w:w="3170" w:type="dxa"/>
            <w:tcBorders>
              <w:bottom w:val="single" w:sz="2" w:space="0" w:color="C9C9C9" w:themeColor="accent3" w:themeTint="99"/>
            </w:tcBorders>
          </w:tcPr>
          <w:p w14:paraId="54972F5D" w14:textId="77777777" w:rsidR="008C428E" w:rsidRPr="003B361E" w:rsidRDefault="008C428E" w:rsidP="00160C93">
            <w:pPr>
              <w:rPr>
                <w:bCs w:val="0"/>
              </w:rPr>
            </w:pPr>
            <w:r w:rsidRPr="003B361E">
              <w:rPr>
                <w:b w:val="0"/>
              </w:rPr>
              <w:t>Health systems strengthening</w:t>
            </w:r>
          </w:p>
        </w:tc>
        <w:tc>
          <w:tcPr>
            <w:tcW w:w="947" w:type="dxa"/>
            <w:tcBorders>
              <w:bottom w:val="single" w:sz="2" w:space="0" w:color="C9C9C9" w:themeColor="accent3" w:themeTint="99"/>
            </w:tcBorders>
          </w:tcPr>
          <w:p w14:paraId="4700F101"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1</w:t>
            </w:r>
          </w:p>
        </w:tc>
        <w:tc>
          <w:tcPr>
            <w:tcW w:w="7276" w:type="dxa"/>
            <w:tcBorders>
              <w:bottom w:val="single" w:sz="2" w:space="0" w:color="C9C9C9" w:themeColor="accent3" w:themeTint="99"/>
            </w:tcBorders>
          </w:tcPr>
          <w:p w14:paraId="0A2A94A0"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AE213F">
              <w:rPr>
                <w:sz w:val="22"/>
                <w:szCs w:val="22"/>
              </w:rPr>
              <w:t>The core capacities of countries’ health-care systems, as outlined by WHO’s International Health Regulations, have been shown to be effective predictors of protection against disease outbreak, with further data required to confirm any long-term shift.</w:t>
            </w:r>
          </w:p>
        </w:tc>
        <w:tc>
          <w:tcPr>
            <w:tcW w:w="1567" w:type="dxa"/>
            <w:tcBorders>
              <w:bottom w:val="single" w:sz="2" w:space="0" w:color="C9C9C9" w:themeColor="accent3" w:themeTint="99"/>
            </w:tcBorders>
          </w:tcPr>
          <w:p w14:paraId="1E9468C3" w14:textId="77777777" w:rsidR="008C428E" w:rsidRPr="00AE213F" w:rsidRDefault="008C428E" w:rsidP="00160C93">
            <w:pPr>
              <w:cnfStyle w:val="000000000000" w:firstRow="0" w:lastRow="0" w:firstColumn="0" w:lastColumn="0" w:oddVBand="0" w:evenVBand="0" w:oddHBand="0" w:evenHBand="0" w:firstRowFirstColumn="0" w:firstRowLastColumn="0" w:lastRowFirstColumn="0" w:lastRowLastColumn="0"/>
              <w:rPr>
                <w:b/>
                <w:sz w:val="22"/>
                <w:szCs w:val="22"/>
              </w:rPr>
            </w:pPr>
            <w:r w:rsidRPr="00AE213F">
              <w:rPr>
                <w:sz w:val="22"/>
                <w:szCs w:val="22"/>
              </w:rPr>
              <w:t>Watts et al., 2021</w:t>
            </w:r>
          </w:p>
        </w:tc>
      </w:tr>
      <w:tr w:rsidR="008C428E" w:rsidRPr="003B361E" w14:paraId="08F2501E" w14:textId="77777777" w:rsidTr="00160C93">
        <w:trPr>
          <w:trHeight w:val="654"/>
        </w:trPr>
        <w:tc>
          <w:tcPr>
            <w:cnfStyle w:val="001000000000" w:firstRow="0" w:lastRow="0" w:firstColumn="1" w:lastColumn="0" w:oddVBand="0" w:evenVBand="0" w:oddHBand="0" w:evenHBand="0" w:firstRowFirstColumn="0" w:firstRowLastColumn="0" w:lastRowFirstColumn="0" w:lastRowLastColumn="0"/>
            <w:tcW w:w="3170" w:type="dxa"/>
            <w:shd w:val="clear" w:color="auto" w:fill="BFBFBF" w:themeFill="background1" w:themeFillShade="BF"/>
          </w:tcPr>
          <w:p w14:paraId="5FB1A1B0" w14:textId="77777777" w:rsidR="008C428E" w:rsidRPr="003B361E" w:rsidRDefault="008C428E" w:rsidP="00160C93">
            <w:pPr>
              <w:rPr>
                <w:bCs w:val="0"/>
              </w:rPr>
            </w:pPr>
            <w:r w:rsidRPr="003B361E">
              <w:t>Dengue</w:t>
            </w:r>
          </w:p>
        </w:tc>
        <w:tc>
          <w:tcPr>
            <w:tcW w:w="947" w:type="dxa"/>
            <w:shd w:val="clear" w:color="auto" w:fill="BFBFBF" w:themeFill="background1" w:themeFillShade="BF"/>
          </w:tcPr>
          <w:p w14:paraId="3C94CBAF"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rPr>
                <w:b/>
                <w:bCs/>
              </w:rPr>
              <w:t>No.</w:t>
            </w:r>
            <w:r w:rsidRPr="003B361E">
              <w:rPr>
                <w:b/>
                <w:bCs/>
              </w:rPr>
              <w:t xml:space="preserve"> articles </w:t>
            </w:r>
          </w:p>
        </w:tc>
        <w:tc>
          <w:tcPr>
            <w:tcW w:w="7276" w:type="dxa"/>
            <w:shd w:val="clear" w:color="auto" w:fill="BFBFBF" w:themeFill="background1" w:themeFillShade="BF"/>
          </w:tcPr>
          <w:p w14:paraId="3356BDE2"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b/>
                <w:bCs/>
                <w:szCs w:val="22"/>
              </w:rPr>
            </w:pPr>
            <w:r w:rsidRPr="0011553A">
              <w:rPr>
                <w:b/>
                <w:bCs/>
                <w:szCs w:val="22"/>
              </w:rPr>
              <w:t>Results</w:t>
            </w:r>
          </w:p>
          <w:p w14:paraId="21BF619E"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tc>
        <w:tc>
          <w:tcPr>
            <w:tcW w:w="1567" w:type="dxa"/>
            <w:shd w:val="clear" w:color="auto" w:fill="BFBFBF" w:themeFill="background1" w:themeFillShade="BF"/>
          </w:tcPr>
          <w:p w14:paraId="4610AE0F"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b/>
                <w:bCs/>
                <w:szCs w:val="22"/>
              </w:rPr>
              <w:t>Citations</w:t>
            </w:r>
          </w:p>
        </w:tc>
      </w:tr>
      <w:tr w:rsidR="008C428E" w:rsidRPr="003B361E" w14:paraId="00ED7BD2" w14:textId="77777777" w:rsidTr="00160C93">
        <w:trPr>
          <w:trHeight w:val="692"/>
        </w:trPr>
        <w:tc>
          <w:tcPr>
            <w:cnfStyle w:val="001000000000" w:firstRow="0" w:lastRow="0" w:firstColumn="1" w:lastColumn="0" w:oddVBand="0" w:evenVBand="0" w:oddHBand="0" w:evenHBand="0" w:firstRowFirstColumn="0" w:firstRowLastColumn="0" w:lastRowFirstColumn="0" w:lastRowLastColumn="0"/>
            <w:tcW w:w="3170" w:type="dxa"/>
          </w:tcPr>
          <w:p w14:paraId="52F83A22" w14:textId="77777777" w:rsidR="008C428E" w:rsidRDefault="008C428E" w:rsidP="00160C93">
            <w:pPr>
              <w:rPr>
                <w:b w:val="0"/>
                <w:bCs w:val="0"/>
              </w:rPr>
            </w:pPr>
            <w:r w:rsidRPr="003B361E">
              <w:t>Climate Impacts</w:t>
            </w:r>
          </w:p>
          <w:p w14:paraId="17DAFCC7" w14:textId="77777777" w:rsidR="008C428E" w:rsidRPr="003B361E" w:rsidRDefault="008C428E" w:rsidP="00160C93">
            <w:pPr>
              <w:rPr>
                <w:bCs w:val="0"/>
              </w:rPr>
            </w:pPr>
          </w:p>
          <w:p w14:paraId="47200A47" w14:textId="77777777" w:rsidR="008C428E" w:rsidRPr="003B361E" w:rsidRDefault="008C428E" w:rsidP="00160C93">
            <w:r>
              <w:rPr>
                <w:b w:val="0"/>
              </w:rPr>
              <w:t>Climate/weather-disease associations</w:t>
            </w:r>
          </w:p>
        </w:tc>
        <w:tc>
          <w:tcPr>
            <w:tcW w:w="947" w:type="dxa"/>
          </w:tcPr>
          <w:p w14:paraId="3337112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629A947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5F3F282B"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rPr>
                <w:b/>
                <w:bCs/>
              </w:rPr>
            </w:pPr>
            <w:r>
              <w:t>13</w:t>
            </w:r>
          </w:p>
        </w:tc>
        <w:tc>
          <w:tcPr>
            <w:tcW w:w="7276" w:type="dxa"/>
          </w:tcPr>
          <w:p w14:paraId="14F4F2A2"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In South America, there was a positive association between precipitation, temperature and humidity and dengue incidence, and the presence of larvae of A. aegypti with the El Niño phenomenon.</w:t>
            </w:r>
          </w:p>
          <w:p w14:paraId="140CF1BE"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FA2C50A"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In </w:t>
            </w:r>
            <w:proofErr w:type="spellStart"/>
            <w:r w:rsidRPr="0011553A">
              <w:rPr>
                <w:sz w:val="22"/>
                <w:szCs w:val="22"/>
              </w:rPr>
              <w:t>Peurto</w:t>
            </w:r>
            <w:proofErr w:type="spellEnd"/>
            <w:r w:rsidRPr="0011553A">
              <w:rPr>
                <w:sz w:val="22"/>
                <w:szCs w:val="22"/>
              </w:rPr>
              <w:t xml:space="preserve"> Rico, there was a positive association between monthly variations in temperature, precipitation, and dengue incidence. The effect of temperature on dengue incidence was highest in Puerto Rico’s mountainous area, while the effect of precipitation was greatest in the southwestern coastal region.</w:t>
            </w:r>
          </w:p>
          <w:p w14:paraId="326DE142"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C676589"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In Europe, temperature seems to be the most important factor for the establishment and dynamics of </w:t>
            </w:r>
            <w:r w:rsidRPr="0011553A">
              <w:rPr>
                <w:i/>
                <w:sz w:val="22"/>
                <w:szCs w:val="22"/>
              </w:rPr>
              <w:t xml:space="preserve">Ae. </w:t>
            </w:r>
            <w:proofErr w:type="spellStart"/>
            <w:r w:rsidRPr="0011553A">
              <w:rPr>
                <w:i/>
                <w:sz w:val="22"/>
                <w:szCs w:val="22"/>
              </w:rPr>
              <w:t>albopictus</w:t>
            </w:r>
            <w:proofErr w:type="spellEnd"/>
            <w:r w:rsidRPr="0011553A">
              <w:rPr>
                <w:sz w:val="22"/>
                <w:szCs w:val="22"/>
              </w:rPr>
              <w:t>. Winter temperatures limit its distribution range to areas with temperatures above 0 C.</w:t>
            </w:r>
          </w:p>
          <w:p w14:paraId="65AF1A53"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991CF07"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In Pakistan, the highest dengue cases occur during July–September with more rainfall, optimum temperature and humidity, providing a conducive environment for breeding, survival and growth of </w:t>
            </w:r>
            <w:proofErr w:type="spellStart"/>
            <w:r w:rsidRPr="0011553A">
              <w:rPr>
                <w:sz w:val="22"/>
                <w:szCs w:val="22"/>
              </w:rPr>
              <w:t>Aedes</w:t>
            </w:r>
            <w:proofErr w:type="spellEnd"/>
            <w:r w:rsidRPr="0011553A">
              <w:rPr>
                <w:sz w:val="22"/>
                <w:szCs w:val="22"/>
              </w:rPr>
              <w:t xml:space="preserve"> mosquitoes.</w:t>
            </w:r>
          </w:p>
          <w:p w14:paraId="39BFF019"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36ABD89"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lastRenderedPageBreak/>
              <w:t>In China, temperature, precipitation, humidity and air pressure were considered as major weather factors for dengue fever transmission</w:t>
            </w:r>
            <w:r>
              <w:rPr>
                <w:sz w:val="22"/>
                <w:szCs w:val="22"/>
              </w:rPr>
              <w:t>; the</w:t>
            </w:r>
            <w:r w:rsidRPr="0011553A">
              <w:rPr>
                <w:sz w:val="22"/>
                <w:szCs w:val="22"/>
              </w:rPr>
              <w:t xml:space="preserve"> climate-DF association depends largely on local climate conditions. Ae. </w:t>
            </w:r>
            <w:proofErr w:type="spellStart"/>
            <w:r w:rsidRPr="0011553A">
              <w:rPr>
                <w:sz w:val="22"/>
                <w:szCs w:val="22"/>
              </w:rPr>
              <w:t>albopictus</w:t>
            </w:r>
            <w:proofErr w:type="spellEnd"/>
            <w:r w:rsidRPr="0011553A">
              <w:rPr>
                <w:sz w:val="22"/>
                <w:szCs w:val="22"/>
              </w:rPr>
              <w:t xml:space="preserve"> have extended their geographic range to </w:t>
            </w:r>
            <w:r>
              <w:rPr>
                <w:sz w:val="22"/>
                <w:szCs w:val="22"/>
              </w:rPr>
              <w:t>with</w:t>
            </w:r>
            <w:r w:rsidRPr="0011553A">
              <w:rPr>
                <w:sz w:val="22"/>
                <w:szCs w:val="22"/>
              </w:rPr>
              <w:t xml:space="preserve"> an annual mean temperature below 11°C and a January mean temperature below -5°C highlighting that most provinces and cities in China now </w:t>
            </w:r>
            <w:r>
              <w:rPr>
                <w:sz w:val="22"/>
                <w:szCs w:val="22"/>
              </w:rPr>
              <w:t>at risk for dengue</w:t>
            </w:r>
            <w:r w:rsidRPr="0011553A">
              <w:rPr>
                <w:sz w:val="22"/>
                <w:szCs w:val="22"/>
              </w:rPr>
              <w:t>.</w:t>
            </w:r>
          </w:p>
          <w:p w14:paraId="00F5EB11" w14:textId="77777777" w:rsidR="008C428E" w:rsidRPr="00BE09FD" w:rsidRDefault="008C428E" w:rsidP="00160C93">
            <w:pPr>
              <w:cnfStyle w:val="000000000000" w:firstRow="0" w:lastRow="0" w:firstColumn="0" w:lastColumn="0" w:oddVBand="0" w:evenVBand="0" w:oddHBand="0" w:evenHBand="0" w:firstRowFirstColumn="0" w:firstRowLastColumn="0" w:lastRowFirstColumn="0" w:lastRowLastColumn="0"/>
              <w:rPr>
                <w:sz w:val="28"/>
                <w:szCs w:val="22"/>
              </w:rPr>
            </w:pPr>
          </w:p>
          <w:p w14:paraId="7547AAC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1"/>
              </w:rPr>
            </w:pPr>
            <w:r w:rsidRPr="00BE09FD">
              <w:rPr>
                <w:sz w:val="21"/>
              </w:rPr>
              <w:t>In the Asia-Pacific region, dengue outbreaks coincide with wet season; positive associations between dengue incidence and precipitation were reported in many countrie</w:t>
            </w:r>
            <w:r>
              <w:rPr>
                <w:sz w:val="21"/>
              </w:rPr>
              <w:t>s; s</w:t>
            </w:r>
            <w:r w:rsidRPr="00BE09FD">
              <w:rPr>
                <w:sz w:val="21"/>
              </w:rPr>
              <w:t>patial variation in the ENSO–dengue relationship was observed across countries.</w:t>
            </w:r>
          </w:p>
          <w:p w14:paraId="596FE96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55976D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Nepal, </w:t>
            </w:r>
            <w:r w:rsidRPr="00BE09FD">
              <w:rPr>
                <w:sz w:val="22"/>
                <w:szCs w:val="22"/>
              </w:rPr>
              <w:t>DENV and its vector Ae. aegypti have expand</w:t>
            </w:r>
            <w:r>
              <w:rPr>
                <w:sz w:val="22"/>
                <w:szCs w:val="22"/>
              </w:rPr>
              <w:t>ed</w:t>
            </w:r>
            <w:r w:rsidRPr="00BE09FD">
              <w:rPr>
                <w:sz w:val="22"/>
                <w:szCs w:val="22"/>
              </w:rPr>
              <w:t xml:space="preserve"> across the country</w:t>
            </w:r>
            <w:r>
              <w:rPr>
                <w:sz w:val="22"/>
                <w:szCs w:val="22"/>
              </w:rPr>
              <w:t xml:space="preserve"> in conjunction with</w:t>
            </w:r>
            <w:r w:rsidRPr="00BE09FD">
              <w:rPr>
                <w:sz w:val="22"/>
                <w:szCs w:val="22"/>
              </w:rPr>
              <w:t xml:space="preserve"> pronounced warming in the mountains </w:t>
            </w:r>
            <w:r>
              <w:rPr>
                <w:sz w:val="22"/>
                <w:szCs w:val="22"/>
              </w:rPr>
              <w:t xml:space="preserve">regions </w:t>
            </w:r>
            <w:r w:rsidRPr="00BE09FD">
              <w:rPr>
                <w:sz w:val="22"/>
                <w:szCs w:val="22"/>
              </w:rPr>
              <w:t>2,000 m above sea level</w:t>
            </w:r>
            <w:r>
              <w:rPr>
                <w:sz w:val="22"/>
                <w:szCs w:val="22"/>
              </w:rPr>
              <w:t>.</w:t>
            </w:r>
          </w:p>
          <w:p w14:paraId="443039C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92602F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BE09FD">
              <w:rPr>
                <w:sz w:val="22"/>
                <w:szCs w:val="22"/>
              </w:rPr>
              <w:t>In Malaysia, several studies found that temperature and rainfall significantly influenced dengue trends at different lag periods</w:t>
            </w:r>
            <w:r>
              <w:rPr>
                <w:sz w:val="22"/>
                <w:szCs w:val="22"/>
              </w:rPr>
              <w:t>;</w:t>
            </w:r>
            <w:r w:rsidRPr="00BE09FD">
              <w:rPr>
                <w:sz w:val="22"/>
                <w:szCs w:val="22"/>
              </w:rPr>
              <w:t xml:space="preserve"> the highest risk of dengue cases was observed from 21 to 26 °C at a lag of 1-8 weeks</w:t>
            </w:r>
            <w:r>
              <w:rPr>
                <w:sz w:val="22"/>
                <w:szCs w:val="22"/>
              </w:rPr>
              <w:t>.</w:t>
            </w:r>
          </w:p>
          <w:p w14:paraId="124D0FAF"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b/>
                <w:sz w:val="22"/>
                <w:szCs w:val="22"/>
              </w:rPr>
            </w:pPr>
          </w:p>
        </w:tc>
        <w:tc>
          <w:tcPr>
            <w:tcW w:w="1567" w:type="dxa"/>
          </w:tcPr>
          <w:p w14:paraId="315F5E67"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lastRenderedPageBreak/>
              <w:t>López et al., 2018</w:t>
            </w:r>
          </w:p>
          <w:p w14:paraId="32B5673E"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446767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E3C5F65"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1553A">
              <w:rPr>
                <w:sz w:val="22"/>
                <w:szCs w:val="22"/>
              </w:rPr>
              <w:t>Matysiak</w:t>
            </w:r>
            <w:proofErr w:type="spellEnd"/>
            <w:r w:rsidRPr="0011553A">
              <w:rPr>
                <w:sz w:val="22"/>
                <w:szCs w:val="22"/>
              </w:rPr>
              <w:t xml:space="preserve"> and </w:t>
            </w:r>
            <w:proofErr w:type="spellStart"/>
            <w:r w:rsidRPr="0011553A">
              <w:rPr>
                <w:sz w:val="22"/>
                <w:szCs w:val="22"/>
              </w:rPr>
              <w:t>Roess</w:t>
            </w:r>
            <w:proofErr w:type="spellEnd"/>
            <w:r w:rsidRPr="0011553A">
              <w:rPr>
                <w:sz w:val="22"/>
                <w:szCs w:val="22"/>
              </w:rPr>
              <w:t>, 2017</w:t>
            </w:r>
          </w:p>
          <w:p w14:paraId="7D247257"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A436CD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7B34A0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42C9564"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1553A">
              <w:rPr>
                <w:sz w:val="22"/>
                <w:szCs w:val="22"/>
              </w:rPr>
              <w:t>Brugueras</w:t>
            </w:r>
            <w:proofErr w:type="spellEnd"/>
            <w:r w:rsidRPr="0011553A">
              <w:rPr>
                <w:sz w:val="22"/>
                <w:szCs w:val="22"/>
              </w:rPr>
              <w:t xml:space="preserve"> et al., 2020</w:t>
            </w:r>
          </w:p>
          <w:p w14:paraId="3D6BC770"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ACEF0A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Khan et al., 2018, Ahmed et al., 2016 &amp; 2019</w:t>
            </w:r>
          </w:p>
          <w:p w14:paraId="1FF3E049"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9F01647"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lastRenderedPageBreak/>
              <w:t>Li et al., 2018, Bai et al., 2013, Yi et al., 2019</w:t>
            </w:r>
          </w:p>
          <w:p w14:paraId="3A937FC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798E06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EE5F90E"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79070EA"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Filho et al., 2019</w:t>
            </w:r>
            <w:r>
              <w:rPr>
                <w:sz w:val="22"/>
                <w:szCs w:val="22"/>
              </w:rPr>
              <w:t xml:space="preserve">, </w:t>
            </w:r>
            <w:r w:rsidRPr="00BE09FD">
              <w:rPr>
                <w:sz w:val="22"/>
                <w:szCs w:val="22"/>
              </w:rPr>
              <w:t>Banu et al., 2011</w:t>
            </w:r>
          </w:p>
          <w:p w14:paraId="2B48B14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EC4C1D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BE09FD">
              <w:rPr>
                <w:sz w:val="22"/>
                <w:szCs w:val="22"/>
              </w:rPr>
              <w:t>Dhimal</w:t>
            </w:r>
            <w:proofErr w:type="spellEnd"/>
            <w:r w:rsidRPr="00BE09FD">
              <w:rPr>
                <w:sz w:val="22"/>
                <w:szCs w:val="22"/>
              </w:rPr>
              <w:t xml:space="preserve"> et al., 2015</w:t>
            </w:r>
          </w:p>
          <w:p w14:paraId="7D4D038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E8E7678"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A63944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Pr>
                <w:sz w:val="22"/>
                <w:szCs w:val="22"/>
              </w:rPr>
              <w:t>Hii</w:t>
            </w:r>
            <w:proofErr w:type="spellEnd"/>
            <w:r>
              <w:rPr>
                <w:sz w:val="22"/>
                <w:szCs w:val="22"/>
              </w:rPr>
              <w:t xml:space="preserve"> et al., 2016</w:t>
            </w:r>
          </w:p>
          <w:p w14:paraId="293BB0C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1FA4F8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AC9206B"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b/>
                <w:bCs/>
                <w:sz w:val="22"/>
                <w:szCs w:val="22"/>
              </w:rPr>
            </w:pPr>
          </w:p>
        </w:tc>
      </w:tr>
      <w:tr w:rsidR="008C428E" w:rsidRPr="003B361E" w14:paraId="6BC0E6E3" w14:textId="77777777" w:rsidTr="00160C93">
        <w:trPr>
          <w:trHeight w:val="622"/>
        </w:trPr>
        <w:tc>
          <w:tcPr>
            <w:cnfStyle w:val="001000000000" w:firstRow="0" w:lastRow="0" w:firstColumn="1" w:lastColumn="0" w:oddVBand="0" w:evenVBand="0" w:oddHBand="0" w:evenHBand="0" w:firstRowFirstColumn="0" w:firstRowLastColumn="0" w:lastRowFirstColumn="0" w:lastRowLastColumn="0"/>
            <w:tcW w:w="3170" w:type="dxa"/>
          </w:tcPr>
          <w:p w14:paraId="31B3DDB0" w14:textId="77777777" w:rsidR="008C428E" w:rsidRPr="003B361E" w:rsidRDefault="008C428E" w:rsidP="00160C93">
            <w:pPr>
              <w:jc w:val="right"/>
              <w:rPr>
                <w:bCs w:val="0"/>
              </w:rPr>
            </w:pPr>
            <w:r>
              <w:rPr>
                <w:b w:val="0"/>
              </w:rPr>
              <w:lastRenderedPageBreak/>
              <w:t>Climate change impacts on disease risk</w:t>
            </w:r>
          </w:p>
        </w:tc>
        <w:tc>
          <w:tcPr>
            <w:tcW w:w="947" w:type="dxa"/>
          </w:tcPr>
          <w:p w14:paraId="5C4C7DD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7D843200"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8</w:t>
            </w:r>
          </w:p>
        </w:tc>
        <w:tc>
          <w:tcPr>
            <w:tcW w:w="7276" w:type="dxa"/>
          </w:tcPr>
          <w:p w14:paraId="537F1572"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Dengue prevalence will increase due to the effects of CC in several African countries in Southern and Central Africa.</w:t>
            </w:r>
          </w:p>
          <w:p w14:paraId="4D66A289"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5763FBA"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In South America, an extension of the latitudinal range of dispersion of </w:t>
            </w:r>
            <w:proofErr w:type="spellStart"/>
            <w:r w:rsidRPr="0011553A">
              <w:rPr>
                <w:sz w:val="22"/>
                <w:szCs w:val="22"/>
              </w:rPr>
              <w:t>Aedes</w:t>
            </w:r>
            <w:proofErr w:type="spellEnd"/>
            <w:r w:rsidRPr="0011553A">
              <w:rPr>
                <w:sz w:val="22"/>
                <w:szCs w:val="22"/>
              </w:rPr>
              <w:t xml:space="preserve"> </w:t>
            </w:r>
            <w:proofErr w:type="spellStart"/>
            <w:r w:rsidRPr="0011553A">
              <w:rPr>
                <w:sz w:val="22"/>
                <w:szCs w:val="22"/>
              </w:rPr>
              <w:t>aegypti</w:t>
            </w:r>
            <w:proofErr w:type="spellEnd"/>
            <w:r w:rsidRPr="0011553A">
              <w:rPr>
                <w:sz w:val="22"/>
                <w:szCs w:val="22"/>
              </w:rPr>
              <w:t xml:space="preserve"> is expected with spread from tropical zones to temperate zones.</w:t>
            </w:r>
          </w:p>
          <w:p w14:paraId="5477BA3B"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030466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In Puerto Rico the incidence of dengue has been relatively constant over time, despite global warming, possibly due to declining rainfall, improving health care and minimal changes in population size.</w:t>
            </w:r>
          </w:p>
          <w:p w14:paraId="270A60A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42B6C3E"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In Europe, studies suggest a possible increase in epidemic potential with a south to north gradient by the end of 21st century, with an increase in climatically suitable areas for the establishment of </w:t>
            </w:r>
            <w:r w:rsidRPr="0011553A">
              <w:rPr>
                <w:i/>
                <w:sz w:val="22"/>
                <w:szCs w:val="22"/>
              </w:rPr>
              <w:t xml:space="preserve">Ae. </w:t>
            </w:r>
            <w:proofErr w:type="spellStart"/>
            <w:r w:rsidRPr="0011553A">
              <w:rPr>
                <w:i/>
                <w:sz w:val="22"/>
                <w:szCs w:val="22"/>
              </w:rPr>
              <w:t>albopictus</w:t>
            </w:r>
            <w:proofErr w:type="spellEnd"/>
            <w:r w:rsidRPr="0011553A">
              <w:rPr>
                <w:sz w:val="22"/>
                <w:szCs w:val="22"/>
              </w:rPr>
              <w:t xml:space="preserve"> in western, central and eastern Europe, and a decline in southern Europe by 2050 and </w:t>
            </w:r>
            <w:r w:rsidRPr="0011553A">
              <w:rPr>
                <w:sz w:val="22"/>
                <w:szCs w:val="22"/>
              </w:rPr>
              <w:lastRenderedPageBreak/>
              <w:t>until 2100. An increasing risk for DENV is predicted, especially around the Mediterranean and Adriatic coasts, towards the end of 21st century.</w:t>
            </w:r>
          </w:p>
          <w:p w14:paraId="20E4647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4EFBA57"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Climate change assessments predict that southeast England will become more suitable for the establishment of </w:t>
            </w:r>
            <w:r w:rsidRPr="0011553A">
              <w:rPr>
                <w:i/>
                <w:sz w:val="22"/>
                <w:szCs w:val="22"/>
              </w:rPr>
              <w:t xml:space="preserve">Ae. </w:t>
            </w:r>
            <w:proofErr w:type="spellStart"/>
            <w:r w:rsidRPr="0011553A">
              <w:rPr>
                <w:i/>
                <w:sz w:val="22"/>
                <w:szCs w:val="22"/>
              </w:rPr>
              <w:t>albopictus</w:t>
            </w:r>
            <w:proofErr w:type="spellEnd"/>
            <w:r w:rsidRPr="0011553A">
              <w:rPr>
                <w:i/>
                <w:sz w:val="22"/>
                <w:szCs w:val="22"/>
              </w:rPr>
              <w:t>, while c</w:t>
            </w:r>
            <w:r w:rsidRPr="0011553A">
              <w:rPr>
                <w:sz w:val="22"/>
                <w:szCs w:val="22"/>
              </w:rPr>
              <w:t xml:space="preserve">olonization by </w:t>
            </w:r>
            <w:r w:rsidRPr="0011553A">
              <w:rPr>
                <w:i/>
                <w:sz w:val="22"/>
                <w:szCs w:val="22"/>
              </w:rPr>
              <w:t>Ae. aegypti</w:t>
            </w:r>
            <w:r w:rsidRPr="0011553A">
              <w:rPr>
                <w:sz w:val="22"/>
                <w:szCs w:val="22"/>
              </w:rPr>
              <w:t xml:space="preserve"> is not expected to become established up to 2100.</w:t>
            </w:r>
          </w:p>
          <w:p w14:paraId="2BCC9EE2" w14:textId="77777777" w:rsidR="008C428E" w:rsidRPr="0011553A" w:rsidRDefault="008C428E" w:rsidP="00160C93">
            <w:pPr>
              <w:ind w:left="360"/>
              <w:cnfStyle w:val="000000000000" w:firstRow="0" w:lastRow="0" w:firstColumn="0" w:lastColumn="0" w:oddVBand="0" w:evenVBand="0" w:oddHBand="0" w:evenHBand="0" w:firstRowFirstColumn="0" w:firstRowLastColumn="0" w:lastRowFirstColumn="0" w:lastRowLastColumn="0"/>
              <w:rPr>
                <w:sz w:val="22"/>
                <w:szCs w:val="22"/>
              </w:rPr>
            </w:pPr>
          </w:p>
          <w:p w14:paraId="63F8009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In China, projections of DF using climate models suggest an increase in the number of days per year and total area conducive to DF transmission due to climate change.</w:t>
            </w:r>
          </w:p>
          <w:p w14:paraId="3C3AAAE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1BBD6F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08659D">
              <w:rPr>
                <w:sz w:val="22"/>
                <w:szCs w:val="22"/>
              </w:rPr>
              <w:t xml:space="preserve">From 1950 to 2018, the global climate suitability for the transmission of dengue increased by 8·9% for </w:t>
            </w:r>
            <w:proofErr w:type="spellStart"/>
            <w:r w:rsidRPr="0008659D">
              <w:rPr>
                <w:sz w:val="22"/>
                <w:szCs w:val="22"/>
              </w:rPr>
              <w:t>Aedes</w:t>
            </w:r>
            <w:proofErr w:type="spellEnd"/>
            <w:r w:rsidRPr="0008659D">
              <w:rPr>
                <w:sz w:val="22"/>
                <w:szCs w:val="22"/>
              </w:rPr>
              <w:t xml:space="preserve"> </w:t>
            </w:r>
            <w:proofErr w:type="spellStart"/>
            <w:r w:rsidRPr="0008659D">
              <w:rPr>
                <w:sz w:val="22"/>
                <w:szCs w:val="22"/>
              </w:rPr>
              <w:t>aegypti</w:t>
            </w:r>
            <w:proofErr w:type="spellEnd"/>
            <w:r w:rsidRPr="0008659D">
              <w:rPr>
                <w:sz w:val="22"/>
                <w:szCs w:val="22"/>
              </w:rPr>
              <w:t xml:space="preserve"> and 15·0% for </w:t>
            </w:r>
            <w:proofErr w:type="spellStart"/>
            <w:r w:rsidRPr="0008659D">
              <w:rPr>
                <w:sz w:val="22"/>
                <w:szCs w:val="22"/>
              </w:rPr>
              <w:t>Aedes</w:t>
            </w:r>
            <w:proofErr w:type="spellEnd"/>
            <w:r w:rsidRPr="0008659D">
              <w:rPr>
                <w:sz w:val="22"/>
                <w:szCs w:val="22"/>
              </w:rPr>
              <w:t xml:space="preserve"> </w:t>
            </w:r>
            <w:proofErr w:type="spellStart"/>
            <w:r w:rsidRPr="0008659D">
              <w:rPr>
                <w:sz w:val="22"/>
                <w:szCs w:val="22"/>
              </w:rPr>
              <w:t>albopictus</w:t>
            </w:r>
            <w:proofErr w:type="spellEnd"/>
            <w:r w:rsidRPr="0008659D">
              <w:rPr>
                <w:sz w:val="22"/>
                <w:szCs w:val="22"/>
              </w:rPr>
              <w:t xml:space="preserve">. 2018 was particularly </w:t>
            </w:r>
            <w:proofErr w:type="spellStart"/>
            <w:r w:rsidRPr="0008659D">
              <w:rPr>
                <w:sz w:val="22"/>
                <w:szCs w:val="22"/>
              </w:rPr>
              <w:t>favourable</w:t>
            </w:r>
            <w:proofErr w:type="spellEnd"/>
            <w:r w:rsidRPr="0008659D">
              <w:rPr>
                <w:sz w:val="22"/>
                <w:szCs w:val="22"/>
              </w:rPr>
              <w:t xml:space="preserve"> for the transmission of dengue, with a global rise in </w:t>
            </w:r>
            <w:proofErr w:type="spellStart"/>
            <w:r w:rsidRPr="0008659D">
              <w:rPr>
                <w:sz w:val="22"/>
                <w:szCs w:val="22"/>
              </w:rPr>
              <w:t>vectorial</w:t>
            </w:r>
            <w:proofErr w:type="spellEnd"/>
            <w:r w:rsidRPr="0008659D">
              <w:rPr>
                <w:sz w:val="22"/>
                <w:szCs w:val="22"/>
              </w:rPr>
              <w:t xml:space="preserve"> capacity of 8·9% for A aegypti and 15·0% for A </w:t>
            </w:r>
            <w:proofErr w:type="spellStart"/>
            <w:r w:rsidRPr="0008659D">
              <w:rPr>
                <w:sz w:val="22"/>
                <w:szCs w:val="22"/>
              </w:rPr>
              <w:t>albopictus</w:t>
            </w:r>
            <w:proofErr w:type="spellEnd"/>
            <w:r w:rsidRPr="0008659D">
              <w:rPr>
                <w:sz w:val="22"/>
                <w:szCs w:val="22"/>
              </w:rPr>
              <w:t xml:space="preserve"> compared with a 1950s baseline. Although average suitability for dengue remained low in Europe, 2018 was the most suitable year yet recorded for both vector species in this region, with a change from the 1950s baseline of 25·8% for A aegypti and 40·7% for A </w:t>
            </w:r>
            <w:proofErr w:type="spellStart"/>
            <w:r w:rsidRPr="0008659D">
              <w:rPr>
                <w:sz w:val="22"/>
                <w:szCs w:val="22"/>
              </w:rPr>
              <w:t>albopictus</w:t>
            </w:r>
            <w:proofErr w:type="spellEnd"/>
            <w:r w:rsidRPr="0008659D">
              <w:rPr>
                <w:sz w:val="22"/>
                <w:szCs w:val="22"/>
              </w:rPr>
              <w:t>.</w:t>
            </w:r>
          </w:p>
          <w:p w14:paraId="0E3249D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A46EECE" w14:textId="77777777" w:rsidR="008C428E" w:rsidRPr="0008659D"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w:t>
            </w:r>
            <w:r w:rsidRPr="0008659D">
              <w:rPr>
                <w:sz w:val="22"/>
                <w:szCs w:val="22"/>
              </w:rPr>
              <w:t>he transmission of dengue is highly sensitive to climatic condition</w:t>
            </w:r>
            <w:r>
              <w:rPr>
                <w:sz w:val="22"/>
                <w:szCs w:val="22"/>
              </w:rPr>
              <w:t>; m</w:t>
            </w:r>
            <w:r w:rsidRPr="0008659D">
              <w:rPr>
                <w:sz w:val="22"/>
                <w:szCs w:val="22"/>
              </w:rPr>
              <w:t>inimum, maximum and mean temperatures, relative humidity and rainfall were the most important climate variables that predict dengue</w:t>
            </w:r>
            <w:r>
              <w:rPr>
                <w:sz w:val="22"/>
                <w:szCs w:val="22"/>
              </w:rPr>
              <w:t xml:space="preserve"> incidence,</w:t>
            </w:r>
            <w:r w:rsidRPr="0008659D">
              <w:rPr>
                <w:sz w:val="22"/>
                <w:szCs w:val="22"/>
              </w:rPr>
              <w:t xml:space="preserve"> </w:t>
            </w:r>
            <w:r>
              <w:rPr>
                <w:sz w:val="22"/>
                <w:szCs w:val="22"/>
              </w:rPr>
              <w:t>h</w:t>
            </w:r>
            <w:r w:rsidRPr="0008659D">
              <w:rPr>
                <w:sz w:val="22"/>
                <w:szCs w:val="22"/>
              </w:rPr>
              <w:t>owever, these variables are predictive at specific lags of time.</w:t>
            </w:r>
          </w:p>
          <w:p w14:paraId="4E4435CB"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tc>
        <w:tc>
          <w:tcPr>
            <w:tcW w:w="1567" w:type="dxa"/>
          </w:tcPr>
          <w:p w14:paraId="29D0883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1553A">
              <w:rPr>
                <w:sz w:val="22"/>
                <w:szCs w:val="22"/>
              </w:rPr>
              <w:lastRenderedPageBreak/>
              <w:t>Giesen</w:t>
            </w:r>
            <w:proofErr w:type="spellEnd"/>
            <w:r w:rsidRPr="0011553A">
              <w:rPr>
                <w:sz w:val="22"/>
                <w:szCs w:val="22"/>
              </w:rPr>
              <w:t xml:space="preserve"> et al., 2020</w:t>
            </w:r>
          </w:p>
          <w:p w14:paraId="40073752"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FE2103D"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López et al., 2018</w:t>
            </w:r>
          </w:p>
          <w:p w14:paraId="4E95F0FD"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94B0B6D"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1553A">
              <w:rPr>
                <w:sz w:val="22"/>
                <w:szCs w:val="22"/>
              </w:rPr>
              <w:t>Matysiak</w:t>
            </w:r>
            <w:proofErr w:type="spellEnd"/>
            <w:r w:rsidRPr="0011553A">
              <w:rPr>
                <w:sz w:val="22"/>
                <w:szCs w:val="22"/>
              </w:rPr>
              <w:t xml:space="preserve"> and </w:t>
            </w:r>
            <w:proofErr w:type="spellStart"/>
            <w:r w:rsidRPr="0011553A">
              <w:rPr>
                <w:sz w:val="22"/>
                <w:szCs w:val="22"/>
              </w:rPr>
              <w:t>Roess</w:t>
            </w:r>
            <w:proofErr w:type="spellEnd"/>
            <w:r w:rsidRPr="0011553A">
              <w:rPr>
                <w:sz w:val="22"/>
                <w:szCs w:val="22"/>
              </w:rPr>
              <w:t>, 2017</w:t>
            </w:r>
          </w:p>
          <w:p w14:paraId="7F02358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2CD6414"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C84FE7F"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1553A">
              <w:rPr>
                <w:sz w:val="22"/>
                <w:szCs w:val="22"/>
              </w:rPr>
              <w:t>Brugueras</w:t>
            </w:r>
            <w:proofErr w:type="spellEnd"/>
            <w:r w:rsidRPr="0011553A">
              <w:rPr>
                <w:sz w:val="22"/>
                <w:szCs w:val="22"/>
              </w:rPr>
              <w:t xml:space="preserve"> et al., 2020</w:t>
            </w:r>
          </w:p>
          <w:p w14:paraId="452446E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BC19E1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DDA570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C48B739"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CA9FB4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Medlock and Leach, 2015</w:t>
            </w:r>
          </w:p>
          <w:p w14:paraId="60195FC1"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87B5936"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F1A4E4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Li et al., 2018</w:t>
            </w:r>
          </w:p>
          <w:p w14:paraId="6F38BAB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E60445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E2B990B"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699B458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08659D">
              <w:rPr>
                <w:sz w:val="22"/>
                <w:szCs w:val="22"/>
              </w:rPr>
              <w:t>Watts et al., 2020</w:t>
            </w:r>
          </w:p>
          <w:p w14:paraId="04C7936E"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76FA3B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0E7E17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AC19189"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EF8FF8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170825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4450D5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081D6BE5" w14:textId="77777777" w:rsidR="008C428E" w:rsidRPr="00BE09FD"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8659D">
              <w:rPr>
                <w:sz w:val="22"/>
                <w:szCs w:val="22"/>
              </w:rPr>
              <w:t>Naish</w:t>
            </w:r>
            <w:proofErr w:type="spellEnd"/>
            <w:r w:rsidRPr="0008659D">
              <w:rPr>
                <w:sz w:val="22"/>
                <w:szCs w:val="22"/>
              </w:rPr>
              <w:t xml:space="preserve"> et al., 2014</w:t>
            </w:r>
          </w:p>
        </w:tc>
      </w:tr>
      <w:tr w:rsidR="008C428E" w:rsidRPr="003B361E" w14:paraId="5B2B91DD" w14:textId="77777777" w:rsidTr="00160C93">
        <w:trPr>
          <w:trHeight w:val="622"/>
        </w:trPr>
        <w:tc>
          <w:tcPr>
            <w:cnfStyle w:val="001000000000" w:firstRow="0" w:lastRow="0" w:firstColumn="1" w:lastColumn="0" w:oddVBand="0" w:evenVBand="0" w:oddHBand="0" w:evenHBand="0" w:firstRowFirstColumn="0" w:firstRowLastColumn="0" w:lastRowFirstColumn="0" w:lastRowLastColumn="0"/>
            <w:tcW w:w="3170" w:type="dxa"/>
          </w:tcPr>
          <w:p w14:paraId="6266833B" w14:textId="77777777" w:rsidR="008C428E" w:rsidRDefault="008C428E" w:rsidP="00160C93">
            <w:pPr>
              <w:rPr>
                <w:b w:val="0"/>
                <w:bCs w:val="0"/>
              </w:rPr>
            </w:pPr>
            <w:r w:rsidRPr="003B361E">
              <w:lastRenderedPageBreak/>
              <w:t>Adaptation</w:t>
            </w:r>
            <w:r>
              <w:t xml:space="preserve"> Strategies</w:t>
            </w:r>
          </w:p>
          <w:p w14:paraId="11C55683" w14:textId="77777777" w:rsidR="008C428E" w:rsidRPr="003B361E" w:rsidRDefault="008C428E" w:rsidP="00160C93">
            <w:pPr>
              <w:rPr>
                <w:bCs w:val="0"/>
              </w:rPr>
            </w:pPr>
          </w:p>
          <w:p w14:paraId="5A949E87" w14:textId="77777777" w:rsidR="008C428E" w:rsidRDefault="008C428E" w:rsidP="00160C93">
            <w:pPr>
              <w:jc w:val="right"/>
              <w:rPr>
                <w:bCs w:val="0"/>
              </w:rPr>
            </w:pPr>
            <w:r>
              <w:rPr>
                <w:b w:val="0"/>
              </w:rPr>
              <w:t>E</w:t>
            </w:r>
            <w:r w:rsidRPr="003B361E">
              <w:rPr>
                <w:b w:val="0"/>
              </w:rPr>
              <w:t>nhanced surveillance</w:t>
            </w:r>
          </w:p>
          <w:p w14:paraId="12929110" w14:textId="77777777" w:rsidR="008C428E" w:rsidRPr="003B361E" w:rsidRDefault="008C428E" w:rsidP="00160C93">
            <w:pPr>
              <w:jc w:val="right"/>
              <w:rPr>
                <w:bCs w:val="0"/>
              </w:rPr>
            </w:pPr>
          </w:p>
        </w:tc>
        <w:tc>
          <w:tcPr>
            <w:tcW w:w="947" w:type="dxa"/>
          </w:tcPr>
          <w:p w14:paraId="1BD3DB7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299851F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538CEE08"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2</w:t>
            </w:r>
          </w:p>
        </w:tc>
        <w:tc>
          <w:tcPr>
            <w:tcW w:w="7276" w:type="dxa"/>
          </w:tcPr>
          <w:p w14:paraId="6094946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In the UK, surveillance of endemic and non-native vectors is being done through passive vector surveillance schemes, and will require maintenance and expansion of existing trap networks across the UK, and targeted surveillance for the incursion of non-native invasive vector species. </w:t>
            </w:r>
          </w:p>
          <w:p w14:paraId="3F0F0C8A"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F60D609"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w:t>
            </w:r>
            <w:r w:rsidRPr="0008659D">
              <w:rPr>
                <w:sz w:val="22"/>
                <w:szCs w:val="22"/>
              </w:rPr>
              <w:t xml:space="preserve">ommunity-based </w:t>
            </w:r>
            <w:r>
              <w:rPr>
                <w:sz w:val="22"/>
                <w:szCs w:val="22"/>
              </w:rPr>
              <w:t xml:space="preserve">adaptation </w:t>
            </w:r>
            <w:r w:rsidRPr="0008659D">
              <w:rPr>
                <w:sz w:val="22"/>
                <w:szCs w:val="22"/>
              </w:rPr>
              <w:t xml:space="preserve">activities </w:t>
            </w:r>
            <w:r>
              <w:rPr>
                <w:sz w:val="22"/>
                <w:szCs w:val="22"/>
              </w:rPr>
              <w:t>include</w:t>
            </w:r>
            <w:r w:rsidRPr="0008659D">
              <w:rPr>
                <w:sz w:val="22"/>
                <w:szCs w:val="22"/>
              </w:rPr>
              <w:t xml:space="preserve"> </w:t>
            </w:r>
            <w:r>
              <w:rPr>
                <w:sz w:val="22"/>
                <w:szCs w:val="22"/>
              </w:rPr>
              <w:t>v</w:t>
            </w:r>
            <w:r w:rsidRPr="0008659D">
              <w:rPr>
                <w:sz w:val="22"/>
                <w:szCs w:val="22"/>
              </w:rPr>
              <w:t>ector surveillance and risk mapping</w:t>
            </w:r>
            <w:r>
              <w:rPr>
                <w:sz w:val="22"/>
                <w:szCs w:val="22"/>
              </w:rPr>
              <w:t>.</w:t>
            </w:r>
          </w:p>
        </w:tc>
        <w:tc>
          <w:tcPr>
            <w:tcW w:w="1567" w:type="dxa"/>
          </w:tcPr>
          <w:p w14:paraId="00FFF13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Medlock and Leach, 2015</w:t>
            </w:r>
          </w:p>
          <w:p w14:paraId="75D470B6"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71F4F1BF"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CEB2CE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4525EE16"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8659D">
              <w:rPr>
                <w:sz w:val="22"/>
                <w:szCs w:val="22"/>
              </w:rPr>
              <w:t>Bardosh</w:t>
            </w:r>
            <w:proofErr w:type="spellEnd"/>
            <w:r w:rsidRPr="0008659D">
              <w:rPr>
                <w:sz w:val="22"/>
                <w:szCs w:val="22"/>
              </w:rPr>
              <w:t xml:space="preserve"> et al., 2017</w:t>
            </w:r>
          </w:p>
        </w:tc>
      </w:tr>
      <w:tr w:rsidR="008C428E" w:rsidRPr="003B361E" w14:paraId="1DF5D923" w14:textId="77777777" w:rsidTr="00160C93">
        <w:trPr>
          <w:trHeight w:val="622"/>
        </w:trPr>
        <w:tc>
          <w:tcPr>
            <w:cnfStyle w:val="001000000000" w:firstRow="0" w:lastRow="0" w:firstColumn="1" w:lastColumn="0" w:oddVBand="0" w:evenVBand="0" w:oddHBand="0" w:evenHBand="0" w:firstRowFirstColumn="0" w:firstRowLastColumn="0" w:lastRowFirstColumn="0" w:lastRowLastColumn="0"/>
            <w:tcW w:w="3170" w:type="dxa"/>
          </w:tcPr>
          <w:p w14:paraId="3187BD41" w14:textId="77777777" w:rsidR="008C428E" w:rsidRDefault="008C428E" w:rsidP="00160C93">
            <w:pPr>
              <w:jc w:val="right"/>
              <w:rPr>
                <w:bCs w:val="0"/>
              </w:rPr>
            </w:pPr>
            <w:r>
              <w:rPr>
                <w:b w:val="0"/>
              </w:rPr>
              <w:t>E</w:t>
            </w:r>
            <w:r w:rsidRPr="003B361E">
              <w:rPr>
                <w:b w:val="0"/>
              </w:rPr>
              <w:t>arly warning systems</w:t>
            </w:r>
            <w:r>
              <w:rPr>
                <w:b w:val="0"/>
              </w:rPr>
              <w:t xml:space="preserve"> for outbreak detection</w:t>
            </w:r>
          </w:p>
          <w:p w14:paraId="3F7424A7" w14:textId="77777777" w:rsidR="008C428E" w:rsidRPr="003B361E" w:rsidRDefault="008C428E" w:rsidP="00160C93">
            <w:pPr>
              <w:jc w:val="right"/>
              <w:rPr>
                <w:b w:val="0"/>
              </w:rPr>
            </w:pPr>
          </w:p>
        </w:tc>
        <w:tc>
          <w:tcPr>
            <w:tcW w:w="947" w:type="dxa"/>
          </w:tcPr>
          <w:p w14:paraId="65AF03CA"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06315685"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2</w:t>
            </w:r>
          </w:p>
        </w:tc>
        <w:tc>
          <w:tcPr>
            <w:tcW w:w="7276" w:type="dxa"/>
          </w:tcPr>
          <w:p w14:paraId="2DD0E2A4"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In the UK, it will be necessary to work with environmental organizations to develop vector management plans and forecasting methods to prepare for a </w:t>
            </w:r>
            <w:r w:rsidRPr="0011553A">
              <w:rPr>
                <w:sz w:val="22"/>
                <w:szCs w:val="22"/>
              </w:rPr>
              <w:lastRenderedPageBreak/>
              <w:t xml:space="preserve">disease outbreak resulting from an extreme event. </w:t>
            </w:r>
          </w:p>
          <w:p w14:paraId="41937B8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1F5DA1B"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BE09FD">
              <w:rPr>
                <w:sz w:val="22"/>
                <w:szCs w:val="22"/>
              </w:rPr>
              <w:t xml:space="preserve">In the Philippines, adaptation strategies included associating climate/weather variables and health outcomes by using advanced modelling techniques and predictive models as part of an early warning system for disease prevention and control </w:t>
            </w:r>
            <w:proofErr w:type="spellStart"/>
            <w:r w:rsidRPr="00BE09FD">
              <w:rPr>
                <w:sz w:val="22"/>
                <w:szCs w:val="22"/>
              </w:rPr>
              <w:t>programmes</w:t>
            </w:r>
            <w:proofErr w:type="spellEnd"/>
            <w:r>
              <w:rPr>
                <w:sz w:val="22"/>
                <w:szCs w:val="22"/>
              </w:rPr>
              <w:t>; m</w:t>
            </w:r>
            <w:r w:rsidRPr="00BE09FD">
              <w:rPr>
                <w:sz w:val="22"/>
                <w:szCs w:val="22"/>
              </w:rPr>
              <w:t>odel results suggest the need intensified vector control for dengue, especially during the rainy season or months with high rainfall</w:t>
            </w:r>
            <w:r>
              <w:rPr>
                <w:sz w:val="22"/>
                <w:szCs w:val="22"/>
              </w:rPr>
              <w:t>.</w:t>
            </w:r>
          </w:p>
        </w:tc>
        <w:tc>
          <w:tcPr>
            <w:tcW w:w="1567" w:type="dxa"/>
          </w:tcPr>
          <w:p w14:paraId="5FBD1A4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lastRenderedPageBreak/>
              <w:t>Medlock and Leach, 2015</w:t>
            </w:r>
            <w:r>
              <w:rPr>
                <w:sz w:val="22"/>
                <w:szCs w:val="22"/>
              </w:rPr>
              <w:t xml:space="preserve"> </w:t>
            </w:r>
          </w:p>
          <w:p w14:paraId="74A5A87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23C2663"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289958F1"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Chua et al., 2019</w:t>
            </w:r>
          </w:p>
        </w:tc>
      </w:tr>
      <w:tr w:rsidR="008C428E" w:rsidRPr="003B361E" w14:paraId="53A35F4E" w14:textId="77777777" w:rsidTr="00160C93">
        <w:trPr>
          <w:trHeight w:val="622"/>
        </w:trPr>
        <w:tc>
          <w:tcPr>
            <w:cnfStyle w:val="001000000000" w:firstRow="0" w:lastRow="0" w:firstColumn="1" w:lastColumn="0" w:oddVBand="0" w:evenVBand="0" w:oddHBand="0" w:evenHBand="0" w:firstRowFirstColumn="0" w:firstRowLastColumn="0" w:lastRowFirstColumn="0" w:lastRowLastColumn="0"/>
            <w:tcW w:w="3170" w:type="dxa"/>
          </w:tcPr>
          <w:p w14:paraId="7B97E768" w14:textId="77777777" w:rsidR="008C428E" w:rsidRDefault="008C428E" w:rsidP="00160C93">
            <w:pPr>
              <w:jc w:val="right"/>
              <w:rPr>
                <w:bCs w:val="0"/>
              </w:rPr>
            </w:pPr>
            <w:r>
              <w:rPr>
                <w:b w:val="0"/>
              </w:rPr>
              <w:lastRenderedPageBreak/>
              <w:t>P</w:t>
            </w:r>
            <w:r w:rsidRPr="003B361E">
              <w:rPr>
                <w:b w:val="0"/>
              </w:rPr>
              <w:t>redictive models</w:t>
            </w:r>
            <w:r>
              <w:rPr>
                <w:b w:val="0"/>
              </w:rPr>
              <w:t xml:space="preserve"> of future climate change impacts</w:t>
            </w:r>
            <w:r w:rsidRPr="003B361E">
              <w:rPr>
                <w:b w:val="0"/>
              </w:rPr>
              <w:t xml:space="preserve"> </w:t>
            </w:r>
          </w:p>
          <w:p w14:paraId="0D957CDE" w14:textId="77777777" w:rsidR="008C428E" w:rsidRPr="003B361E" w:rsidRDefault="008C428E" w:rsidP="00160C93">
            <w:pPr>
              <w:rPr>
                <w:bCs w:val="0"/>
              </w:rPr>
            </w:pPr>
          </w:p>
        </w:tc>
        <w:tc>
          <w:tcPr>
            <w:tcW w:w="947" w:type="dxa"/>
          </w:tcPr>
          <w:p w14:paraId="3AE3FC5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57541EBF"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1</w:t>
            </w:r>
          </w:p>
        </w:tc>
        <w:tc>
          <w:tcPr>
            <w:tcW w:w="7276" w:type="dxa"/>
          </w:tcPr>
          <w:p w14:paraId="512C655E"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In the UK, improved models of future climate change impacts should incorporate the many drivers for change (including climate) for a range of vector-borne diseases; in addition to climate-based models, vector models should focus on land-use and its change and host distributions and abundance.</w:t>
            </w:r>
          </w:p>
          <w:p w14:paraId="2F39BB24"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tc>
        <w:tc>
          <w:tcPr>
            <w:tcW w:w="1567" w:type="dxa"/>
          </w:tcPr>
          <w:p w14:paraId="54CD0E72"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Medlock and Leach, 2015</w:t>
            </w:r>
          </w:p>
          <w:p w14:paraId="59B0185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tc>
      </w:tr>
      <w:tr w:rsidR="008C428E" w:rsidRPr="003B361E" w14:paraId="4424639F" w14:textId="77777777" w:rsidTr="00160C93">
        <w:trPr>
          <w:trHeight w:val="622"/>
        </w:trPr>
        <w:tc>
          <w:tcPr>
            <w:cnfStyle w:val="001000000000" w:firstRow="0" w:lastRow="0" w:firstColumn="1" w:lastColumn="0" w:oddVBand="0" w:evenVBand="0" w:oddHBand="0" w:evenHBand="0" w:firstRowFirstColumn="0" w:firstRowLastColumn="0" w:lastRowFirstColumn="0" w:lastRowLastColumn="0"/>
            <w:tcW w:w="3170" w:type="dxa"/>
          </w:tcPr>
          <w:p w14:paraId="3D8C2407" w14:textId="77777777" w:rsidR="008C428E" w:rsidRDefault="008C428E" w:rsidP="00160C93">
            <w:pPr>
              <w:jc w:val="right"/>
              <w:rPr>
                <w:bCs w:val="0"/>
              </w:rPr>
            </w:pPr>
            <w:r>
              <w:rPr>
                <w:b w:val="0"/>
              </w:rPr>
              <w:t>E</w:t>
            </w:r>
            <w:r w:rsidRPr="003B361E">
              <w:rPr>
                <w:b w:val="0"/>
              </w:rPr>
              <w:t xml:space="preserve">nhanced vector control </w:t>
            </w:r>
          </w:p>
          <w:p w14:paraId="444F0193" w14:textId="77777777" w:rsidR="008C428E" w:rsidRPr="003B361E" w:rsidRDefault="008C428E" w:rsidP="00160C93">
            <w:pPr>
              <w:rPr>
                <w:bCs w:val="0"/>
              </w:rPr>
            </w:pPr>
          </w:p>
        </w:tc>
        <w:tc>
          <w:tcPr>
            <w:tcW w:w="947" w:type="dxa"/>
          </w:tcPr>
          <w:p w14:paraId="25FC46D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5A373352"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2</w:t>
            </w:r>
          </w:p>
        </w:tc>
        <w:tc>
          <w:tcPr>
            <w:tcW w:w="7276" w:type="dxa"/>
          </w:tcPr>
          <w:p w14:paraId="12B8C2FC"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 xml:space="preserve">The World Mosquito Program in the Pacific region identified a promising approach to Dengue and other </w:t>
            </w:r>
            <w:proofErr w:type="spellStart"/>
            <w:r w:rsidRPr="0011553A">
              <w:rPr>
                <w:sz w:val="22"/>
                <w:szCs w:val="22"/>
              </w:rPr>
              <w:t>Aedes</w:t>
            </w:r>
            <w:proofErr w:type="spellEnd"/>
            <w:r w:rsidRPr="0011553A">
              <w:rPr>
                <w:sz w:val="22"/>
                <w:szCs w:val="22"/>
              </w:rPr>
              <w:t>-borne disease control using the bacterium Wolbachia</w:t>
            </w:r>
          </w:p>
          <w:p w14:paraId="551CEA21"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514ED0C0"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Several community-based adaptation strategies exist to reduce vector-borne disease transmission and risk, including those that address h</w:t>
            </w:r>
            <w:r w:rsidRPr="0008659D">
              <w:rPr>
                <w:sz w:val="22"/>
                <w:szCs w:val="22"/>
              </w:rPr>
              <w:t>ousing and the domestic environment</w:t>
            </w:r>
            <w:r>
              <w:rPr>
                <w:sz w:val="22"/>
                <w:szCs w:val="22"/>
              </w:rPr>
              <w:t>, m</w:t>
            </w:r>
            <w:r w:rsidRPr="0008659D">
              <w:rPr>
                <w:sz w:val="22"/>
                <w:szCs w:val="22"/>
              </w:rPr>
              <w:t>odifying natural environments</w:t>
            </w:r>
            <w:r>
              <w:rPr>
                <w:sz w:val="22"/>
                <w:szCs w:val="22"/>
              </w:rPr>
              <w:t xml:space="preserve">, </w:t>
            </w:r>
            <w:r w:rsidRPr="0008659D">
              <w:rPr>
                <w:sz w:val="22"/>
                <w:szCs w:val="22"/>
              </w:rPr>
              <w:t>Water, sanitation and hygiene (WASH)</w:t>
            </w:r>
            <w:r>
              <w:rPr>
                <w:sz w:val="22"/>
                <w:szCs w:val="22"/>
              </w:rPr>
              <w:t>, and c</w:t>
            </w:r>
            <w:r w:rsidRPr="0008659D">
              <w:rPr>
                <w:sz w:val="22"/>
                <w:szCs w:val="22"/>
              </w:rPr>
              <w:t>hemical vector control</w:t>
            </w:r>
            <w:r>
              <w:rPr>
                <w:sz w:val="22"/>
                <w:szCs w:val="22"/>
              </w:rPr>
              <w:t>.</w:t>
            </w:r>
          </w:p>
        </w:tc>
        <w:tc>
          <w:tcPr>
            <w:tcW w:w="1567" w:type="dxa"/>
          </w:tcPr>
          <w:p w14:paraId="57AB2AA5"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11553A">
              <w:rPr>
                <w:sz w:val="22"/>
                <w:szCs w:val="22"/>
              </w:rPr>
              <w:t>Filho et al., 2019</w:t>
            </w:r>
          </w:p>
          <w:p w14:paraId="5C8FCE10"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13E118A7"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
          <w:p w14:paraId="3D7B742B"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08659D">
              <w:rPr>
                <w:sz w:val="22"/>
                <w:szCs w:val="22"/>
              </w:rPr>
              <w:t>Bardosh</w:t>
            </w:r>
            <w:proofErr w:type="spellEnd"/>
            <w:r w:rsidRPr="0008659D">
              <w:rPr>
                <w:sz w:val="22"/>
                <w:szCs w:val="22"/>
              </w:rPr>
              <w:t xml:space="preserve"> et al., 2017</w:t>
            </w:r>
          </w:p>
        </w:tc>
      </w:tr>
      <w:tr w:rsidR="008C428E" w:rsidRPr="003B361E" w14:paraId="6774123C" w14:textId="77777777" w:rsidTr="00160C93">
        <w:trPr>
          <w:trHeight w:val="622"/>
        </w:trPr>
        <w:tc>
          <w:tcPr>
            <w:cnfStyle w:val="001000000000" w:firstRow="0" w:lastRow="0" w:firstColumn="1" w:lastColumn="0" w:oddVBand="0" w:evenVBand="0" w:oddHBand="0" w:evenHBand="0" w:firstRowFirstColumn="0" w:firstRowLastColumn="0" w:lastRowFirstColumn="0" w:lastRowLastColumn="0"/>
            <w:tcW w:w="3170" w:type="dxa"/>
          </w:tcPr>
          <w:p w14:paraId="430EA7F9" w14:textId="77777777" w:rsidR="008C428E" w:rsidRPr="003B361E" w:rsidRDefault="008C428E" w:rsidP="00160C93">
            <w:pPr>
              <w:rPr>
                <w:bCs w:val="0"/>
              </w:rPr>
            </w:pPr>
            <w:r w:rsidRPr="003B361E">
              <w:rPr>
                <w:b w:val="0"/>
              </w:rPr>
              <w:t>Health systems strengthening</w:t>
            </w:r>
          </w:p>
        </w:tc>
        <w:tc>
          <w:tcPr>
            <w:tcW w:w="947" w:type="dxa"/>
          </w:tcPr>
          <w:p w14:paraId="244ED3CD" w14:textId="77777777" w:rsidR="008C428E" w:rsidRDefault="008C428E" w:rsidP="00160C93">
            <w:pPr>
              <w:cnfStyle w:val="000000000000" w:firstRow="0" w:lastRow="0" w:firstColumn="0" w:lastColumn="0" w:oddVBand="0" w:evenVBand="0" w:oddHBand="0" w:evenHBand="0" w:firstRowFirstColumn="0" w:firstRowLastColumn="0" w:lastRowFirstColumn="0" w:lastRowLastColumn="0"/>
            </w:pPr>
          </w:p>
          <w:p w14:paraId="7F2018DD" w14:textId="77777777" w:rsidR="008C428E" w:rsidRPr="003B361E" w:rsidRDefault="008C428E" w:rsidP="00160C93">
            <w:pPr>
              <w:cnfStyle w:val="000000000000" w:firstRow="0" w:lastRow="0" w:firstColumn="0" w:lastColumn="0" w:oddVBand="0" w:evenVBand="0" w:oddHBand="0" w:evenHBand="0" w:firstRowFirstColumn="0" w:firstRowLastColumn="0" w:lastRowFirstColumn="0" w:lastRowLastColumn="0"/>
            </w:pPr>
            <w:r>
              <w:t>1</w:t>
            </w:r>
          </w:p>
        </w:tc>
        <w:tc>
          <w:tcPr>
            <w:tcW w:w="7276" w:type="dxa"/>
          </w:tcPr>
          <w:p w14:paraId="0D66DBBC"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r w:rsidRPr="00BE09FD">
              <w:rPr>
                <w:sz w:val="22"/>
                <w:szCs w:val="22"/>
              </w:rPr>
              <w:t xml:space="preserve">The Nepal National Adaptation Programme of Action (NAPA) to climate change has identified </w:t>
            </w:r>
            <w:r>
              <w:rPr>
                <w:sz w:val="22"/>
                <w:szCs w:val="22"/>
              </w:rPr>
              <w:t>vector-borne diseases</w:t>
            </w:r>
            <w:r w:rsidRPr="00BE09FD">
              <w:rPr>
                <w:sz w:val="22"/>
                <w:szCs w:val="22"/>
              </w:rPr>
              <w:t xml:space="preserve"> as one of the highest priority adaptation projects for the health sector in Nepal</w:t>
            </w:r>
            <w:r>
              <w:rPr>
                <w:sz w:val="22"/>
                <w:szCs w:val="22"/>
              </w:rPr>
              <w:t>; measures</w:t>
            </w:r>
            <w:r w:rsidRPr="00BE09FD">
              <w:rPr>
                <w:sz w:val="22"/>
                <w:szCs w:val="22"/>
              </w:rPr>
              <w:t xml:space="preserve"> include development of robust surveillance systems (health and vector surveillance); increase of diagnostic capacities and training; implementation of vector control measures, including individual and collective protection; and increased awareness and community engagement concerning mosquito-borne diseases</w:t>
            </w:r>
            <w:r>
              <w:rPr>
                <w:sz w:val="22"/>
                <w:szCs w:val="22"/>
              </w:rPr>
              <w:t>.</w:t>
            </w:r>
          </w:p>
        </w:tc>
        <w:tc>
          <w:tcPr>
            <w:tcW w:w="1567" w:type="dxa"/>
          </w:tcPr>
          <w:p w14:paraId="3E08821B" w14:textId="77777777" w:rsidR="008C428E" w:rsidRPr="0011553A" w:rsidRDefault="008C428E" w:rsidP="00160C93">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Pr>
                <w:sz w:val="22"/>
                <w:szCs w:val="22"/>
              </w:rPr>
              <w:t>Dhimal</w:t>
            </w:r>
            <w:proofErr w:type="spellEnd"/>
            <w:r>
              <w:rPr>
                <w:sz w:val="22"/>
                <w:szCs w:val="22"/>
              </w:rPr>
              <w:t xml:space="preserve"> et al., 2015</w:t>
            </w:r>
          </w:p>
        </w:tc>
      </w:tr>
    </w:tbl>
    <w:p w14:paraId="6AEC6C20" w14:textId="389A5BC1" w:rsidR="008C428E" w:rsidRDefault="008C428E" w:rsidP="008C428E">
      <w:pPr>
        <w:widowControl w:val="0"/>
        <w:autoSpaceDE w:val="0"/>
        <w:autoSpaceDN w:val="0"/>
        <w:adjustRightInd w:val="0"/>
        <w:spacing w:line="480" w:lineRule="auto"/>
        <w:ind w:left="480" w:hanging="480"/>
      </w:pPr>
    </w:p>
    <w:p w14:paraId="79389815" w14:textId="38D1413D" w:rsidR="00904EBF" w:rsidRPr="00904EBF" w:rsidRDefault="00904EBF" w:rsidP="00904EBF">
      <w:r w:rsidRPr="001A3B4F">
        <w:rPr>
          <w:b/>
        </w:rPr>
        <w:t>Table S</w:t>
      </w:r>
      <w:r>
        <w:rPr>
          <w:b/>
        </w:rPr>
        <w:t>2</w:t>
      </w:r>
      <w:r w:rsidRPr="001A3B4F">
        <w:rPr>
          <w:b/>
        </w:rPr>
        <w:t xml:space="preserve">: </w:t>
      </w:r>
      <w:r w:rsidR="003C569A">
        <w:t>S</w:t>
      </w:r>
      <w:r w:rsidR="003C569A" w:rsidRPr="003C569A">
        <w:t xml:space="preserve">earch strategies for </w:t>
      </w:r>
      <w:r w:rsidR="003C569A">
        <w:t>the</w:t>
      </w:r>
      <w:r w:rsidR="003C569A" w:rsidRPr="003C569A">
        <w:t xml:space="preserve"> </w:t>
      </w:r>
      <w:r w:rsidR="00FA67D6">
        <w:t xml:space="preserve">electronic </w:t>
      </w:r>
      <w:r w:rsidR="003C569A" w:rsidRPr="003C569A">
        <w:t>database</w:t>
      </w:r>
      <w:r w:rsidR="003C569A">
        <w:t xml:space="preserve">s used to identify review articles </w:t>
      </w:r>
    </w:p>
    <w:tbl>
      <w:tblPr>
        <w:tblStyle w:val="GridTable1LightAccent3"/>
        <w:tblW w:w="0" w:type="auto"/>
        <w:tblLook w:val="04A0" w:firstRow="1" w:lastRow="0" w:firstColumn="1" w:lastColumn="0" w:noHBand="0" w:noVBand="1"/>
      </w:tblPr>
      <w:tblGrid>
        <w:gridCol w:w="1838"/>
        <w:gridCol w:w="11057"/>
      </w:tblGrid>
      <w:tr w:rsidR="00904EBF" w14:paraId="296DC05D" w14:textId="77777777" w:rsidTr="00FA6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BFBFBF" w:themeFill="background1" w:themeFillShade="BF"/>
          </w:tcPr>
          <w:p w14:paraId="0B2F646E" w14:textId="77777777" w:rsidR="00904EBF" w:rsidRPr="00FA67D6" w:rsidRDefault="00904EBF" w:rsidP="00455197">
            <w:r w:rsidRPr="00FA67D6">
              <w:t>Database</w:t>
            </w:r>
          </w:p>
        </w:tc>
        <w:tc>
          <w:tcPr>
            <w:tcW w:w="11057" w:type="dxa"/>
            <w:shd w:val="clear" w:color="auto" w:fill="BFBFBF" w:themeFill="background1" w:themeFillShade="BF"/>
          </w:tcPr>
          <w:p w14:paraId="342C7ABF" w14:textId="77777777" w:rsidR="00904EBF" w:rsidRPr="00FA67D6" w:rsidRDefault="00904EBF" w:rsidP="00455197">
            <w:pPr>
              <w:cnfStyle w:val="100000000000" w:firstRow="1" w:lastRow="0" w:firstColumn="0" w:lastColumn="0" w:oddVBand="0" w:evenVBand="0" w:oddHBand="0" w:evenHBand="0" w:firstRowFirstColumn="0" w:firstRowLastColumn="0" w:lastRowFirstColumn="0" w:lastRowLastColumn="0"/>
            </w:pPr>
            <w:r w:rsidRPr="00FA67D6">
              <w:t>Search terms</w:t>
            </w:r>
          </w:p>
        </w:tc>
      </w:tr>
      <w:tr w:rsidR="00904EBF" w14:paraId="46AC1655" w14:textId="77777777" w:rsidTr="00FA67D6">
        <w:tc>
          <w:tcPr>
            <w:cnfStyle w:val="001000000000" w:firstRow="0" w:lastRow="0" w:firstColumn="1" w:lastColumn="0" w:oddVBand="0" w:evenVBand="0" w:oddHBand="0" w:evenHBand="0" w:firstRowFirstColumn="0" w:firstRowLastColumn="0" w:lastRowFirstColumn="0" w:lastRowLastColumn="0"/>
            <w:tcW w:w="1838" w:type="dxa"/>
          </w:tcPr>
          <w:p w14:paraId="7279747E" w14:textId="77777777" w:rsidR="00904EBF" w:rsidRPr="00FA67D6" w:rsidRDefault="00904EBF" w:rsidP="00455197">
            <w:pPr>
              <w:rPr>
                <w:b w:val="0"/>
                <w:szCs w:val="22"/>
              </w:rPr>
            </w:pPr>
            <w:r w:rsidRPr="00FA67D6">
              <w:rPr>
                <w:b w:val="0"/>
                <w:szCs w:val="22"/>
              </w:rPr>
              <w:t>PubMed</w:t>
            </w:r>
          </w:p>
        </w:tc>
        <w:tc>
          <w:tcPr>
            <w:tcW w:w="11057" w:type="dxa"/>
          </w:tcPr>
          <w:p w14:paraId="3876F544" w14:textId="7EB699FB" w:rsidR="00904EBF" w:rsidRPr="005729C9" w:rsidRDefault="00904EBF" w:rsidP="003C569A">
            <w:pPr>
              <w:cnfStyle w:val="000000000000" w:firstRow="0" w:lastRow="0" w:firstColumn="0" w:lastColumn="0" w:oddVBand="0" w:evenVBand="0" w:oddHBand="0" w:evenHBand="0" w:firstRowFirstColumn="0" w:firstRowLastColumn="0" w:lastRowFirstColumn="0" w:lastRowLastColumn="0"/>
              <w:rPr>
                <w:sz w:val="22"/>
                <w:szCs w:val="22"/>
              </w:rPr>
            </w:pPr>
            <w:r w:rsidRPr="005729C9">
              <w:rPr>
                <w:sz w:val="22"/>
                <w:szCs w:val="22"/>
              </w:rPr>
              <w:t>("climate change"[Title/Abstract] OR "greenhouse effect"[Title/Abstract] OR "changing climate"[Title/Abstract] OR "global warming"[Title/Abstract] OR "extreme weather"[Title/Abstract] OR "climate variability"</w:t>
            </w:r>
            <w:r w:rsidR="003C569A">
              <w:rPr>
                <w:sz w:val="22"/>
                <w:szCs w:val="22"/>
              </w:rPr>
              <w:t xml:space="preserve"> </w:t>
            </w:r>
            <w:r w:rsidR="003C569A" w:rsidRPr="005729C9">
              <w:rPr>
                <w:sz w:val="22"/>
                <w:szCs w:val="22"/>
              </w:rPr>
              <w:t>OR "greenhouse gas" OR</w:t>
            </w:r>
            <w:r w:rsidR="003C569A">
              <w:rPr>
                <w:sz w:val="22"/>
                <w:szCs w:val="22"/>
              </w:rPr>
              <w:t xml:space="preserve"> </w:t>
            </w:r>
            <w:r w:rsidR="003C569A" w:rsidRPr="005729C9">
              <w:rPr>
                <w:sz w:val="22"/>
                <w:szCs w:val="22"/>
              </w:rPr>
              <w:lastRenderedPageBreak/>
              <w:t xml:space="preserve">"rising temperature" </w:t>
            </w:r>
            <w:r w:rsidRPr="005729C9">
              <w:rPr>
                <w:sz w:val="22"/>
                <w:szCs w:val="22"/>
              </w:rPr>
              <w:t>[Title/Abstract]) AND (("</w:t>
            </w:r>
            <w:proofErr w:type="spellStart"/>
            <w:r w:rsidRPr="005729C9">
              <w:rPr>
                <w:sz w:val="22"/>
                <w:szCs w:val="22"/>
              </w:rPr>
              <w:t>meta analysis</w:t>
            </w:r>
            <w:proofErr w:type="spellEnd"/>
            <w:r w:rsidRPr="005729C9">
              <w:rPr>
                <w:sz w:val="22"/>
                <w:szCs w:val="22"/>
              </w:rPr>
              <w:t>"[Publication Type] OR "review"[Publication Type] OR "systematic review"[Filter]) AND 2007/01/01:2020/12/31[Date - Publication]) AND (("malaria"[Title/Abstract] OR "dengue"[Title/Abstract]) AND (("</w:t>
            </w:r>
            <w:proofErr w:type="spellStart"/>
            <w:r w:rsidRPr="005729C9">
              <w:rPr>
                <w:sz w:val="22"/>
                <w:szCs w:val="22"/>
              </w:rPr>
              <w:t>meta analysis</w:t>
            </w:r>
            <w:proofErr w:type="spellEnd"/>
            <w:r w:rsidRPr="005729C9">
              <w:rPr>
                <w:sz w:val="22"/>
                <w:szCs w:val="22"/>
              </w:rPr>
              <w:t>"[Publication Type] OR "review"[Publication Type] OR "systematic review"[Filter]) AND 2007/01/01:2020/12/31[Date - Publication]))</w:t>
            </w:r>
          </w:p>
        </w:tc>
      </w:tr>
      <w:tr w:rsidR="00904EBF" w14:paraId="5AE4460E" w14:textId="77777777" w:rsidTr="00FA67D6">
        <w:tc>
          <w:tcPr>
            <w:cnfStyle w:val="001000000000" w:firstRow="0" w:lastRow="0" w:firstColumn="1" w:lastColumn="0" w:oddVBand="0" w:evenVBand="0" w:oddHBand="0" w:evenHBand="0" w:firstRowFirstColumn="0" w:firstRowLastColumn="0" w:lastRowFirstColumn="0" w:lastRowLastColumn="0"/>
            <w:tcW w:w="1838" w:type="dxa"/>
          </w:tcPr>
          <w:p w14:paraId="52E1928B" w14:textId="77777777" w:rsidR="00904EBF" w:rsidRPr="00FA67D6" w:rsidRDefault="00904EBF" w:rsidP="00455197">
            <w:pPr>
              <w:rPr>
                <w:b w:val="0"/>
                <w:szCs w:val="22"/>
              </w:rPr>
            </w:pPr>
            <w:r w:rsidRPr="00FA67D6">
              <w:rPr>
                <w:b w:val="0"/>
                <w:szCs w:val="22"/>
              </w:rPr>
              <w:lastRenderedPageBreak/>
              <w:t>Scopus</w:t>
            </w:r>
          </w:p>
        </w:tc>
        <w:tc>
          <w:tcPr>
            <w:tcW w:w="11057" w:type="dxa"/>
          </w:tcPr>
          <w:p w14:paraId="001C5B39" w14:textId="69AAC4E2" w:rsidR="00904EBF" w:rsidRPr="005729C9" w:rsidRDefault="00904EBF" w:rsidP="00455197">
            <w:pPr>
              <w:cnfStyle w:val="000000000000" w:firstRow="0" w:lastRow="0" w:firstColumn="0" w:lastColumn="0" w:oddVBand="0" w:evenVBand="0" w:oddHBand="0" w:evenHBand="0" w:firstRowFirstColumn="0" w:firstRowLastColumn="0" w:lastRowFirstColumn="0" w:lastRowLastColumn="0"/>
              <w:rPr>
                <w:sz w:val="22"/>
                <w:szCs w:val="22"/>
              </w:rPr>
            </w:pPr>
            <w:r w:rsidRPr="005729C9">
              <w:rPr>
                <w:sz w:val="22"/>
                <w:szCs w:val="22"/>
              </w:rPr>
              <w:t>( TITLE-ABS-KEY ( ( "Climate Change" OR "greenhouse effect" OR "changing climate" OR</w:t>
            </w:r>
            <w:r w:rsidR="003C569A">
              <w:rPr>
                <w:sz w:val="22"/>
                <w:szCs w:val="22"/>
              </w:rPr>
              <w:t xml:space="preserve"> </w:t>
            </w:r>
            <w:r w:rsidRPr="005729C9">
              <w:rPr>
                <w:sz w:val="22"/>
                <w:szCs w:val="22"/>
              </w:rPr>
              <w:t>"global warming" OR "extreme weather" OR "climate variability" OR "greenhouse gas" OR</w:t>
            </w:r>
            <w:r w:rsidR="003C569A">
              <w:rPr>
                <w:sz w:val="22"/>
                <w:szCs w:val="22"/>
              </w:rPr>
              <w:t xml:space="preserve"> </w:t>
            </w:r>
            <w:r w:rsidRPr="005729C9">
              <w:rPr>
                <w:sz w:val="22"/>
                <w:szCs w:val="22"/>
              </w:rPr>
              <w:t>"rising temperature" ) ) ) AND ( TITLE-ABS-KEY ( ( malaria OR dengue) ) ) AND ( LIMIT-TO ( DOCTYPE , "re" ) )</w:t>
            </w:r>
          </w:p>
        </w:tc>
      </w:tr>
      <w:tr w:rsidR="00904EBF" w14:paraId="56707A4B" w14:textId="77777777" w:rsidTr="00FA67D6">
        <w:tc>
          <w:tcPr>
            <w:cnfStyle w:val="001000000000" w:firstRow="0" w:lastRow="0" w:firstColumn="1" w:lastColumn="0" w:oddVBand="0" w:evenVBand="0" w:oddHBand="0" w:evenHBand="0" w:firstRowFirstColumn="0" w:firstRowLastColumn="0" w:lastRowFirstColumn="0" w:lastRowLastColumn="0"/>
            <w:tcW w:w="1838" w:type="dxa"/>
          </w:tcPr>
          <w:p w14:paraId="0260660E" w14:textId="77777777" w:rsidR="00904EBF" w:rsidRPr="00FA67D6" w:rsidRDefault="00904EBF" w:rsidP="00455197">
            <w:pPr>
              <w:rPr>
                <w:b w:val="0"/>
                <w:szCs w:val="22"/>
              </w:rPr>
            </w:pPr>
            <w:proofErr w:type="spellStart"/>
            <w:r w:rsidRPr="00FA67D6">
              <w:rPr>
                <w:b w:val="0"/>
                <w:szCs w:val="22"/>
              </w:rPr>
              <w:t>Epistemonikos</w:t>
            </w:r>
            <w:proofErr w:type="spellEnd"/>
          </w:p>
        </w:tc>
        <w:tc>
          <w:tcPr>
            <w:tcW w:w="11057" w:type="dxa"/>
          </w:tcPr>
          <w:p w14:paraId="4737CF53" w14:textId="77777777" w:rsidR="00904EBF" w:rsidRPr="005729C9" w:rsidRDefault="00904EBF" w:rsidP="00455197">
            <w:pPr>
              <w:cnfStyle w:val="000000000000" w:firstRow="0" w:lastRow="0" w:firstColumn="0" w:lastColumn="0" w:oddVBand="0" w:evenVBand="0" w:oddHBand="0" w:evenHBand="0" w:firstRowFirstColumn="0" w:firstRowLastColumn="0" w:lastRowFirstColumn="0" w:lastRowLastColumn="0"/>
              <w:rPr>
                <w:sz w:val="22"/>
                <w:szCs w:val="22"/>
              </w:rPr>
            </w:pPr>
            <w:r w:rsidRPr="005729C9">
              <w:rPr>
                <w:sz w:val="22"/>
                <w:szCs w:val="22"/>
              </w:rPr>
              <w:t>(title:((“climate Change" OR "greenhouse effect" OR "changing climate" OR</w:t>
            </w:r>
          </w:p>
          <w:p w14:paraId="41398357" w14:textId="33DB6307" w:rsidR="00904EBF" w:rsidRPr="005729C9" w:rsidRDefault="00904EBF" w:rsidP="00455197">
            <w:pPr>
              <w:cnfStyle w:val="000000000000" w:firstRow="0" w:lastRow="0" w:firstColumn="0" w:lastColumn="0" w:oddVBand="0" w:evenVBand="0" w:oddHBand="0" w:evenHBand="0" w:firstRowFirstColumn="0" w:firstRowLastColumn="0" w:lastRowFirstColumn="0" w:lastRowLastColumn="0"/>
              <w:rPr>
                <w:sz w:val="22"/>
                <w:szCs w:val="22"/>
              </w:rPr>
            </w:pPr>
            <w:r w:rsidRPr="005729C9">
              <w:rPr>
                <w:sz w:val="22"/>
                <w:szCs w:val="22"/>
              </w:rPr>
              <w:t>"global warming" OR "extreme weather" OR "climate variability" OR "greenhouse gas" OR</w:t>
            </w:r>
            <w:r w:rsidR="003C569A">
              <w:rPr>
                <w:sz w:val="22"/>
                <w:szCs w:val="22"/>
              </w:rPr>
              <w:t xml:space="preserve"> </w:t>
            </w:r>
            <w:r w:rsidRPr="005729C9">
              <w:rPr>
                <w:sz w:val="22"/>
                <w:szCs w:val="22"/>
              </w:rPr>
              <w:t>"rising temperature") AND (malaria OR dengue)) OR abstract:((“climate Change" OR "greenhouse effect" OR "changing climate" OR "global warming" OR "extreme weather" OR "climate variability" OR "greenhouse gas" OR "rising temperature") AND (malaria OR dengue)))</w:t>
            </w:r>
          </w:p>
        </w:tc>
      </w:tr>
    </w:tbl>
    <w:p w14:paraId="34107958" w14:textId="77777777" w:rsidR="00904EBF" w:rsidRDefault="00904EBF" w:rsidP="00904EBF">
      <w:pPr>
        <w:widowControl w:val="0"/>
        <w:autoSpaceDE w:val="0"/>
        <w:autoSpaceDN w:val="0"/>
        <w:adjustRightInd w:val="0"/>
        <w:spacing w:line="480" w:lineRule="auto"/>
        <w:ind w:left="480"/>
        <w:rPr>
          <w:b/>
        </w:rPr>
      </w:pPr>
    </w:p>
    <w:p w14:paraId="14BEDD33" w14:textId="77777777" w:rsidR="00904EBF" w:rsidRPr="00880C9E" w:rsidRDefault="00904EBF" w:rsidP="008C428E">
      <w:pPr>
        <w:widowControl w:val="0"/>
        <w:autoSpaceDE w:val="0"/>
        <w:autoSpaceDN w:val="0"/>
        <w:adjustRightInd w:val="0"/>
        <w:spacing w:line="480" w:lineRule="auto"/>
        <w:ind w:left="480" w:hanging="480"/>
      </w:pPr>
    </w:p>
    <w:p w14:paraId="07CECE87" w14:textId="77777777" w:rsidR="00126DEB" w:rsidRDefault="00944858"/>
    <w:sectPr w:rsidR="00126DEB" w:rsidSect="008C428E">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9"/>
  </w:docVars>
  <w:rsids>
    <w:rsidRoot w:val="008C428E"/>
    <w:rsid w:val="00013686"/>
    <w:rsid w:val="0001453A"/>
    <w:rsid w:val="00061E7F"/>
    <w:rsid w:val="001218AA"/>
    <w:rsid w:val="00145310"/>
    <w:rsid w:val="00172541"/>
    <w:rsid w:val="001A3B4F"/>
    <w:rsid w:val="00272A80"/>
    <w:rsid w:val="0029251B"/>
    <w:rsid w:val="00292E4A"/>
    <w:rsid w:val="00393522"/>
    <w:rsid w:val="003A1639"/>
    <w:rsid w:val="003C03B7"/>
    <w:rsid w:val="003C569A"/>
    <w:rsid w:val="003C6616"/>
    <w:rsid w:val="004C6BAD"/>
    <w:rsid w:val="004E1789"/>
    <w:rsid w:val="00534918"/>
    <w:rsid w:val="0054649B"/>
    <w:rsid w:val="005540D0"/>
    <w:rsid w:val="00566D39"/>
    <w:rsid w:val="00586BD5"/>
    <w:rsid w:val="005A2D0D"/>
    <w:rsid w:val="005C453E"/>
    <w:rsid w:val="005D29A2"/>
    <w:rsid w:val="00635862"/>
    <w:rsid w:val="006B0277"/>
    <w:rsid w:val="007611C8"/>
    <w:rsid w:val="007A63F5"/>
    <w:rsid w:val="007B1B7F"/>
    <w:rsid w:val="00801363"/>
    <w:rsid w:val="0085221F"/>
    <w:rsid w:val="008529BD"/>
    <w:rsid w:val="00871CEF"/>
    <w:rsid w:val="008C428E"/>
    <w:rsid w:val="00904EBF"/>
    <w:rsid w:val="00944858"/>
    <w:rsid w:val="00997700"/>
    <w:rsid w:val="00A84931"/>
    <w:rsid w:val="00A977A2"/>
    <w:rsid w:val="00B30963"/>
    <w:rsid w:val="00B46DCB"/>
    <w:rsid w:val="00BD2A49"/>
    <w:rsid w:val="00BE170B"/>
    <w:rsid w:val="00C7584F"/>
    <w:rsid w:val="00C96E75"/>
    <w:rsid w:val="00CE7F98"/>
    <w:rsid w:val="00D4111E"/>
    <w:rsid w:val="00D4520F"/>
    <w:rsid w:val="00D85C14"/>
    <w:rsid w:val="00E6579F"/>
    <w:rsid w:val="00E751E7"/>
    <w:rsid w:val="00EC6262"/>
    <w:rsid w:val="00EF3A9B"/>
    <w:rsid w:val="00F23C25"/>
    <w:rsid w:val="00F31734"/>
    <w:rsid w:val="00F66486"/>
    <w:rsid w:val="00F86620"/>
    <w:rsid w:val="00FA67D6"/>
    <w:rsid w:val="00FA76F5"/>
    <w:rsid w:val="00FB73F0"/>
    <w:rsid w:val="00FE7B4A"/>
    <w:rsid w:val="00FF5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2Accent3">
    <w:name w:val="Grid Table 2 Accent 3"/>
    <w:basedOn w:val="TableNormal"/>
    <w:uiPriority w:val="47"/>
    <w:rsid w:val="008C428E"/>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LineNumber">
    <w:name w:val="line number"/>
    <w:basedOn w:val="DefaultParagraphFont"/>
    <w:uiPriority w:val="99"/>
    <w:semiHidden/>
    <w:unhideWhenUsed/>
    <w:rsid w:val="008C428E"/>
  </w:style>
  <w:style w:type="table" w:styleId="TableGrid">
    <w:name w:val="Table Grid"/>
    <w:basedOn w:val="TableNormal"/>
    <w:uiPriority w:val="39"/>
    <w:rsid w:val="001A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FA67D6"/>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Light">
    <w:name w:val="Grid Table Light"/>
    <w:basedOn w:val="TableNormal"/>
    <w:uiPriority w:val="40"/>
    <w:rsid w:val="00FA67D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Accent3">
    <w:name w:val="Grid Table 1 Light Accent 3"/>
    <w:basedOn w:val="TableNormal"/>
    <w:uiPriority w:val="46"/>
    <w:rsid w:val="00FA67D6"/>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2Accent3">
    <w:name w:val="Grid Table 2 Accent 3"/>
    <w:basedOn w:val="TableNormal"/>
    <w:uiPriority w:val="47"/>
    <w:rsid w:val="008C428E"/>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LineNumber">
    <w:name w:val="line number"/>
    <w:basedOn w:val="DefaultParagraphFont"/>
    <w:uiPriority w:val="99"/>
    <w:semiHidden/>
    <w:unhideWhenUsed/>
    <w:rsid w:val="008C428E"/>
  </w:style>
  <w:style w:type="table" w:styleId="TableGrid">
    <w:name w:val="Table Grid"/>
    <w:basedOn w:val="TableNormal"/>
    <w:uiPriority w:val="39"/>
    <w:rsid w:val="001A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FA67D6"/>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Light">
    <w:name w:val="Grid Table Light"/>
    <w:basedOn w:val="TableNormal"/>
    <w:uiPriority w:val="40"/>
    <w:rsid w:val="00FA67D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Accent3">
    <w:name w:val="Grid Table 1 Light Accent 3"/>
    <w:basedOn w:val="TableNormal"/>
    <w:uiPriority w:val="46"/>
    <w:rsid w:val="00FA67D6"/>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2720</Words>
  <Characters>15668</Characters>
  <Application>Microsoft Office Word</Application>
  <DocSecurity>0</DocSecurity>
  <Lines>602</Lines>
  <Paragraphs>180</Paragraphs>
  <ScaleCrop>false</ScaleCrop>
  <Company/>
  <LinksUpToDate>false</LinksUpToDate>
  <CharactersWithSpaces>18208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Manisha Kulkarni</dc:creator>
  <cp:keywords/>
  <dc:description/>
  <cp:lastModifiedBy>MSARDAN</cp:lastModifiedBy>
  <cp:revision>6</cp:revision>
  <dcterms:created xsi:type="dcterms:W3CDTF">2021-10-27T08:35:00Z</dcterms:created>
  <dcterms:modified xsi:type="dcterms:W3CDTF">2021-12-20T06:40:00Z</dcterms:modified>
</cp:coreProperties>
</file>