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6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835"/>
        <w:gridCol w:w="5103"/>
        <w:gridCol w:w="2191"/>
      </w:tblGrid>
      <w:tr w:rsidR="000B24AF" w:rsidRPr="000B24AF" w:rsidTr="0078025E">
        <w:trPr>
          <w:trHeight w:val="909"/>
        </w:trPr>
        <w:tc>
          <w:tcPr>
            <w:tcW w:w="13673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00"/>
            <w:noWrap/>
            <w:vAlign w:val="center"/>
          </w:tcPr>
          <w:p w:rsidR="000B24AF" w:rsidRPr="000B24AF" w:rsidRDefault="008B0483" w:rsidP="0078025E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Supplementary file 2</w:t>
            </w:r>
            <w:r w:rsidR="00E95485">
              <w:rPr>
                <w:b/>
              </w:rPr>
              <w:t xml:space="preserve">: </w:t>
            </w:r>
            <w:r w:rsidR="000B24AF" w:rsidRPr="000B24AF">
              <w:rPr>
                <w:b/>
              </w:rPr>
              <w:t>Variables of interest, source, description and year</w:t>
            </w:r>
          </w:p>
          <w:p w:rsidR="000B24AF" w:rsidRPr="000B24AF" w:rsidRDefault="000B24AF" w:rsidP="0078025E">
            <w:pPr>
              <w:rPr>
                <w:b/>
                <w:bCs/>
              </w:rPr>
            </w:pPr>
          </w:p>
        </w:tc>
      </w:tr>
      <w:tr w:rsidR="000B24AF" w:rsidRPr="000B24AF" w:rsidTr="0078025E">
        <w:trPr>
          <w:trHeight w:val="340"/>
        </w:trPr>
        <w:tc>
          <w:tcPr>
            <w:tcW w:w="354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b/>
                <w:bCs/>
              </w:rPr>
            </w:pPr>
            <w:r w:rsidRPr="000B24AF">
              <w:rPr>
                <w:b/>
                <w:bCs/>
              </w:rPr>
              <w:t>Variable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b/>
                <w:bCs/>
              </w:rPr>
            </w:pPr>
            <w:r w:rsidRPr="000B24AF">
              <w:rPr>
                <w:b/>
                <w:bCs/>
              </w:rPr>
              <w:t>Source</w:t>
            </w:r>
          </w:p>
        </w:tc>
        <w:tc>
          <w:tcPr>
            <w:tcW w:w="510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00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b/>
                <w:bCs/>
              </w:rPr>
            </w:pPr>
            <w:r w:rsidRPr="000B24AF">
              <w:rPr>
                <w:b/>
                <w:bCs/>
              </w:rPr>
              <w:t>Description</w:t>
            </w:r>
          </w:p>
        </w:tc>
        <w:tc>
          <w:tcPr>
            <w:tcW w:w="219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0B24AF" w:rsidRPr="000B24AF" w:rsidRDefault="000B24AF" w:rsidP="0078025E">
            <w:pPr>
              <w:jc w:val="center"/>
              <w:rPr>
                <w:b/>
                <w:bCs/>
              </w:rPr>
            </w:pPr>
            <w:r w:rsidRPr="000B24AF">
              <w:rPr>
                <w:b/>
                <w:bCs/>
              </w:rPr>
              <w:t>Year</w:t>
            </w:r>
          </w:p>
        </w:tc>
      </w:tr>
      <w:tr w:rsidR="000B24AF" w:rsidRPr="000B24AF" w:rsidTr="0078025E">
        <w:trPr>
          <w:trHeight w:val="1495"/>
        </w:trPr>
        <w:tc>
          <w:tcPr>
            <w:tcW w:w="354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 xml:space="preserve">Voice and accountability 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World Bank</w:t>
            </w:r>
          </w:p>
        </w:tc>
        <w:tc>
          <w:tcPr>
            <w:tcW w:w="510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i/>
              </w:rPr>
            </w:pPr>
            <w:r w:rsidRPr="000B24AF">
              <w:rPr>
                <w:i/>
              </w:rPr>
              <w:t>“Voice and accountability captures perceptions of the extent to which a country's citizens are able to participate in selecting their</w:t>
            </w:r>
            <w:r w:rsidRPr="000B24AF">
              <w:rPr>
                <w:i/>
              </w:rPr>
              <w:br/>
              <w:t>government, as well as freedom of expression, freedom of association, and a free media. This table lists the individual variables from each</w:t>
            </w:r>
            <w:r w:rsidRPr="000B24AF">
              <w:rPr>
                <w:i/>
              </w:rPr>
              <w:br/>
              <w:t>data source used to construct this measure in the Worldwide Governance Indicators. Estimate of governance (ranges from approximately -2.5 (weak) to 2.5 (strong) governance performance)</w:t>
            </w:r>
          </w:p>
        </w:tc>
        <w:tc>
          <w:tcPr>
            <w:tcW w:w="21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2020</w:t>
            </w:r>
          </w:p>
        </w:tc>
      </w:tr>
      <w:tr w:rsidR="000B24AF" w:rsidRPr="000B24AF" w:rsidTr="0078025E">
        <w:trPr>
          <w:trHeight w:val="10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Political Stability No Violence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World Bank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i/>
              </w:rPr>
            </w:pPr>
            <w:r w:rsidRPr="000B24AF">
              <w:rPr>
                <w:i/>
              </w:rPr>
              <w:t>Political Stability and Absence of Violence/Terrorism measures perceptions of the likelihood of political instability and/or politically motivated</w:t>
            </w:r>
            <w:r w:rsidRPr="000B24AF">
              <w:rPr>
                <w:i/>
              </w:rPr>
              <w:br/>
              <w:t>violence, including terrorism. Estimate of governance (ranges from approximately -2.5 (weak) to 2.5 (strong) governance performance)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2020</w:t>
            </w:r>
          </w:p>
        </w:tc>
      </w:tr>
      <w:tr w:rsidR="000B24AF" w:rsidRPr="000B24AF" w:rsidTr="0078025E">
        <w:trPr>
          <w:trHeight w:val="17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Government Effectiveness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World Bank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i/>
              </w:rPr>
            </w:pPr>
            <w:r w:rsidRPr="000B24AF">
              <w:rPr>
                <w:i/>
              </w:rPr>
              <w:t>Government effectiveness captures perceptions of the quality of public services, the quality of the civil service and the degree</w:t>
            </w:r>
            <w:r w:rsidRPr="000B24AF">
              <w:rPr>
                <w:i/>
              </w:rPr>
              <w:br/>
              <w:t>of its independence from political pressures, the quality of policy formulation and implementation, and the credibility of the</w:t>
            </w:r>
            <w:r w:rsidRPr="000B24AF">
              <w:rPr>
                <w:i/>
              </w:rPr>
              <w:br/>
              <w:t xml:space="preserve">government's commitment to such policies. Estimate of governance (ranges from </w:t>
            </w:r>
            <w:r w:rsidRPr="000B24AF">
              <w:rPr>
                <w:i/>
              </w:rPr>
              <w:lastRenderedPageBreak/>
              <w:t>approximately -2.5 (weak) to 2.5 (strong) governance performance)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lastRenderedPageBreak/>
              <w:t>2020</w:t>
            </w:r>
          </w:p>
        </w:tc>
      </w:tr>
      <w:tr w:rsidR="000B24AF" w:rsidRPr="000B24AF" w:rsidTr="0078025E">
        <w:trPr>
          <w:trHeight w:val="17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 xml:space="preserve">Regulatory quality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World Bank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i/>
              </w:rPr>
            </w:pPr>
            <w:r w:rsidRPr="000B24AF">
              <w:rPr>
                <w:i/>
              </w:rPr>
              <w:t>Regulatory quality captures perceptions of the ability of the government to formulate and implement sound policies and regulations that</w:t>
            </w:r>
            <w:r w:rsidRPr="000B24AF">
              <w:rPr>
                <w:i/>
              </w:rPr>
              <w:br/>
              <w:t>permit and promote private sector development. This table lists the individual variables from each data source used to construct this</w:t>
            </w:r>
            <w:r w:rsidRPr="000B24AF">
              <w:rPr>
                <w:i/>
              </w:rPr>
              <w:br/>
              <w:t>measure in the Worldwide Governance Indicators. Estimate of governance (ranges from approximately -2.5 (weak) to 2.5 (strong) governance performance)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2020</w:t>
            </w:r>
          </w:p>
        </w:tc>
      </w:tr>
      <w:tr w:rsidR="000B24AF" w:rsidRPr="000B24AF" w:rsidTr="0078025E">
        <w:trPr>
          <w:trHeight w:val="1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Rule of law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World Bank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i/>
              </w:rPr>
            </w:pPr>
            <w:r w:rsidRPr="000B24AF">
              <w:rPr>
                <w:i/>
              </w:rPr>
              <w:t>Rule of law captures perceptions of the extent to which agents have confidence in and abide by the rules of society, and in particular the</w:t>
            </w:r>
            <w:r w:rsidRPr="000B24AF">
              <w:rPr>
                <w:i/>
              </w:rPr>
              <w:br/>
              <w:t>quality of contract enforcement, property rights, the police, and the courts, as well as the likelihood of crime and violence. Estimate of governance (ranges from approximately -2.5 (weak) to 2.5 (strong) governance performance)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2020</w:t>
            </w:r>
          </w:p>
        </w:tc>
      </w:tr>
      <w:tr w:rsidR="000B24AF" w:rsidRPr="000B24AF" w:rsidTr="0078025E">
        <w:trPr>
          <w:trHeight w:val="20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lastRenderedPageBreak/>
              <w:t>Control of corruption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World Bank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i/>
              </w:rPr>
            </w:pPr>
            <w:r w:rsidRPr="000B24AF">
              <w:rPr>
                <w:i/>
              </w:rPr>
              <w:t>Control of corruption captures perceptions of the extent to which public power is exercised for private gain, including both petty and</w:t>
            </w:r>
            <w:r w:rsidRPr="000B24AF">
              <w:rPr>
                <w:i/>
              </w:rPr>
              <w:br/>
              <w:t>grand forms of corruption, as well as "capture" of the state by elites and private interests. This table lists the individual variables from</w:t>
            </w:r>
            <w:r w:rsidRPr="000B24AF">
              <w:rPr>
                <w:i/>
              </w:rPr>
              <w:br/>
              <w:t>each data source used to construct this measure in the Worldwide Governance Indicators. Estimate of governance (ranges from approximately -2.5 (weak) to 2.5 (strong) governance performance)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2020</w:t>
            </w:r>
          </w:p>
        </w:tc>
      </w:tr>
      <w:tr w:rsidR="000B24AF" w:rsidRPr="000B24AF" w:rsidTr="0078025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</w:p>
        </w:tc>
      </w:tr>
      <w:tr w:rsidR="000B24AF" w:rsidRPr="000B24AF" w:rsidTr="0078025E">
        <w:trPr>
          <w:trHeight w:val="68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lastRenderedPageBreak/>
              <w:t>infection-fatality ratio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rPr>
                <w:i/>
              </w:rPr>
              <w:t>The IFRs were calculated by applying a 9-day</w:t>
            </w:r>
            <w:r w:rsidRPr="000B24AF">
              <w:rPr>
                <w:i/>
              </w:rPr>
              <w:br/>
              <w:t>lag to our daily infections to account for the delay between</w:t>
            </w:r>
            <w:r w:rsidRPr="000B24AF">
              <w:rPr>
                <w:i/>
              </w:rPr>
              <w:br/>
              <w:t>infection and death, calculating the sum of infections and</w:t>
            </w:r>
            <w:r w:rsidRPr="000B24AF">
              <w:rPr>
                <w:i/>
              </w:rPr>
              <w:br/>
              <w:t>deaths, and then dividing the cumulative deaths over the</w:t>
            </w:r>
            <w:r w:rsidRPr="000B24AF">
              <w:rPr>
                <w:i/>
              </w:rPr>
              <w:br/>
              <w:t>cumulative lagged infections. For this research, Adjusted IFR per 1000 infections will be used. IFR has been adjusted to population density,</w:t>
            </w:r>
            <w:r w:rsidRPr="000B24AF">
              <w:rPr>
                <w:i/>
              </w:rPr>
              <w:br/>
              <w:t>gross domestic product (GDP), altitude, and seasonality—</w:t>
            </w:r>
            <w:r w:rsidRPr="000B24AF">
              <w:rPr>
                <w:i/>
              </w:rPr>
              <w:br/>
              <w:t>factors that might increase transmission—and age,</w:t>
            </w:r>
            <w:r w:rsidRPr="000B24AF">
              <w:rPr>
                <w:i/>
              </w:rPr>
              <w:br/>
              <w:t>age-standardized chronic obstructive pulmonary</w:t>
            </w:r>
            <w:r w:rsidRPr="000B24AF">
              <w:rPr>
                <w:i/>
              </w:rPr>
              <w:br/>
              <w:t>disease prevalence, and age-standardized cancer</w:t>
            </w:r>
            <w:r w:rsidRPr="000B24AF">
              <w:rPr>
                <w:i/>
              </w:rPr>
              <w:br/>
              <w:t>prevalence—factors that might increase morbidity</w:t>
            </w:r>
            <w:r w:rsidRPr="000B24AF">
              <w:rPr>
                <w:i/>
              </w:rPr>
              <w:br/>
              <w:t>or mortality from infection—and previous exposure to</w:t>
            </w:r>
            <w:r w:rsidRPr="000B24AF">
              <w:rPr>
                <w:i/>
              </w:rPr>
              <w:br/>
              <w:t>coronaviruses, a factor that might influence both subsequent</w:t>
            </w:r>
            <w:r w:rsidRPr="000B24AF">
              <w:br/>
            </w:r>
            <w:r w:rsidRPr="000B24AF">
              <w:rPr>
                <w:i/>
              </w:rPr>
              <w:t>transmission probability and mortality outcomes. These factors are known or considered influence IFR (8).</w:t>
            </w:r>
            <w:r w:rsidRPr="000B24AF">
              <w:t xml:space="preserve">                                                                           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2021</w:t>
            </w:r>
          </w:p>
        </w:tc>
      </w:tr>
      <w:tr w:rsidR="000B24AF" w:rsidRPr="000B24AF" w:rsidTr="0078025E">
        <w:trPr>
          <w:trHeight w:val="47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lastRenderedPageBreak/>
              <w:t>Cumulative infection</w:t>
            </w:r>
            <w:r w:rsidRPr="000B24AF">
              <w:br/>
              <w:t>rate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i/>
              </w:rPr>
            </w:pPr>
            <w:r w:rsidRPr="000B24AF">
              <w:rPr>
                <w:i/>
              </w:rPr>
              <w:t>cumulative infections were calculated by</w:t>
            </w:r>
            <w:r w:rsidRPr="000B24AF">
              <w:rPr>
                <w:i/>
              </w:rPr>
              <w:br/>
              <w:t>summing up the total estimated daily infections for each</w:t>
            </w:r>
            <w:r w:rsidRPr="000B24AF">
              <w:rPr>
                <w:i/>
              </w:rPr>
              <w:br/>
              <w:t>national or subnational location over the entire time period</w:t>
            </w:r>
            <w:r w:rsidRPr="000B24AF">
              <w:rPr>
                <w:i/>
              </w:rPr>
              <w:br/>
              <w:t>(and also for the shorter time period, Jan 1, 2020, to</w:t>
            </w:r>
            <w:r w:rsidRPr="000B24AF">
              <w:rPr>
                <w:i/>
              </w:rPr>
              <w:br/>
              <w:t>Oct 15, 2020), and were divided by the 2019 estimated</w:t>
            </w:r>
            <w:r w:rsidRPr="000B24AF">
              <w:rPr>
                <w:i/>
              </w:rPr>
              <w:br/>
              <w:t>population in each location to get the cumulative infections</w:t>
            </w:r>
            <w:r w:rsidRPr="000B24AF">
              <w:rPr>
                <w:i/>
              </w:rPr>
              <w:br/>
              <w:t>per capita. Adjusted infections per 1000</w:t>
            </w:r>
            <w:r w:rsidRPr="000B24AF">
              <w:rPr>
                <w:i/>
              </w:rPr>
              <w:br/>
              <w:t xml:space="preserve">people will be used. This rate has been adjusted to seasonality, altitude, GDP per capita, population density, previous betacoronavirus exposure (8). 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2021</w:t>
            </w:r>
          </w:p>
        </w:tc>
      </w:tr>
      <w:tr w:rsidR="000B24AF" w:rsidRPr="000B24AF" w:rsidTr="0078025E">
        <w:trPr>
          <w:trHeight w:val="47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lastRenderedPageBreak/>
              <w:t>Cumulative_estimated_daily_excess_deaths_per_100k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The Economist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i/>
              </w:rPr>
            </w:pPr>
            <w:r w:rsidRPr="000B24AF">
              <w:rPr>
                <w:i/>
              </w:rPr>
              <w:t>Excess mortality is defined as deaths from all</w:t>
            </w:r>
            <w:r w:rsidRPr="000B24AF">
              <w:rPr>
                <w:i/>
              </w:rPr>
              <w:br/>
              <w:t>causes during a period, after accounting for expected</w:t>
            </w:r>
            <w:r w:rsidRPr="000B24AF">
              <w:rPr>
                <w:i/>
              </w:rPr>
              <w:br/>
              <w:t>deaths.14 It estimates how many more people died</w:t>
            </w:r>
            <w:r w:rsidRPr="000B24AF">
              <w:rPr>
                <w:i/>
              </w:rPr>
              <w:br/>
              <w:t>during the COVID-19</w:t>
            </w:r>
            <w:r w:rsidRPr="000B24AF">
              <w:rPr>
                <w:i/>
              </w:rPr>
              <w:br/>
              <w:t>pandemic than would be</w:t>
            </w:r>
            <w:r w:rsidRPr="000B24AF">
              <w:rPr>
                <w:i/>
              </w:rPr>
              <w:br/>
              <w:t>expected under usual conditions. Excess mortality is a</w:t>
            </w:r>
            <w:r w:rsidRPr="000B24AF">
              <w:rPr>
                <w:i/>
              </w:rPr>
              <w:br/>
              <w:t>more comprehensive assessment of the pandemic toll</w:t>
            </w:r>
            <w:r w:rsidRPr="000B24AF">
              <w:rPr>
                <w:i/>
              </w:rPr>
              <w:br/>
              <w:t>than confirmed COVID-19</w:t>
            </w:r>
            <w:r w:rsidRPr="000B24AF">
              <w:rPr>
                <w:i/>
              </w:rPr>
              <w:br/>
              <w:t>deaths, as it also captures</w:t>
            </w:r>
            <w:r w:rsidRPr="000B24AF">
              <w:rPr>
                <w:i/>
              </w:rPr>
              <w:br/>
              <w:t>incorrectly diagnosed or reported deaths and indirect</w:t>
            </w:r>
            <w:r w:rsidRPr="000B24AF">
              <w:rPr>
                <w:i/>
              </w:rPr>
              <w:br/>
              <w:t>mortality resulting from overburdened healthcare</w:t>
            </w:r>
            <w:r w:rsidRPr="000B24AF">
              <w:rPr>
                <w:i/>
              </w:rPr>
              <w:br/>
              <w:t>systems or exacerbated poverty. Greater values</w:t>
            </w:r>
            <w:r w:rsidRPr="000B24AF">
              <w:rPr>
                <w:i/>
              </w:rPr>
              <w:br/>
              <w:t>of excess mortality per 100 000 individuals indicates</w:t>
            </w:r>
            <w:r w:rsidRPr="000B24AF">
              <w:rPr>
                <w:i/>
              </w:rPr>
              <w:br/>
              <w:t>poor pandemic response.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2020; 2021 e 2022</w:t>
            </w:r>
          </w:p>
        </w:tc>
      </w:tr>
      <w:tr w:rsidR="000B24AF" w:rsidRPr="000B24AF" w:rsidTr="0078025E">
        <w:trPr>
          <w:trHeight w:val="6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People fully vaccinated (cumulative)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Our World in Data - Oxford Martin School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i/>
              </w:rPr>
            </w:pPr>
            <w:r w:rsidRPr="000B24AF">
              <w:rPr>
                <w:i/>
              </w:rPr>
              <w:t>Total number of people who received all doses prescribed by the initial vaccination protocol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rPr>
                <w:color w:val="000000"/>
              </w:rPr>
              <w:t>Last update (February 15th)</w:t>
            </w:r>
          </w:p>
        </w:tc>
      </w:tr>
      <w:tr w:rsidR="000B24AF" w:rsidRPr="000B24AF" w:rsidTr="0078025E">
        <w:trPr>
          <w:trHeight w:val="6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Delivered population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t>United Nations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4AF" w:rsidRPr="000B24AF" w:rsidRDefault="000B24AF" w:rsidP="0078025E">
            <w:pPr>
              <w:jc w:val="center"/>
              <w:rPr>
                <w:i/>
              </w:rPr>
            </w:pPr>
            <w:r w:rsidRPr="000B24AF">
              <w:rPr>
                <w:i/>
              </w:rPr>
              <w:t>Delivered vaccines includes vaccines that have been made available in the country (% of population)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4AF" w:rsidRPr="000B24AF" w:rsidRDefault="000B24AF" w:rsidP="0078025E">
            <w:pPr>
              <w:jc w:val="center"/>
            </w:pPr>
            <w:r w:rsidRPr="000B24AF">
              <w:rPr>
                <w:color w:val="000000"/>
              </w:rPr>
              <w:t>Last update (February 15th)</w:t>
            </w:r>
          </w:p>
        </w:tc>
      </w:tr>
      <w:tr w:rsidR="000B24AF" w:rsidRPr="000B24AF" w:rsidTr="0078025E">
        <w:trPr>
          <w:trHeight w:val="6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24AF" w:rsidRPr="000B24AF" w:rsidRDefault="000B24AF" w:rsidP="0078025E">
            <w:pPr>
              <w:jc w:val="center"/>
            </w:pPr>
            <w:r w:rsidRPr="000B24AF">
              <w:t>Vaccination policy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24AF" w:rsidRPr="000B24AF" w:rsidRDefault="000B24AF" w:rsidP="0078025E">
            <w:pPr>
              <w:jc w:val="center"/>
            </w:pPr>
            <w:r w:rsidRPr="000B24AF">
              <w:t>Oxford COVID-19 Government Response</w:t>
            </w:r>
          </w:p>
          <w:p w:rsidR="000B24AF" w:rsidRPr="000B24AF" w:rsidRDefault="000B24AF" w:rsidP="0078025E">
            <w:pPr>
              <w:jc w:val="center"/>
            </w:pPr>
            <w:r w:rsidRPr="000B24AF">
              <w:t>Tracker)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24AF" w:rsidRPr="000B24AF" w:rsidRDefault="000B24AF" w:rsidP="0078025E">
            <w:pPr>
              <w:ind w:left="720"/>
              <w:jc w:val="center"/>
              <w:rPr>
                <w:i/>
              </w:rPr>
            </w:pPr>
            <w:r w:rsidRPr="000B24AF">
              <w:rPr>
                <w:i/>
              </w:rPr>
              <w:t xml:space="preserve">Countries are grouped into six categories: i) No availability; ii) Availability for ONE of following: key workers/ clinically vulnerable groups / elderly groups; iii) Availability for TWO of following: key workers/ clinically vulnerable groups / </w:t>
            </w:r>
            <w:r w:rsidRPr="000B24AF">
              <w:rPr>
                <w:i/>
              </w:rPr>
              <w:lastRenderedPageBreak/>
              <w:t>elderly groups; iv) Availability for ALL of following: key workers/ clinically vulnerable groups / elderly groups; v) Availability for all three plus partial additional availability (select broad groups/ages); vi) Universal availability.</w:t>
            </w:r>
          </w:p>
          <w:p w:rsidR="000B24AF" w:rsidRPr="000B24AF" w:rsidRDefault="000B24AF" w:rsidP="0078025E">
            <w:pPr>
              <w:jc w:val="center"/>
              <w:rPr>
                <w:i/>
              </w:rPr>
            </w:pPr>
          </w:p>
          <w:p w:rsidR="000B24AF" w:rsidRPr="000B24AF" w:rsidRDefault="000B24AF" w:rsidP="0078025E">
            <w:pPr>
              <w:jc w:val="center"/>
              <w:rPr>
                <w:i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24AF" w:rsidRPr="000B24AF" w:rsidRDefault="000B24AF" w:rsidP="0078025E">
            <w:pPr>
              <w:jc w:val="center"/>
            </w:pPr>
            <w:r w:rsidRPr="000B24AF">
              <w:lastRenderedPageBreak/>
              <w:t>-</w:t>
            </w:r>
          </w:p>
        </w:tc>
      </w:tr>
      <w:tr w:rsidR="000B24AF" w:rsidRPr="000B24AF" w:rsidTr="0078025E">
        <w:trPr>
          <w:trHeight w:val="680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B24AF" w:rsidRPr="000B24AF" w:rsidRDefault="000B24AF" w:rsidP="0078025E">
            <w:pPr>
              <w:jc w:val="center"/>
            </w:pPr>
            <w:r w:rsidRPr="000B24AF">
              <w:t>Administration of the</w:t>
            </w:r>
          </w:p>
          <w:p w:rsidR="000B24AF" w:rsidRPr="000B24AF" w:rsidRDefault="000B24AF" w:rsidP="0078025E">
            <w:pPr>
              <w:jc w:val="center"/>
            </w:pPr>
            <w:r w:rsidRPr="000B24AF">
              <w:t>first dose in the country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B24AF" w:rsidRPr="000B24AF" w:rsidRDefault="000B24AF" w:rsidP="0078025E">
            <w:pPr>
              <w:jc w:val="center"/>
            </w:pPr>
            <w:r w:rsidRPr="000B24AF">
              <w:t>Our World in Data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B24AF" w:rsidRPr="000B24AF" w:rsidRDefault="000B24AF" w:rsidP="0078025E">
            <w:pPr>
              <w:ind w:left="720"/>
              <w:jc w:val="center"/>
              <w:rPr>
                <w:i/>
              </w:rPr>
            </w:pPr>
            <w:r w:rsidRPr="000B24AF">
              <w:rPr>
                <w:i/>
              </w:rPr>
              <w:t>First vaccine date at the country level</w:t>
            </w:r>
          </w:p>
        </w:tc>
        <w:tc>
          <w:tcPr>
            <w:tcW w:w="2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B24AF" w:rsidRPr="000B24AF" w:rsidRDefault="000B24AF" w:rsidP="0078025E">
            <w:pPr>
              <w:jc w:val="center"/>
            </w:pPr>
            <w:r w:rsidRPr="000B24AF">
              <w:t>-</w:t>
            </w:r>
          </w:p>
        </w:tc>
      </w:tr>
      <w:tr w:rsidR="000B24AF" w:rsidRPr="000B24AF" w:rsidTr="0078025E">
        <w:trPr>
          <w:trHeight w:val="680"/>
        </w:trPr>
        <w:tc>
          <w:tcPr>
            <w:tcW w:w="35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0B24AF" w:rsidRPr="000B24AF" w:rsidRDefault="000B24AF" w:rsidP="0078025E">
            <w:pPr>
              <w:jc w:val="center"/>
            </w:pPr>
            <w:r w:rsidRPr="000B24AF">
              <w:t>The total number of vaccination doses administered per 100 people at the country level (cumulative)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0B24AF" w:rsidRPr="000B24AF" w:rsidRDefault="000B24AF" w:rsidP="0078025E">
            <w:pPr>
              <w:jc w:val="center"/>
            </w:pPr>
            <w:r w:rsidRPr="000B24AF">
              <w:t>Our World in Data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B24AF" w:rsidRPr="000B24AF" w:rsidRDefault="000B24AF" w:rsidP="0078025E">
            <w:pPr>
              <w:ind w:left="720"/>
              <w:jc w:val="center"/>
              <w:rPr>
                <w:i/>
              </w:rPr>
            </w:pPr>
            <w:r w:rsidRPr="000B24AF">
              <w:rPr>
                <w:i/>
              </w:rPr>
              <w:t>Number of vaccine doses administered per 100 people within a given population. All doses, including boosters, are counted individually”.</w:t>
            </w:r>
          </w:p>
          <w:p w:rsidR="000B24AF" w:rsidRPr="000B24AF" w:rsidRDefault="000B24AF" w:rsidP="0078025E">
            <w:pPr>
              <w:ind w:left="720"/>
              <w:jc w:val="center"/>
              <w:rPr>
                <w:i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0B24AF" w:rsidRPr="000B24AF" w:rsidRDefault="000B24AF" w:rsidP="0078025E">
            <w:pPr>
              <w:jc w:val="center"/>
            </w:pPr>
            <w:r w:rsidRPr="000B24AF">
              <w:rPr>
                <w:color w:val="000000"/>
              </w:rPr>
              <w:t>Last update (February 15th)</w:t>
            </w:r>
          </w:p>
        </w:tc>
      </w:tr>
    </w:tbl>
    <w:p w:rsidR="003B52FE" w:rsidRDefault="003B52FE">
      <w:pPr>
        <w:sectPr w:rsidR="003B52FE" w:rsidSect="003B52FE">
          <w:footerReference w:type="even" r:id="rId6"/>
          <w:footerReference w:type="default" r:id="rId7"/>
          <w:pgSz w:w="16840" w:h="1190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132320" w:rsidRDefault="00132320" w:rsidP="003D5D8F"/>
    <w:sectPr w:rsidR="00132320" w:rsidSect="003B52FE">
      <w:pgSz w:w="16840" w:h="1190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61B" w:rsidRDefault="0041461B" w:rsidP="003B52FE">
      <w:r>
        <w:separator/>
      </w:r>
    </w:p>
  </w:endnote>
  <w:endnote w:type="continuationSeparator" w:id="0">
    <w:p w:rsidR="0041461B" w:rsidRDefault="0041461B" w:rsidP="003B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211859618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3B52FE" w:rsidRDefault="003B52FE" w:rsidP="004678C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3B52FE" w:rsidRDefault="003B52FE" w:rsidP="003B52F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55835960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3B52FE" w:rsidRDefault="003B52FE" w:rsidP="004678C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3B52FE" w:rsidRDefault="003B52FE" w:rsidP="003B52F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61B" w:rsidRDefault="0041461B" w:rsidP="003B52FE">
      <w:r>
        <w:separator/>
      </w:r>
    </w:p>
  </w:footnote>
  <w:footnote w:type="continuationSeparator" w:id="0">
    <w:p w:rsidR="0041461B" w:rsidRDefault="0041461B" w:rsidP="003B5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AF"/>
    <w:rsid w:val="0002474E"/>
    <w:rsid w:val="000B24AF"/>
    <w:rsid w:val="00132320"/>
    <w:rsid w:val="0020636F"/>
    <w:rsid w:val="00255D91"/>
    <w:rsid w:val="003B52FE"/>
    <w:rsid w:val="003D5D8F"/>
    <w:rsid w:val="0041461B"/>
    <w:rsid w:val="004A28AA"/>
    <w:rsid w:val="005E0E21"/>
    <w:rsid w:val="007F13F2"/>
    <w:rsid w:val="008B0483"/>
    <w:rsid w:val="009B6C35"/>
    <w:rsid w:val="00A9413C"/>
    <w:rsid w:val="00DB08B8"/>
    <w:rsid w:val="00E926CB"/>
    <w:rsid w:val="00E9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9B658D18-0CFB-FD47-8531-803B2F9C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B24AF"/>
    <w:rPr>
      <w:rFonts w:ascii="Times New Roman" w:eastAsia="Times New Roman" w:hAnsi="Times New Roman" w:cs="Times New Roman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3B52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52FE"/>
    <w:rPr>
      <w:rFonts w:ascii="Times New Roman" w:eastAsia="Times New Roman" w:hAnsi="Times New Roman" w:cs="Times New Roman"/>
      <w:lang w:val="en-US" w:eastAsia="pt-BR"/>
    </w:rPr>
  </w:style>
  <w:style w:type="character" w:styleId="Nmerodepgina">
    <w:name w:val="page number"/>
    <w:basedOn w:val="Fontepargpadro"/>
    <w:uiPriority w:val="99"/>
    <w:semiHidden/>
    <w:unhideWhenUsed/>
    <w:rsid w:val="003B5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971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Eccard</dc:creator>
  <cp:keywords/>
  <dc:description/>
  <cp:lastModifiedBy>Ricardo Eccard</cp:lastModifiedBy>
  <cp:revision>2</cp:revision>
  <dcterms:created xsi:type="dcterms:W3CDTF">2023-10-21T00:58:00Z</dcterms:created>
  <dcterms:modified xsi:type="dcterms:W3CDTF">2023-10-21T00:58:00Z</dcterms:modified>
</cp:coreProperties>
</file>