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16533" w14:textId="59169942" w:rsidR="008E6035" w:rsidRPr="00710A0C" w:rsidRDefault="00051667" w:rsidP="008E6035">
      <w:pPr>
        <w:pStyle w:val="Heading1"/>
        <w:spacing w:after="120" w:line="360" w:lineRule="auto"/>
        <w:rPr>
          <w:rFonts w:ascii="Arial" w:hAnsi="Arial" w:cs="Arial"/>
          <w:b/>
          <w:bCs/>
          <w:color w:val="auto"/>
          <w:sz w:val="22"/>
          <w:szCs w:val="22"/>
        </w:rPr>
      </w:pPr>
      <w:r>
        <w:rPr>
          <w:rFonts w:ascii="Arial" w:hAnsi="Arial" w:cs="Arial"/>
          <w:b/>
          <w:bCs/>
          <w:color w:val="auto"/>
          <w:sz w:val="22"/>
          <w:szCs w:val="22"/>
        </w:rPr>
        <w:t>SUPPLEMENTARY MATERIAL</w:t>
      </w:r>
    </w:p>
    <w:p w14:paraId="3C64361C" w14:textId="3419287D" w:rsidR="008E6035" w:rsidRPr="007D5F26" w:rsidRDefault="00E46244" w:rsidP="008E6035">
      <w:pPr>
        <w:spacing w:line="360" w:lineRule="auto"/>
        <w:jc w:val="both"/>
        <w:rPr>
          <w:rFonts w:ascii="Arial" w:hAnsi="Arial" w:cs="Arial"/>
          <w:i/>
          <w:iCs/>
        </w:rPr>
      </w:pPr>
      <w:r w:rsidRPr="007D5F26">
        <w:rPr>
          <w:rFonts w:ascii="Arial" w:hAnsi="Arial" w:cs="Arial"/>
          <w:i/>
          <w:iCs/>
        </w:rPr>
        <w:t>S</w:t>
      </w:r>
      <w:r w:rsidR="007D5F26">
        <w:rPr>
          <w:rFonts w:ascii="Arial" w:hAnsi="Arial" w:cs="Arial"/>
          <w:i/>
          <w:iCs/>
        </w:rPr>
        <w:t>upplement</w:t>
      </w:r>
      <w:r w:rsidR="00963864">
        <w:rPr>
          <w:rFonts w:ascii="Arial" w:hAnsi="Arial" w:cs="Arial"/>
          <w:i/>
          <w:iCs/>
        </w:rPr>
        <w:t>ary file</w:t>
      </w:r>
      <w:r w:rsidR="007D5F26">
        <w:rPr>
          <w:rFonts w:ascii="Arial" w:hAnsi="Arial" w:cs="Arial"/>
          <w:i/>
          <w:iCs/>
        </w:rPr>
        <w:t xml:space="preserve"> </w:t>
      </w:r>
      <w:r w:rsidRPr="007D5F26">
        <w:rPr>
          <w:rFonts w:ascii="Arial" w:hAnsi="Arial" w:cs="Arial"/>
          <w:i/>
          <w:iCs/>
        </w:rPr>
        <w:t>1</w:t>
      </w:r>
      <w:r w:rsidR="008E6035" w:rsidRPr="007D5F26">
        <w:rPr>
          <w:rFonts w:ascii="Arial" w:hAnsi="Arial" w:cs="Arial"/>
          <w:i/>
          <w:iCs/>
        </w:rPr>
        <w:t xml:space="preserve">. Search strategy </w:t>
      </w:r>
    </w:p>
    <w:p w14:paraId="6B7CAF2E" w14:textId="77777777" w:rsidR="008E6035" w:rsidRPr="00710A0C" w:rsidRDefault="008E6035" w:rsidP="008E6035">
      <w:pPr>
        <w:spacing w:line="360" w:lineRule="auto"/>
        <w:jc w:val="both"/>
        <w:rPr>
          <w:rFonts w:ascii="Arial" w:hAnsi="Arial" w:cs="Arial"/>
          <w:lang w:val="en-AU"/>
        </w:rPr>
      </w:pPr>
      <w:r w:rsidRPr="00710A0C">
        <w:rPr>
          <w:rFonts w:ascii="Arial" w:hAnsi="Arial" w:cs="Arial"/>
          <w:lang w:val="en-AU"/>
        </w:rPr>
        <w:t xml:space="preserve">Population: to search for all possible actors within the food system, no keywords were used to avoid limiting the search. </w:t>
      </w:r>
    </w:p>
    <w:p w14:paraId="29595DD7" w14:textId="77777777" w:rsidR="008E6035" w:rsidRPr="00710A0C" w:rsidRDefault="008E6035" w:rsidP="008E6035">
      <w:pPr>
        <w:spacing w:line="360" w:lineRule="auto"/>
        <w:jc w:val="both"/>
        <w:rPr>
          <w:rFonts w:ascii="Arial" w:hAnsi="Arial" w:cs="Arial"/>
          <w:lang w:val="en-AU"/>
        </w:rPr>
      </w:pPr>
      <w:r w:rsidRPr="00710A0C">
        <w:rPr>
          <w:rFonts w:ascii="Arial" w:hAnsi="Arial" w:cs="Arial"/>
          <w:lang w:val="en-AU"/>
        </w:rPr>
        <w:t xml:space="preserve">Concept: corrupt* OR bribe* OR theft OR nepotism OR "organized crime" OR “organised crime” OR lobby* OR crony* OR patronage OR "failed state" OR "legislative capture" OR crime OR “illicit practice” OR dishonest* OR </w:t>
      </w:r>
      <w:proofErr w:type="spellStart"/>
      <w:r w:rsidRPr="00710A0C">
        <w:rPr>
          <w:rFonts w:ascii="Arial" w:hAnsi="Arial" w:cs="Arial"/>
          <w:lang w:val="en-AU"/>
        </w:rPr>
        <w:t>anticorrupt</w:t>
      </w:r>
      <w:proofErr w:type="spellEnd"/>
      <w:r w:rsidRPr="00710A0C">
        <w:rPr>
          <w:rFonts w:ascii="Arial" w:hAnsi="Arial" w:cs="Arial"/>
          <w:lang w:val="en-AU"/>
        </w:rPr>
        <w:t xml:space="preserve">* OR “anti-corrupt” OR antifraud OR “anti-fraud*” OR “informal payment” OR “informal practice” OR fraud* OR quackery OR forgery OR absenteeism OR </w:t>
      </w:r>
      <w:proofErr w:type="spellStart"/>
      <w:r w:rsidRPr="00710A0C">
        <w:rPr>
          <w:rFonts w:ascii="Arial" w:hAnsi="Arial" w:cs="Arial"/>
          <w:lang w:val="en-AU"/>
        </w:rPr>
        <w:t>embezzl</w:t>
      </w:r>
      <w:proofErr w:type="spellEnd"/>
      <w:r w:rsidRPr="00710A0C">
        <w:rPr>
          <w:rFonts w:ascii="Arial" w:hAnsi="Arial" w:cs="Arial"/>
          <w:lang w:val="en-AU"/>
        </w:rPr>
        <w:t xml:space="preserve">* OR collusion </w:t>
      </w:r>
    </w:p>
    <w:p w14:paraId="6471CAC2" w14:textId="77777777" w:rsidR="008E6035" w:rsidRPr="00710A0C" w:rsidRDefault="008E6035" w:rsidP="008E6035">
      <w:pPr>
        <w:spacing w:line="360" w:lineRule="auto"/>
        <w:jc w:val="both"/>
        <w:rPr>
          <w:rFonts w:ascii="Arial" w:hAnsi="Arial" w:cs="Arial"/>
          <w:b/>
          <w:bCs/>
          <w:lang w:val="en-AU"/>
        </w:rPr>
      </w:pPr>
      <w:r w:rsidRPr="00710A0C">
        <w:rPr>
          <w:rFonts w:ascii="Arial" w:hAnsi="Arial" w:cs="Arial"/>
          <w:b/>
          <w:bCs/>
          <w:lang w:val="en-AU"/>
        </w:rPr>
        <w:t>AND</w:t>
      </w:r>
    </w:p>
    <w:p w14:paraId="7C7C6384" w14:textId="77777777" w:rsidR="008E6035" w:rsidRPr="00710A0C" w:rsidRDefault="008E6035" w:rsidP="008E6035">
      <w:pPr>
        <w:spacing w:line="360" w:lineRule="auto"/>
        <w:jc w:val="both"/>
        <w:rPr>
          <w:rFonts w:ascii="Arial" w:hAnsi="Arial" w:cs="Arial"/>
          <w:lang w:val="en-AU"/>
        </w:rPr>
      </w:pPr>
      <w:r w:rsidRPr="00710A0C">
        <w:rPr>
          <w:rFonts w:ascii="Arial" w:hAnsi="Arial" w:cs="Arial"/>
          <w:lang w:val="en-AU"/>
        </w:rPr>
        <w:t xml:space="preserve">Context: food OR "food system*" OR "food </w:t>
      </w:r>
      <w:proofErr w:type="spellStart"/>
      <w:r w:rsidRPr="00710A0C">
        <w:rPr>
          <w:rFonts w:ascii="Arial" w:hAnsi="Arial" w:cs="Arial"/>
          <w:lang w:val="en-AU"/>
        </w:rPr>
        <w:t>insecur</w:t>
      </w:r>
      <w:proofErr w:type="spellEnd"/>
      <w:r w:rsidRPr="00710A0C">
        <w:rPr>
          <w:rFonts w:ascii="Arial" w:hAnsi="Arial" w:cs="Arial"/>
          <w:lang w:val="en-AU"/>
        </w:rPr>
        <w:t xml:space="preserve">*" OR “food </w:t>
      </w:r>
      <w:proofErr w:type="spellStart"/>
      <w:r w:rsidRPr="00710A0C">
        <w:rPr>
          <w:rFonts w:ascii="Arial" w:hAnsi="Arial" w:cs="Arial"/>
          <w:lang w:val="en-AU"/>
        </w:rPr>
        <w:t>secur</w:t>
      </w:r>
      <w:proofErr w:type="spellEnd"/>
      <w:r w:rsidRPr="00710A0C">
        <w:rPr>
          <w:rFonts w:ascii="Arial" w:hAnsi="Arial" w:cs="Arial"/>
          <w:lang w:val="en-AU"/>
        </w:rPr>
        <w:t xml:space="preserve">*” OR "food sovereignty" OR "food trade" OR "food subsidy" OR "food policy" OR malnutrition OR undernutrition OR overnutrition OR </w:t>
      </w:r>
      <w:proofErr w:type="spellStart"/>
      <w:r w:rsidRPr="00710A0C">
        <w:rPr>
          <w:rFonts w:ascii="Arial" w:hAnsi="Arial" w:cs="Arial"/>
          <w:lang w:val="en-AU"/>
        </w:rPr>
        <w:t>agricultur</w:t>
      </w:r>
      <w:proofErr w:type="spellEnd"/>
      <w:r w:rsidRPr="00710A0C">
        <w:rPr>
          <w:rFonts w:ascii="Arial" w:hAnsi="Arial" w:cs="Arial"/>
          <w:lang w:val="en-AU"/>
        </w:rPr>
        <w:t xml:space="preserve">* </w:t>
      </w:r>
    </w:p>
    <w:p w14:paraId="4B02C680" w14:textId="77777777" w:rsidR="008E6035" w:rsidRPr="00710A0C" w:rsidRDefault="008E6035" w:rsidP="008E6035">
      <w:pPr>
        <w:spacing w:line="360" w:lineRule="auto"/>
        <w:jc w:val="both"/>
        <w:rPr>
          <w:rFonts w:ascii="Arial" w:hAnsi="Arial" w:cs="Arial"/>
          <w:b/>
          <w:bCs/>
          <w:lang w:val="en-AU"/>
        </w:rPr>
      </w:pPr>
      <w:r w:rsidRPr="00710A0C">
        <w:rPr>
          <w:rFonts w:ascii="Arial" w:hAnsi="Arial" w:cs="Arial"/>
          <w:b/>
          <w:bCs/>
          <w:lang w:val="en-AU"/>
        </w:rPr>
        <w:t>AND NOT</w:t>
      </w:r>
    </w:p>
    <w:p w14:paraId="5FEC946F" w14:textId="426AFB35" w:rsidR="008E6035" w:rsidRDefault="008E6035" w:rsidP="00E46244">
      <w:pPr>
        <w:spacing w:line="360" w:lineRule="auto"/>
        <w:jc w:val="both"/>
        <w:rPr>
          <w:rFonts w:ascii="Arial" w:hAnsi="Arial" w:cs="Arial"/>
          <w:lang w:val="en-AU"/>
        </w:rPr>
      </w:pPr>
      <w:r w:rsidRPr="00710A0C">
        <w:rPr>
          <w:rFonts w:ascii="Arial" w:hAnsi="Arial" w:cs="Arial"/>
          <w:lang w:val="en-AU"/>
        </w:rPr>
        <w:t xml:space="preserve">assay OR cell* OR spectroscopy OR spectrometry OR DNA OR chem* OR gene* OR nuclear OR mouse OR mice OR rat OR enzyme OR polymer* OR chromatography OR </w:t>
      </w:r>
      <w:proofErr w:type="spellStart"/>
      <w:r w:rsidRPr="00710A0C">
        <w:rPr>
          <w:rFonts w:ascii="Arial" w:hAnsi="Arial" w:cs="Arial"/>
          <w:lang w:val="en-AU"/>
        </w:rPr>
        <w:t>histolog</w:t>
      </w:r>
      <w:proofErr w:type="spellEnd"/>
      <w:r w:rsidRPr="00710A0C">
        <w:rPr>
          <w:rFonts w:ascii="Arial" w:hAnsi="Arial" w:cs="Arial"/>
          <w:lang w:val="en-AU"/>
        </w:rPr>
        <w:t xml:space="preserve">* OR electrode* OR neuro* OR neural OR “in vitro” OR </w:t>
      </w:r>
      <w:proofErr w:type="spellStart"/>
      <w:r w:rsidRPr="00710A0C">
        <w:rPr>
          <w:rFonts w:ascii="Arial" w:hAnsi="Arial" w:cs="Arial"/>
          <w:lang w:val="en-AU"/>
        </w:rPr>
        <w:t>molecul</w:t>
      </w:r>
      <w:proofErr w:type="spellEnd"/>
      <w:r w:rsidRPr="00710A0C">
        <w:rPr>
          <w:rFonts w:ascii="Arial" w:hAnsi="Arial" w:cs="Arial"/>
          <w:lang w:val="en-AU"/>
        </w:rPr>
        <w:t xml:space="preserve">* OR </w:t>
      </w:r>
      <w:proofErr w:type="spellStart"/>
      <w:r w:rsidRPr="00710A0C">
        <w:rPr>
          <w:rFonts w:ascii="Arial" w:hAnsi="Arial" w:cs="Arial"/>
          <w:lang w:val="en-AU"/>
        </w:rPr>
        <w:t>pcr</w:t>
      </w:r>
      <w:proofErr w:type="spellEnd"/>
    </w:p>
    <w:p w14:paraId="1D33E976" w14:textId="6B901919" w:rsidR="00620750" w:rsidRDefault="00620750" w:rsidP="00E46244">
      <w:pPr>
        <w:spacing w:line="360" w:lineRule="auto"/>
        <w:jc w:val="both"/>
        <w:rPr>
          <w:rFonts w:ascii="Arial" w:hAnsi="Arial" w:cs="Arial"/>
          <w:lang w:val="en-AU"/>
        </w:rPr>
      </w:pPr>
    </w:p>
    <w:p w14:paraId="121FCDFE" w14:textId="692E5121" w:rsidR="00620750" w:rsidRDefault="00620750" w:rsidP="00E46244">
      <w:pPr>
        <w:spacing w:line="360" w:lineRule="auto"/>
        <w:jc w:val="both"/>
        <w:rPr>
          <w:rFonts w:ascii="Arial" w:hAnsi="Arial" w:cs="Arial"/>
          <w:lang w:val="en-AU"/>
        </w:rPr>
      </w:pPr>
    </w:p>
    <w:p w14:paraId="30EB403F" w14:textId="4C0C81E2" w:rsidR="00620750" w:rsidRDefault="00620750" w:rsidP="00E46244">
      <w:pPr>
        <w:spacing w:line="360" w:lineRule="auto"/>
        <w:jc w:val="both"/>
        <w:rPr>
          <w:rFonts w:ascii="Arial" w:hAnsi="Arial" w:cs="Arial"/>
          <w:lang w:val="en-AU"/>
        </w:rPr>
      </w:pPr>
    </w:p>
    <w:p w14:paraId="16DFA281" w14:textId="1C69FBD1" w:rsidR="00620750" w:rsidRDefault="00620750" w:rsidP="00E46244">
      <w:pPr>
        <w:spacing w:line="360" w:lineRule="auto"/>
        <w:jc w:val="both"/>
        <w:rPr>
          <w:rFonts w:ascii="Arial" w:hAnsi="Arial" w:cs="Arial"/>
          <w:lang w:val="en-AU"/>
        </w:rPr>
      </w:pPr>
    </w:p>
    <w:p w14:paraId="28EE494F" w14:textId="587F2102" w:rsidR="00620750" w:rsidRDefault="00620750" w:rsidP="00E46244">
      <w:pPr>
        <w:spacing w:line="360" w:lineRule="auto"/>
        <w:jc w:val="both"/>
        <w:rPr>
          <w:rFonts w:ascii="Arial" w:hAnsi="Arial" w:cs="Arial"/>
          <w:lang w:val="en-AU"/>
        </w:rPr>
      </w:pPr>
    </w:p>
    <w:p w14:paraId="2022243E" w14:textId="58D5222F" w:rsidR="00620750" w:rsidRDefault="00620750" w:rsidP="00E46244">
      <w:pPr>
        <w:spacing w:line="360" w:lineRule="auto"/>
        <w:jc w:val="both"/>
        <w:rPr>
          <w:rFonts w:ascii="Arial" w:hAnsi="Arial" w:cs="Arial"/>
          <w:lang w:val="en-AU"/>
        </w:rPr>
      </w:pPr>
    </w:p>
    <w:p w14:paraId="038D3FBE" w14:textId="5CD30741" w:rsidR="00620750" w:rsidRDefault="00620750" w:rsidP="00E46244">
      <w:pPr>
        <w:spacing w:line="360" w:lineRule="auto"/>
        <w:jc w:val="both"/>
        <w:rPr>
          <w:rFonts w:ascii="Arial" w:hAnsi="Arial" w:cs="Arial"/>
          <w:lang w:val="en-AU"/>
        </w:rPr>
      </w:pPr>
    </w:p>
    <w:p w14:paraId="26CA4166" w14:textId="383BB867" w:rsidR="00620750" w:rsidRDefault="00620750" w:rsidP="00E46244">
      <w:pPr>
        <w:spacing w:line="360" w:lineRule="auto"/>
        <w:jc w:val="both"/>
        <w:rPr>
          <w:rFonts w:ascii="Arial" w:hAnsi="Arial" w:cs="Arial"/>
          <w:lang w:val="en-AU"/>
        </w:rPr>
      </w:pPr>
    </w:p>
    <w:p w14:paraId="661E12CB" w14:textId="2AC3EB9C" w:rsidR="00620750" w:rsidRDefault="00620750" w:rsidP="00E46244">
      <w:pPr>
        <w:spacing w:line="360" w:lineRule="auto"/>
        <w:jc w:val="both"/>
        <w:rPr>
          <w:rFonts w:ascii="Arial" w:hAnsi="Arial" w:cs="Arial"/>
          <w:lang w:val="en-AU"/>
        </w:rPr>
      </w:pPr>
    </w:p>
    <w:p w14:paraId="39328ECC" w14:textId="639CFAC1" w:rsidR="00620750" w:rsidRDefault="00620750" w:rsidP="00E46244">
      <w:pPr>
        <w:spacing w:line="360" w:lineRule="auto"/>
        <w:jc w:val="both"/>
        <w:rPr>
          <w:rFonts w:ascii="Arial" w:hAnsi="Arial" w:cs="Arial"/>
          <w:lang w:val="en-AU"/>
        </w:rPr>
      </w:pPr>
    </w:p>
    <w:p w14:paraId="184CA55E" w14:textId="77777777" w:rsidR="00620750" w:rsidRPr="00E46244" w:rsidRDefault="00620750" w:rsidP="00E46244">
      <w:pPr>
        <w:spacing w:line="360" w:lineRule="auto"/>
        <w:jc w:val="both"/>
        <w:rPr>
          <w:rFonts w:ascii="Arial" w:hAnsi="Arial" w:cs="Arial"/>
          <w:lang w:val="en-AU"/>
        </w:rPr>
      </w:pPr>
    </w:p>
    <w:p w14:paraId="12075525" w14:textId="1C3D9719" w:rsidR="008E6035" w:rsidRPr="007D5F26" w:rsidRDefault="003341C9" w:rsidP="008E6035">
      <w:pPr>
        <w:spacing w:line="360" w:lineRule="auto"/>
        <w:jc w:val="both"/>
        <w:rPr>
          <w:rFonts w:ascii="Arial" w:hAnsi="Arial" w:cs="Arial"/>
          <w:i/>
          <w:iCs/>
        </w:rPr>
      </w:pPr>
      <w:r w:rsidRPr="007D5F26">
        <w:rPr>
          <w:rFonts w:ascii="Arial" w:hAnsi="Arial" w:cs="Arial"/>
          <w:i/>
          <w:iCs/>
        </w:rPr>
        <w:lastRenderedPageBreak/>
        <w:t>S</w:t>
      </w:r>
      <w:r w:rsidR="007D5F26" w:rsidRPr="007D5F26">
        <w:rPr>
          <w:rFonts w:ascii="Arial" w:hAnsi="Arial" w:cs="Arial"/>
          <w:i/>
          <w:iCs/>
        </w:rPr>
        <w:t>upplement</w:t>
      </w:r>
      <w:r w:rsidR="002D3566">
        <w:rPr>
          <w:rFonts w:ascii="Arial" w:hAnsi="Arial" w:cs="Arial"/>
          <w:i/>
          <w:iCs/>
        </w:rPr>
        <w:t>ary file</w:t>
      </w:r>
      <w:r w:rsidR="007D5F26" w:rsidRPr="007D5F26">
        <w:rPr>
          <w:rFonts w:ascii="Arial" w:hAnsi="Arial" w:cs="Arial"/>
          <w:i/>
          <w:iCs/>
        </w:rPr>
        <w:t xml:space="preserve"> </w:t>
      </w:r>
      <w:r w:rsidRPr="007D5F26">
        <w:rPr>
          <w:rFonts w:ascii="Arial" w:hAnsi="Arial" w:cs="Arial"/>
          <w:i/>
          <w:iCs/>
        </w:rPr>
        <w:t>2</w:t>
      </w:r>
      <w:r w:rsidR="00677773">
        <w:rPr>
          <w:rFonts w:ascii="Arial" w:hAnsi="Arial" w:cs="Arial"/>
          <w:i/>
          <w:iCs/>
        </w:rPr>
        <w:t xml:space="preserve">. Data charting form </w:t>
      </w:r>
      <w:r w:rsidR="008E6035" w:rsidRPr="007D5F26">
        <w:rPr>
          <w:rFonts w:ascii="Arial" w:hAnsi="Arial" w:cs="Arial"/>
          <w:i/>
          <w:iCs/>
        </w:rPr>
        <w:t xml:space="preserve"> </w:t>
      </w:r>
    </w:p>
    <w:tbl>
      <w:tblPr>
        <w:tblW w:w="8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6625"/>
      </w:tblGrid>
      <w:tr w:rsidR="00EB64C5" w:rsidRPr="00710A0C" w14:paraId="50880532" w14:textId="77777777" w:rsidTr="408C62B3">
        <w:trPr>
          <w:trHeight w:val="296"/>
        </w:trPr>
        <w:tc>
          <w:tcPr>
            <w:tcW w:w="1860" w:type="dxa"/>
            <w:vMerge w:val="restart"/>
            <w:shd w:val="clear" w:color="auto" w:fill="auto"/>
            <w:textDirection w:val="btLr"/>
          </w:tcPr>
          <w:p w14:paraId="3E5A38B8" w14:textId="77777777" w:rsidR="00EB64C5" w:rsidRPr="00710A0C" w:rsidRDefault="00EB64C5" w:rsidP="00A54E1A">
            <w:pPr>
              <w:spacing w:after="0" w:line="360" w:lineRule="auto"/>
              <w:ind w:left="113" w:right="113"/>
              <w:jc w:val="center"/>
              <w:rPr>
                <w:rFonts w:ascii="Arial" w:hAnsi="Arial" w:cs="Arial"/>
              </w:rPr>
            </w:pPr>
            <w:r w:rsidRPr="00710A0C">
              <w:rPr>
                <w:rFonts w:ascii="Arial" w:hAnsi="Arial" w:cs="Arial"/>
              </w:rPr>
              <w:t>Study characteristics</w:t>
            </w:r>
          </w:p>
        </w:tc>
        <w:tc>
          <w:tcPr>
            <w:tcW w:w="6625" w:type="dxa"/>
            <w:shd w:val="clear" w:color="auto" w:fill="auto"/>
          </w:tcPr>
          <w:p w14:paraId="263EC13D" w14:textId="77777777" w:rsidR="00EB64C5" w:rsidRPr="00710A0C" w:rsidRDefault="00EB64C5" w:rsidP="00BF797A">
            <w:pPr>
              <w:spacing w:after="0" w:line="360" w:lineRule="auto"/>
              <w:jc w:val="both"/>
              <w:rPr>
                <w:rFonts w:ascii="Arial" w:hAnsi="Arial" w:cs="Arial"/>
              </w:rPr>
            </w:pPr>
            <w:r w:rsidRPr="00710A0C">
              <w:rPr>
                <w:rFonts w:ascii="Arial" w:hAnsi="Arial" w:cs="Arial"/>
              </w:rPr>
              <w:t>Authors</w:t>
            </w:r>
          </w:p>
        </w:tc>
      </w:tr>
      <w:tr w:rsidR="00EB64C5" w:rsidRPr="00710A0C" w14:paraId="3F2E9798" w14:textId="77777777" w:rsidTr="408C62B3">
        <w:trPr>
          <w:trHeight w:val="275"/>
        </w:trPr>
        <w:tc>
          <w:tcPr>
            <w:tcW w:w="1860" w:type="dxa"/>
            <w:vMerge/>
            <w:textDirection w:val="btLr"/>
          </w:tcPr>
          <w:p w14:paraId="0D3C264F" w14:textId="77777777" w:rsidR="00EB64C5" w:rsidRPr="00710A0C" w:rsidRDefault="00EB64C5" w:rsidP="00A54E1A">
            <w:pPr>
              <w:spacing w:after="0" w:line="360" w:lineRule="auto"/>
              <w:ind w:left="113" w:right="113"/>
              <w:jc w:val="center"/>
              <w:rPr>
                <w:rFonts w:ascii="Arial" w:hAnsi="Arial" w:cs="Arial"/>
              </w:rPr>
            </w:pPr>
          </w:p>
        </w:tc>
        <w:tc>
          <w:tcPr>
            <w:tcW w:w="6625" w:type="dxa"/>
            <w:shd w:val="clear" w:color="auto" w:fill="auto"/>
          </w:tcPr>
          <w:p w14:paraId="579661B1" w14:textId="77777777" w:rsidR="00EB64C5" w:rsidRPr="00710A0C" w:rsidRDefault="00EB64C5" w:rsidP="00A54E1A">
            <w:pPr>
              <w:spacing w:after="0" w:line="360" w:lineRule="auto"/>
              <w:rPr>
                <w:rFonts w:ascii="Arial" w:hAnsi="Arial" w:cs="Arial"/>
              </w:rPr>
            </w:pPr>
            <w:r w:rsidRPr="00710A0C">
              <w:rPr>
                <w:rFonts w:ascii="Arial" w:hAnsi="Arial" w:cs="Arial"/>
              </w:rPr>
              <w:t>Title</w:t>
            </w:r>
          </w:p>
        </w:tc>
      </w:tr>
      <w:tr w:rsidR="00EB64C5" w:rsidRPr="00710A0C" w14:paraId="3D773E60" w14:textId="77777777" w:rsidTr="408C62B3">
        <w:tc>
          <w:tcPr>
            <w:tcW w:w="1860" w:type="dxa"/>
            <w:vMerge/>
            <w:textDirection w:val="btLr"/>
          </w:tcPr>
          <w:p w14:paraId="797A8951" w14:textId="77777777" w:rsidR="00EB64C5" w:rsidRPr="00710A0C" w:rsidRDefault="00EB64C5" w:rsidP="00A54E1A">
            <w:pPr>
              <w:spacing w:after="0" w:line="360" w:lineRule="auto"/>
              <w:ind w:left="113" w:right="113"/>
              <w:jc w:val="center"/>
              <w:rPr>
                <w:rFonts w:ascii="Arial" w:hAnsi="Arial" w:cs="Arial"/>
              </w:rPr>
            </w:pPr>
          </w:p>
        </w:tc>
        <w:tc>
          <w:tcPr>
            <w:tcW w:w="6625" w:type="dxa"/>
            <w:shd w:val="clear" w:color="auto" w:fill="auto"/>
          </w:tcPr>
          <w:p w14:paraId="6CF2E63A" w14:textId="77777777" w:rsidR="00EB64C5" w:rsidRPr="00710A0C" w:rsidRDefault="00EB64C5" w:rsidP="00A54E1A">
            <w:pPr>
              <w:spacing w:after="0" w:line="360" w:lineRule="auto"/>
              <w:rPr>
                <w:rFonts w:ascii="Arial" w:hAnsi="Arial" w:cs="Arial"/>
              </w:rPr>
            </w:pPr>
            <w:r w:rsidRPr="00710A0C">
              <w:rPr>
                <w:rFonts w:ascii="Arial" w:hAnsi="Arial" w:cs="Arial"/>
              </w:rPr>
              <w:t>Year</w:t>
            </w:r>
          </w:p>
        </w:tc>
      </w:tr>
      <w:tr w:rsidR="00EB64C5" w:rsidRPr="00710A0C" w14:paraId="6854CF6C" w14:textId="77777777" w:rsidTr="408C62B3">
        <w:tc>
          <w:tcPr>
            <w:tcW w:w="1860" w:type="dxa"/>
            <w:vMerge/>
            <w:textDirection w:val="btLr"/>
          </w:tcPr>
          <w:p w14:paraId="22A0B3BB" w14:textId="77777777" w:rsidR="00EB64C5" w:rsidRPr="00710A0C" w:rsidRDefault="00EB64C5" w:rsidP="00A54E1A">
            <w:pPr>
              <w:spacing w:after="0" w:line="360" w:lineRule="auto"/>
              <w:ind w:left="113" w:right="113"/>
              <w:jc w:val="center"/>
              <w:rPr>
                <w:rFonts w:ascii="Arial" w:hAnsi="Arial" w:cs="Arial"/>
              </w:rPr>
            </w:pPr>
          </w:p>
        </w:tc>
        <w:tc>
          <w:tcPr>
            <w:tcW w:w="6625" w:type="dxa"/>
            <w:shd w:val="clear" w:color="auto" w:fill="auto"/>
          </w:tcPr>
          <w:p w14:paraId="0A1BD205" w14:textId="77777777" w:rsidR="00EB64C5" w:rsidRPr="00710A0C" w:rsidRDefault="00EB64C5" w:rsidP="00A54E1A">
            <w:pPr>
              <w:spacing w:after="0" w:line="360" w:lineRule="auto"/>
              <w:rPr>
                <w:rFonts w:ascii="Arial" w:hAnsi="Arial" w:cs="Arial"/>
              </w:rPr>
            </w:pPr>
            <w:r w:rsidRPr="00710A0C">
              <w:rPr>
                <w:rFonts w:ascii="Arial" w:eastAsia="Times New Roman" w:hAnsi="Arial" w:cs="Arial"/>
                <w:color w:val="000000" w:themeColor="text1"/>
              </w:rPr>
              <w:t>Country</w:t>
            </w:r>
            <w:r w:rsidRPr="00710A0C">
              <w:rPr>
                <w:rFonts w:ascii="Arial" w:hAnsi="Arial" w:cs="Arial"/>
              </w:rPr>
              <w:t xml:space="preserve"> </w:t>
            </w:r>
          </w:p>
        </w:tc>
      </w:tr>
      <w:tr w:rsidR="00EB64C5" w:rsidRPr="00710A0C" w14:paraId="6B7532EF" w14:textId="77777777" w:rsidTr="408C62B3">
        <w:tc>
          <w:tcPr>
            <w:tcW w:w="1860" w:type="dxa"/>
            <w:vMerge/>
            <w:textDirection w:val="btLr"/>
          </w:tcPr>
          <w:p w14:paraId="37DE3053" w14:textId="77777777" w:rsidR="00EB64C5" w:rsidRPr="00710A0C" w:rsidRDefault="00EB64C5" w:rsidP="00A54E1A">
            <w:pPr>
              <w:spacing w:after="0" w:line="360" w:lineRule="auto"/>
              <w:ind w:left="113" w:right="113"/>
              <w:jc w:val="center"/>
              <w:rPr>
                <w:rFonts w:ascii="Arial" w:hAnsi="Arial" w:cs="Arial"/>
              </w:rPr>
            </w:pPr>
          </w:p>
        </w:tc>
        <w:tc>
          <w:tcPr>
            <w:tcW w:w="6625" w:type="dxa"/>
            <w:shd w:val="clear" w:color="auto" w:fill="auto"/>
          </w:tcPr>
          <w:p w14:paraId="61F0BC50" w14:textId="20564B21" w:rsidR="00EB64C5" w:rsidRPr="00710A0C" w:rsidRDefault="00EB64C5" w:rsidP="00A54E1A">
            <w:pPr>
              <w:spacing w:after="0" w:line="360" w:lineRule="auto"/>
              <w:rPr>
                <w:rFonts w:ascii="Arial" w:eastAsia="Times New Roman" w:hAnsi="Arial" w:cs="Arial"/>
                <w:color w:val="000000" w:themeColor="text1"/>
              </w:rPr>
            </w:pPr>
            <w:r>
              <w:rPr>
                <w:rFonts w:ascii="Arial" w:eastAsia="Times New Roman" w:hAnsi="Arial" w:cs="Arial"/>
                <w:color w:val="000000" w:themeColor="text1"/>
              </w:rPr>
              <w:t>Country regions (using World Bank classifications)</w:t>
            </w:r>
          </w:p>
        </w:tc>
      </w:tr>
      <w:tr w:rsidR="00EB64C5" w:rsidRPr="00710A0C" w14:paraId="3AAC5723" w14:textId="77777777" w:rsidTr="408C62B3">
        <w:tc>
          <w:tcPr>
            <w:tcW w:w="1860" w:type="dxa"/>
            <w:vMerge/>
            <w:textDirection w:val="btLr"/>
          </w:tcPr>
          <w:p w14:paraId="18A658A0" w14:textId="77777777" w:rsidR="00EB64C5" w:rsidRPr="00710A0C" w:rsidRDefault="00EB64C5" w:rsidP="00A54E1A">
            <w:pPr>
              <w:spacing w:after="0" w:line="360" w:lineRule="auto"/>
              <w:ind w:left="113" w:right="113"/>
              <w:jc w:val="center"/>
              <w:rPr>
                <w:rFonts w:ascii="Arial" w:hAnsi="Arial" w:cs="Arial"/>
              </w:rPr>
            </w:pPr>
          </w:p>
        </w:tc>
        <w:tc>
          <w:tcPr>
            <w:tcW w:w="6625" w:type="dxa"/>
            <w:shd w:val="clear" w:color="auto" w:fill="auto"/>
          </w:tcPr>
          <w:p w14:paraId="40A2A54D" w14:textId="77777777" w:rsidR="00EB64C5" w:rsidRPr="00710A0C" w:rsidRDefault="00EB64C5" w:rsidP="00A54E1A">
            <w:pPr>
              <w:spacing w:after="0" w:line="360" w:lineRule="auto"/>
              <w:rPr>
                <w:rFonts w:ascii="Arial" w:hAnsi="Arial" w:cs="Arial"/>
              </w:rPr>
            </w:pPr>
            <w:r w:rsidRPr="00710A0C">
              <w:rPr>
                <w:rFonts w:ascii="Arial" w:eastAsia="Times New Roman" w:hAnsi="Arial" w:cs="Arial"/>
                <w:color w:val="000000" w:themeColor="text1"/>
              </w:rPr>
              <w:t>Characterization of corruption (e.g., bribery, fraud, rent seeking)</w:t>
            </w:r>
          </w:p>
        </w:tc>
      </w:tr>
      <w:tr w:rsidR="00EB64C5" w:rsidRPr="00710A0C" w14:paraId="2B7B19F3" w14:textId="77777777" w:rsidTr="408C62B3">
        <w:tc>
          <w:tcPr>
            <w:tcW w:w="1860" w:type="dxa"/>
            <w:vMerge/>
            <w:textDirection w:val="btLr"/>
          </w:tcPr>
          <w:p w14:paraId="00979D3B" w14:textId="77777777" w:rsidR="00EB64C5" w:rsidRPr="00710A0C" w:rsidRDefault="00EB64C5" w:rsidP="00A54E1A">
            <w:pPr>
              <w:spacing w:after="0" w:line="360" w:lineRule="auto"/>
              <w:ind w:left="113" w:right="113"/>
              <w:jc w:val="center"/>
              <w:rPr>
                <w:rFonts w:ascii="Arial" w:hAnsi="Arial" w:cs="Arial"/>
              </w:rPr>
            </w:pPr>
          </w:p>
        </w:tc>
        <w:tc>
          <w:tcPr>
            <w:tcW w:w="6625" w:type="dxa"/>
            <w:shd w:val="clear" w:color="auto" w:fill="auto"/>
          </w:tcPr>
          <w:p w14:paraId="537786CC" w14:textId="163CF6B8" w:rsidR="00EB64C5" w:rsidRPr="00710A0C" w:rsidRDefault="00EB64C5" w:rsidP="00A54E1A">
            <w:pPr>
              <w:spacing w:after="0" w:line="360" w:lineRule="auto"/>
              <w:rPr>
                <w:rFonts w:ascii="Arial" w:hAnsi="Arial" w:cs="Arial"/>
              </w:rPr>
            </w:pPr>
            <w:r>
              <w:rPr>
                <w:rFonts w:ascii="Arial" w:eastAsia="Times New Roman" w:hAnsi="Arial" w:cs="Arial"/>
                <w:color w:val="000000" w:themeColor="text1"/>
              </w:rPr>
              <w:t>Data collection approach</w:t>
            </w:r>
            <w:r w:rsidRPr="00710A0C">
              <w:rPr>
                <w:rFonts w:ascii="Arial" w:eastAsia="Times New Roman" w:hAnsi="Arial" w:cs="Arial"/>
                <w:color w:val="000000" w:themeColor="text1"/>
              </w:rPr>
              <w:t xml:space="preserve"> (e.g., corruption perception index score, through qualitative accounts, community observation)</w:t>
            </w:r>
          </w:p>
        </w:tc>
      </w:tr>
      <w:tr w:rsidR="00EB64C5" w:rsidRPr="00710A0C" w14:paraId="0B38DE9F" w14:textId="77777777" w:rsidTr="00552EC8">
        <w:trPr>
          <w:trHeight w:val="466"/>
        </w:trPr>
        <w:tc>
          <w:tcPr>
            <w:tcW w:w="1860" w:type="dxa"/>
            <w:vMerge/>
            <w:textDirection w:val="btLr"/>
          </w:tcPr>
          <w:p w14:paraId="2C9F5C6A" w14:textId="77777777" w:rsidR="00EB64C5" w:rsidRPr="00710A0C" w:rsidRDefault="00EB64C5" w:rsidP="00A54E1A">
            <w:pPr>
              <w:spacing w:after="0" w:line="360" w:lineRule="auto"/>
              <w:ind w:left="113" w:right="113"/>
              <w:jc w:val="center"/>
              <w:rPr>
                <w:rFonts w:ascii="Arial" w:hAnsi="Arial" w:cs="Arial"/>
              </w:rPr>
            </w:pPr>
          </w:p>
        </w:tc>
        <w:tc>
          <w:tcPr>
            <w:tcW w:w="6625" w:type="dxa"/>
            <w:shd w:val="clear" w:color="auto" w:fill="auto"/>
          </w:tcPr>
          <w:p w14:paraId="78A91FE0" w14:textId="77777777" w:rsidR="00EB64C5" w:rsidRPr="00710A0C" w:rsidRDefault="00EB64C5" w:rsidP="00A54E1A">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Study topic (e.g., malnutrition, cattle rustling, food safety)</w:t>
            </w:r>
          </w:p>
        </w:tc>
      </w:tr>
      <w:tr w:rsidR="00EB64C5" w:rsidRPr="00710A0C" w14:paraId="76DACE7D" w14:textId="77777777" w:rsidTr="00FE5EB2">
        <w:trPr>
          <w:trHeight w:val="466"/>
        </w:trPr>
        <w:tc>
          <w:tcPr>
            <w:tcW w:w="1860" w:type="dxa"/>
            <w:vMerge/>
            <w:textDirection w:val="btLr"/>
          </w:tcPr>
          <w:p w14:paraId="7B71863E" w14:textId="77777777" w:rsidR="00EB64C5" w:rsidRPr="00710A0C" w:rsidRDefault="00EB64C5" w:rsidP="00A54E1A">
            <w:pPr>
              <w:spacing w:after="0" w:line="360" w:lineRule="auto"/>
              <w:ind w:left="113" w:right="113"/>
              <w:jc w:val="center"/>
              <w:rPr>
                <w:rFonts w:ascii="Arial" w:hAnsi="Arial" w:cs="Arial"/>
              </w:rPr>
            </w:pPr>
          </w:p>
        </w:tc>
        <w:tc>
          <w:tcPr>
            <w:tcW w:w="6625" w:type="dxa"/>
            <w:shd w:val="clear" w:color="auto" w:fill="auto"/>
          </w:tcPr>
          <w:p w14:paraId="4D37F5BA" w14:textId="49B7FC0A" w:rsidR="00EB64C5" w:rsidRPr="00710A0C" w:rsidRDefault="00EB64C5" w:rsidP="00A54E1A">
            <w:pPr>
              <w:spacing w:after="0" w:line="360" w:lineRule="auto"/>
              <w:rPr>
                <w:rFonts w:ascii="Arial" w:eastAsia="Times New Roman" w:hAnsi="Arial" w:cs="Arial"/>
                <w:color w:val="000000" w:themeColor="text1"/>
              </w:rPr>
            </w:pPr>
            <w:r w:rsidRPr="007025D9">
              <w:rPr>
                <w:rFonts w:ascii="Arial" w:eastAsia="Times New Roman" w:hAnsi="Arial" w:cs="Arial"/>
              </w:rPr>
              <w:t>What is the ‘</w:t>
            </w:r>
            <w:r>
              <w:rPr>
                <w:rFonts w:ascii="Arial" w:eastAsia="Times New Roman" w:hAnsi="Arial" w:cs="Arial"/>
              </w:rPr>
              <w:t>evidence type</w:t>
            </w:r>
            <w:r w:rsidRPr="007025D9">
              <w:rPr>
                <w:rFonts w:ascii="Arial" w:eastAsia="Times New Roman" w:hAnsi="Arial" w:cs="Arial"/>
              </w:rPr>
              <w:t>’ being reported? (Impact</w:t>
            </w:r>
            <w:r>
              <w:rPr>
                <w:rFonts w:ascii="Arial" w:eastAsia="Times New Roman" w:hAnsi="Arial" w:cs="Arial"/>
              </w:rPr>
              <w:t xml:space="preserve"> or </w:t>
            </w:r>
            <w:r w:rsidRPr="007025D9">
              <w:rPr>
                <w:rFonts w:ascii="Arial" w:eastAsia="Times New Roman" w:hAnsi="Arial" w:cs="Arial"/>
              </w:rPr>
              <w:t>descriptive)</w:t>
            </w:r>
          </w:p>
        </w:tc>
      </w:tr>
      <w:tr w:rsidR="00EB64C5" w:rsidRPr="00710A0C" w14:paraId="4E5ABD63" w14:textId="77777777" w:rsidTr="00FE5EB2">
        <w:trPr>
          <w:trHeight w:val="466"/>
        </w:trPr>
        <w:tc>
          <w:tcPr>
            <w:tcW w:w="1860" w:type="dxa"/>
            <w:vMerge/>
            <w:textDirection w:val="btLr"/>
          </w:tcPr>
          <w:p w14:paraId="169D0425" w14:textId="77777777" w:rsidR="00EB64C5" w:rsidRPr="00710A0C" w:rsidRDefault="00EB64C5" w:rsidP="00A54E1A">
            <w:pPr>
              <w:spacing w:after="0" w:line="360" w:lineRule="auto"/>
              <w:ind w:left="113" w:right="113"/>
              <w:jc w:val="center"/>
              <w:rPr>
                <w:rFonts w:ascii="Arial" w:hAnsi="Arial" w:cs="Arial"/>
              </w:rPr>
            </w:pPr>
          </w:p>
        </w:tc>
        <w:tc>
          <w:tcPr>
            <w:tcW w:w="6625" w:type="dxa"/>
            <w:shd w:val="clear" w:color="auto" w:fill="auto"/>
          </w:tcPr>
          <w:p w14:paraId="20B4ACED" w14:textId="2C1D609F" w:rsidR="00EB64C5" w:rsidRPr="007025D9" w:rsidRDefault="00EB64C5" w:rsidP="00A54E1A">
            <w:pPr>
              <w:spacing w:after="0" w:line="360" w:lineRule="auto"/>
              <w:rPr>
                <w:rFonts w:ascii="Arial" w:eastAsia="Times New Roman" w:hAnsi="Arial" w:cs="Arial"/>
              </w:rPr>
            </w:pPr>
            <w:r w:rsidRPr="007025D9">
              <w:rPr>
                <w:rFonts w:ascii="Arial" w:eastAsia="Times New Roman" w:hAnsi="Arial" w:cs="Arial"/>
              </w:rPr>
              <w:t xml:space="preserve">What </w:t>
            </w:r>
            <w:r>
              <w:rPr>
                <w:rFonts w:ascii="Arial" w:eastAsia="Times New Roman" w:hAnsi="Arial" w:cs="Arial"/>
              </w:rPr>
              <w:t>are the key findings</w:t>
            </w:r>
            <w:r w:rsidRPr="007025D9">
              <w:rPr>
                <w:rFonts w:ascii="Arial" w:eastAsia="Times New Roman" w:hAnsi="Arial" w:cs="Arial"/>
              </w:rPr>
              <w:t xml:space="preserve"> of the study specifically relating to corruption in the food system context?</w:t>
            </w:r>
          </w:p>
        </w:tc>
      </w:tr>
      <w:tr w:rsidR="00A54E1A" w:rsidRPr="00710A0C" w14:paraId="4291678D" w14:textId="77777777" w:rsidTr="408C62B3">
        <w:tc>
          <w:tcPr>
            <w:tcW w:w="1860" w:type="dxa"/>
            <w:shd w:val="clear" w:color="auto" w:fill="auto"/>
            <w:textDirection w:val="btLr"/>
          </w:tcPr>
          <w:p w14:paraId="1FC1322F" w14:textId="3BD1BBD9" w:rsidR="00A54E1A" w:rsidRPr="00710A0C" w:rsidRDefault="004E209D" w:rsidP="00A54E1A">
            <w:pPr>
              <w:spacing w:after="0" w:line="360" w:lineRule="auto"/>
              <w:ind w:left="113" w:right="113"/>
              <w:jc w:val="center"/>
              <w:rPr>
                <w:rFonts w:ascii="Arial" w:hAnsi="Arial" w:cs="Arial"/>
              </w:rPr>
            </w:pPr>
            <w:r>
              <w:rPr>
                <w:rFonts w:ascii="Arial" w:hAnsi="Arial" w:cs="Arial"/>
              </w:rPr>
              <w:t>Food system area</w:t>
            </w:r>
          </w:p>
        </w:tc>
        <w:tc>
          <w:tcPr>
            <w:tcW w:w="6625" w:type="dxa"/>
            <w:shd w:val="clear" w:color="auto" w:fill="auto"/>
          </w:tcPr>
          <w:p w14:paraId="51AF064C" w14:textId="77777777" w:rsidR="00A54E1A" w:rsidRPr="007025D9" w:rsidRDefault="00A54E1A" w:rsidP="00A54E1A">
            <w:pPr>
              <w:spacing w:after="0" w:line="360" w:lineRule="auto"/>
              <w:rPr>
                <w:rFonts w:ascii="Arial" w:eastAsia="Times New Roman" w:hAnsi="Arial" w:cs="Arial"/>
                <w:color w:val="000000"/>
                <w:lang w:eastAsia="en-AU"/>
              </w:rPr>
            </w:pPr>
            <w:r w:rsidRPr="007025D9">
              <w:rPr>
                <w:rFonts w:ascii="Arial" w:eastAsia="Times New Roman" w:hAnsi="Arial" w:cs="Arial"/>
                <w:color w:val="000000" w:themeColor="text1"/>
              </w:rPr>
              <w:t xml:space="preserve">Where in the food system does corruption originate? (policy and governance systems, systems supporting the food system, food supply chain, food environments, </w:t>
            </w:r>
            <w:proofErr w:type="gramStart"/>
            <w:r w:rsidRPr="007025D9">
              <w:rPr>
                <w:rFonts w:ascii="Arial" w:eastAsia="Times New Roman" w:hAnsi="Arial" w:cs="Arial"/>
                <w:color w:val="000000" w:themeColor="text1"/>
              </w:rPr>
              <w:t>individual-level</w:t>
            </w:r>
            <w:proofErr w:type="gramEnd"/>
            <w:r w:rsidRPr="007025D9">
              <w:rPr>
                <w:rFonts w:ascii="Arial" w:eastAsia="Times New Roman" w:hAnsi="Arial" w:cs="Arial"/>
                <w:color w:val="000000" w:themeColor="text1"/>
              </w:rPr>
              <w:t xml:space="preserve"> involved with consumer behaviors)</w:t>
            </w:r>
          </w:p>
        </w:tc>
      </w:tr>
      <w:tr w:rsidR="004E209D" w:rsidRPr="00710A0C" w14:paraId="073EE24E" w14:textId="77777777" w:rsidTr="004E209D">
        <w:tc>
          <w:tcPr>
            <w:tcW w:w="1860" w:type="dxa"/>
            <w:vMerge w:val="restart"/>
            <w:shd w:val="clear" w:color="auto" w:fill="auto"/>
            <w:textDirection w:val="btLr"/>
          </w:tcPr>
          <w:p w14:paraId="5F3E732C" w14:textId="7193E71A" w:rsidR="004E209D" w:rsidRPr="00710A0C" w:rsidRDefault="004E209D" w:rsidP="00A54E1A">
            <w:pPr>
              <w:spacing w:after="0" w:line="360" w:lineRule="auto"/>
              <w:ind w:left="113" w:right="113"/>
              <w:jc w:val="center"/>
              <w:rPr>
                <w:rFonts w:ascii="Arial" w:hAnsi="Arial" w:cs="Arial"/>
              </w:rPr>
            </w:pPr>
            <w:r>
              <w:rPr>
                <w:rFonts w:ascii="Arial" w:hAnsi="Arial" w:cs="Arial"/>
              </w:rPr>
              <w:t>Actors</w:t>
            </w:r>
          </w:p>
        </w:tc>
        <w:tc>
          <w:tcPr>
            <w:tcW w:w="6625" w:type="dxa"/>
            <w:shd w:val="clear" w:color="auto" w:fill="auto"/>
          </w:tcPr>
          <w:p w14:paraId="79D54ED9" w14:textId="77777777" w:rsidR="004E209D" w:rsidRPr="007025D9" w:rsidRDefault="004E209D" w:rsidP="00A54E1A">
            <w:pPr>
              <w:spacing w:after="0" w:line="360" w:lineRule="auto"/>
              <w:rPr>
                <w:rFonts w:ascii="Arial" w:eastAsia="Times New Roman" w:hAnsi="Arial" w:cs="Arial"/>
                <w:color w:val="000000"/>
                <w:lang w:eastAsia="en-AU"/>
              </w:rPr>
            </w:pPr>
            <w:r w:rsidRPr="007025D9">
              <w:rPr>
                <w:rFonts w:ascii="Arial" w:eastAsia="Times New Roman" w:hAnsi="Arial" w:cs="Arial"/>
                <w:color w:val="000000" w:themeColor="text1"/>
              </w:rPr>
              <w:t xml:space="preserve">What stakeholders or sectors are involved with instigating corruption in the food system? (e.g., ministers in government, community leaders, store owners) </w:t>
            </w:r>
          </w:p>
        </w:tc>
      </w:tr>
      <w:tr w:rsidR="004E209D" w:rsidRPr="00710A0C" w14:paraId="49DBEE72" w14:textId="77777777" w:rsidTr="004E209D">
        <w:tc>
          <w:tcPr>
            <w:tcW w:w="1860" w:type="dxa"/>
            <w:vMerge/>
            <w:shd w:val="clear" w:color="auto" w:fill="auto"/>
            <w:textDirection w:val="btLr"/>
          </w:tcPr>
          <w:p w14:paraId="127C8D66" w14:textId="77777777" w:rsidR="004E209D" w:rsidRPr="00710A0C" w:rsidRDefault="004E209D" w:rsidP="00A54E1A">
            <w:pPr>
              <w:spacing w:after="0" w:line="360" w:lineRule="auto"/>
              <w:ind w:left="113" w:right="113"/>
              <w:jc w:val="center"/>
              <w:rPr>
                <w:rFonts w:ascii="Arial" w:hAnsi="Arial" w:cs="Arial"/>
              </w:rPr>
            </w:pPr>
          </w:p>
        </w:tc>
        <w:tc>
          <w:tcPr>
            <w:tcW w:w="6625" w:type="dxa"/>
            <w:shd w:val="clear" w:color="auto" w:fill="auto"/>
          </w:tcPr>
          <w:p w14:paraId="4F494B55" w14:textId="77777777" w:rsidR="004E209D" w:rsidRPr="007025D9" w:rsidRDefault="004E209D" w:rsidP="00A54E1A">
            <w:pPr>
              <w:spacing w:after="0" w:line="360" w:lineRule="auto"/>
              <w:rPr>
                <w:rFonts w:ascii="Arial" w:eastAsia="Times New Roman" w:hAnsi="Arial" w:cs="Arial"/>
                <w:color w:val="000000"/>
                <w:lang w:eastAsia="en-AU"/>
              </w:rPr>
            </w:pPr>
            <w:r w:rsidRPr="007025D9">
              <w:rPr>
                <w:rFonts w:ascii="Arial" w:eastAsia="Times New Roman" w:hAnsi="Arial" w:cs="Arial"/>
                <w:color w:val="000000" w:themeColor="text1"/>
              </w:rPr>
              <w:t xml:space="preserve">What population is the recipient of corruption in the food system? (e.g., individual purchasing the food product, farmers producing the crops) </w:t>
            </w:r>
          </w:p>
        </w:tc>
      </w:tr>
      <w:tr w:rsidR="009E78A8" w:rsidRPr="00710A0C" w14:paraId="1F894961" w14:textId="77777777" w:rsidTr="00765401">
        <w:trPr>
          <w:cantSplit/>
          <w:trHeight w:val="1134"/>
        </w:trPr>
        <w:tc>
          <w:tcPr>
            <w:tcW w:w="1860" w:type="dxa"/>
            <w:textDirection w:val="btLr"/>
          </w:tcPr>
          <w:p w14:paraId="5D46CBA3" w14:textId="77777777" w:rsidR="002D3566" w:rsidRPr="00710A0C" w:rsidRDefault="002D3566" w:rsidP="002D3566">
            <w:pPr>
              <w:spacing w:after="0" w:line="360" w:lineRule="auto"/>
              <w:ind w:left="113" w:right="113"/>
              <w:jc w:val="center"/>
              <w:rPr>
                <w:rFonts w:ascii="Arial" w:hAnsi="Arial" w:cs="Arial"/>
              </w:rPr>
            </w:pPr>
            <w:r>
              <w:rPr>
                <w:rFonts w:ascii="Arial" w:hAnsi="Arial" w:cs="Arial"/>
              </w:rPr>
              <w:t>Impacts</w:t>
            </w:r>
          </w:p>
          <w:p w14:paraId="351556A5" w14:textId="77777777" w:rsidR="009E78A8" w:rsidRPr="00710A0C" w:rsidRDefault="009E78A8" w:rsidP="00765401">
            <w:pPr>
              <w:spacing w:after="0" w:line="360" w:lineRule="auto"/>
              <w:ind w:left="113" w:right="113"/>
              <w:jc w:val="both"/>
              <w:rPr>
                <w:rFonts w:ascii="Arial" w:hAnsi="Arial" w:cs="Arial"/>
              </w:rPr>
            </w:pPr>
          </w:p>
        </w:tc>
        <w:tc>
          <w:tcPr>
            <w:tcW w:w="6625" w:type="dxa"/>
            <w:shd w:val="clear" w:color="auto" w:fill="auto"/>
          </w:tcPr>
          <w:p w14:paraId="0EA9B4C9" w14:textId="0477B86D" w:rsidR="009E78A8" w:rsidRPr="00710A0C" w:rsidRDefault="009E78A8" w:rsidP="00A54E1A">
            <w:pPr>
              <w:spacing w:after="0" w:line="360" w:lineRule="auto"/>
              <w:rPr>
                <w:rFonts w:ascii="Arial" w:eastAsia="Times New Roman" w:hAnsi="Arial" w:cs="Arial"/>
                <w:color w:val="000000" w:themeColor="text1"/>
              </w:rPr>
            </w:pPr>
            <w:r>
              <w:rPr>
                <w:rFonts w:ascii="Arial" w:eastAsia="Times New Roman" w:hAnsi="Arial" w:cs="Arial"/>
                <w:color w:val="000000" w:themeColor="text1"/>
              </w:rPr>
              <w:t>What are the impacts of corruption in the food system?</w:t>
            </w:r>
          </w:p>
        </w:tc>
      </w:tr>
      <w:tr w:rsidR="009E78A8" w:rsidRPr="00710A0C" w14:paraId="3B89371A" w14:textId="77777777" w:rsidTr="00765401">
        <w:trPr>
          <w:cantSplit/>
          <w:trHeight w:val="1134"/>
        </w:trPr>
        <w:tc>
          <w:tcPr>
            <w:tcW w:w="1860" w:type="dxa"/>
            <w:textDirection w:val="btLr"/>
          </w:tcPr>
          <w:p w14:paraId="1061034B" w14:textId="31750A4A" w:rsidR="009E78A8" w:rsidRPr="00710A0C" w:rsidRDefault="00004AC0" w:rsidP="00765401">
            <w:pPr>
              <w:spacing w:after="0" w:line="360" w:lineRule="auto"/>
              <w:ind w:left="113" w:right="113"/>
              <w:jc w:val="both"/>
              <w:rPr>
                <w:rFonts w:ascii="Arial" w:hAnsi="Arial" w:cs="Arial"/>
              </w:rPr>
            </w:pPr>
            <w:r>
              <w:rPr>
                <w:rFonts w:ascii="Arial" w:hAnsi="Arial" w:cs="Arial"/>
              </w:rPr>
              <w:t>Solutions</w:t>
            </w:r>
          </w:p>
        </w:tc>
        <w:tc>
          <w:tcPr>
            <w:tcW w:w="6625" w:type="dxa"/>
            <w:shd w:val="clear" w:color="auto" w:fill="auto"/>
          </w:tcPr>
          <w:p w14:paraId="74C8198D" w14:textId="5FA9CF2A" w:rsidR="009E78A8" w:rsidRDefault="009E78A8" w:rsidP="00A54E1A">
            <w:pPr>
              <w:spacing w:after="0" w:line="360" w:lineRule="auto"/>
              <w:rPr>
                <w:rFonts w:ascii="Arial" w:eastAsia="Times New Roman" w:hAnsi="Arial" w:cs="Arial"/>
                <w:color w:val="000000" w:themeColor="text1"/>
              </w:rPr>
            </w:pPr>
            <w:r>
              <w:rPr>
                <w:rFonts w:ascii="Arial" w:eastAsia="Times New Roman" w:hAnsi="Arial" w:cs="Arial"/>
                <w:color w:val="000000" w:themeColor="text1"/>
              </w:rPr>
              <w:t xml:space="preserve">What are the potential </w:t>
            </w:r>
            <w:r w:rsidR="00CD780A">
              <w:rPr>
                <w:rFonts w:ascii="Arial" w:eastAsia="Times New Roman" w:hAnsi="Arial" w:cs="Arial"/>
                <w:color w:val="000000" w:themeColor="text1"/>
              </w:rPr>
              <w:t>solutions to corruption in the food system?</w:t>
            </w:r>
          </w:p>
        </w:tc>
      </w:tr>
      <w:tr w:rsidR="00A54E1A" w:rsidRPr="00710A0C" w14:paraId="5FCDC49B" w14:textId="77777777" w:rsidTr="408C62B3">
        <w:tc>
          <w:tcPr>
            <w:tcW w:w="1860" w:type="dxa"/>
            <w:vMerge w:val="restart"/>
            <w:shd w:val="clear" w:color="auto" w:fill="auto"/>
            <w:textDirection w:val="btLr"/>
          </w:tcPr>
          <w:p w14:paraId="65F00903" w14:textId="77777777" w:rsidR="00A54E1A" w:rsidRPr="00710A0C" w:rsidRDefault="00A54E1A" w:rsidP="00A54E1A">
            <w:pPr>
              <w:spacing w:after="0" w:line="360" w:lineRule="auto"/>
              <w:ind w:left="113" w:right="113"/>
              <w:jc w:val="center"/>
              <w:rPr>
                <w:rFonts w:ascii="Arial" w:hAnsi="Arial" w:cs="Arial"/>
              </w:rPr>
            </w:pPr>
            <w:r w:rsidRPr="00710A0C">
              <w:rPr>
                <w:rFonts w:ascii="Arial" w:hAnsi="Arial" w:cs="Arial"/>
              </w:rPr>
              <w:t>Other</w:t>
            </w:r>
          </w:p>
        </w:tc>
        <w:tc>
          <w:tcPr>
            <w:tcW w:w="6625" w:type="dxa"/>
            <w:shd w:val="clear" w:color="auto" w:fill="auto"/>
          </w:tcPr>
          <w:p w14:paraId="4496948D" w14:textId="77777777" w:rsidR="00A54E1A" w:rsidRPr="00710A0C" w:rsidRDefault="00A54E1A" w:rsidP="00A54E1A">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Notes/other issues</w:t>
            </w:r>
          </w:p>
        </w:tc>
      </w:tr>
      <w:tr w:rsidR="00A54E1A" w:rsidRPr="00710A0C" w14:paraId="20B5A5FF" w14:textId="77777777" w:rsidTr="408C62B3">
        <w:tc>
          <w:tcPr>
            <w:tcW w:w="1860" w:type="dxa"/>
            <w:vMerge/>
          </w:tcPr>
          <w:p w14:paraId="73FC50E9" w14:textId="77777777" w:rsidR="00A54E1A" w:rsidRPr="00710A0C" w:rsidRDefault="00A54E1A" w:rsidP="00BF797A">
            <w:pPr>
              <w:spacing w:after="0" w:line="360" w:lineRule="auto"/>
              <w:jc w:val="both"/>
              <w:rPr>
                <w:rFonts w:ascii="Arial" w:hAnsi="Arial" w:cs="Arial"/>
              </w:rPr>
            </w:pPr>
          </w:p>
        </w:tc>
        <w:tc>
          <w:tcPr>
            <w:tcW w:w="6625" w:type="dxa"/>
            <w:shd w:val="clear" w:color="auto" w:fill="auto"/>
          </w:tcPr>
          <w:p w14:paraId="31B8FC59" w14:textId="77777777" w:rsidR="00A54E1A" w:rsidRPr="00710A0C" w:rsidRDefault="00A54E1A" w:rsidP="00A54E1A">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Key findings and conclusions</w:t>
            </w:r>
          </w:p>
        </w:tc>
      </w:tr>
      <w:tr w:rsidR="00A54E1A" w:rsidRPr="00710A0C" w14:paraId="4CC38C84" w14:textId="77777777" w:rsidTr="408C62B3">
        <w:tc>
          <w:tcPr>
            <w:tcW w:w="1860" w:type="dxa"/>
            <w:vMerge/>
          </w:tcPr>
          <w:p w14:paraId="73ADDBEF" w14:textId="77777777" w:rsidR="00A54E1A" w:rsidRPr="00710A0C" w:rsidRDefault="00A54E1A" w:rsidP="00BF797A">
            <w:pPr>
              <w:spacing w:after="0" w:line="360" w:lineRule="auto"/>
              <w:jc w:val="both"/>
              <w:rPr>
                <w:rFonts w:ascii="Arial" w:hAnsi="Arial" w:cs="Arial"/>
              </w:rPr>
            </w:pPr>
          </w:p>
        </w:tc>
        <w:tc>
          <w:tcPr>
            <w:tcW w:w="6625" w:type="dxa"/>
            <w:shd w:val="clear" w:color="auto" w:fill="auto"/>
          </w:tcPr>
          <w:p w14:paraId="6FDB57C8" w14:textId="77777777" w:rsidR="00A54E1A" w:rsidRPr="00710A0C" w:rsidRDefault="00A54E1A" w:rsidP="00A54E1A">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Limitations of article</w:t>
            </w:r>
          </w:p>
        </w:tc>
      </w:tr>
    </w:tbl>
    <w:p w14:paraId="44E4F333" w14:textId="0512D9A9" w:rsidR="001516A2" w:rsidRDefault="001516A2" w:rsidP="00C347DD">
      <w:pPr>
        <w:spacing w:line="276" w:lineRule="auto"/>
        <w:jc w:val="both"/>
        <w:rPr>
          <w:rFonts w:ascii="Arial" w:hAnsi="Arial" w:cs="Arial"/>
        </w:rPr>
      </w:pPr>
    </w:p>
    <w:p w14:paraId="3F34E2B0" w14:textId="6AE95FEA" w:rsidR="00620750" w:rsidRDefault="00620750" w:rsidP="00C347DD">
      <w:pPr>
        <w:spacing w:line="276" w:lineRule="auto"/>
        <w:jc w:val="both"/>
        <w:rPr>
          <w:rFonts w:ascii="Arial" w:hAnsi="Arial" w:cs="Arial"/>
        </w:rPr>
      </w:pPr>
    </w:p>
    <w:p w14:paraId="79C0F232" w14:textId="77777777" w:rsidR="00362BF4" w:rsidRPr="007D5F26" w:rsidRDefault="00362BF4" w:rsidP="00362BF4">
      <w:pPr>
        <w:spacing w:line="360" w:lineRule="auto"/>
        <w:jc w:val="both"/>
        <w:rPr>
          <w:rFonts w:ascii="Arial" w:hAnsi="Arial" w:cs="Arial"/>
          <w:i/>
          <w:iCs/>
        </w:rPr>
      </w:pPr>
      <w:r w:rsidRPr="007D5F26">
        <w:rPr>
          <w:rFonts w:ascii="Arial" w:hAnsi="Arial" w:cs="Arial"/>
          <w:i/>
          <w:iCs/>
        </w:rPr>
        <w:lastRenderedPageBreak/>
        <w:t>Supplement</w:t>
      </w:r>
      <w:r>
        <w:rPr>
          <w:rFonts w:ascii="Arial" w:hAnsi="Arial" w:cs="Arial"/>
          <w:i/>
          <w:iCs/>
        </w:rPr>
        <w:t>ary file 3</w:t>
      </w:r>
      <w:r w:rsidRPr="007D5F26">
        <w:rPr>
          <w:rFonts w:ascii="Arial" w:hAnsi="Arial" w:cs="Arial"/>
          <w:i/>
          <w:iCs/>
        </w:rPr>
        <w:t xml:space="preserve">. Approaches to </w:t>
      </w:r>
      <w:r>
        <w:rPr>
          <w:rFonts w:ascii="Arial" w:hAnsi="Arial" w:cs="Arial"/>
          <w:i/>
          <w:iCs/>
        </w:rPr>
        <w:t xml:space="preserve">collecting data on </w:t>
      </w:r>
      <w:r w:rsidRPr="007D5F26">
        <w:rPr>
          <w:rFonts w:ascii="Arial" w:hAnsi="Arial" w:cs="Arial"/>
          <w:i/>
          <w:iCs/>
        </w:rPr>
        <w:t xml:space="preserve">corruption in the global food </w:t>
      </w:r>
      <w:proofErr w:type="gramStart"/>
      <w:r w:rsidRPr="007D5F26">
        <w:rPr>
          <w:rFonts w:ascii="Arial" w:hAnsi="Arial" w:cs="Arial"/>
          <w:i/>
          <w:iCs/>
        </w:rPr>
        <w:t>system</w:t>
      </w:r>
      <w:proofErr w:type="gramEnd"/>
    </w:p>
    <w:p w14:paraId="7A1866B7" w14:textId="77777777" w:rsidR="00362BF4" w:rsidRPr="00710A0C" w:rsidRDefault="00362BF4" w:rsidP="00362BF4">
      <w:pPr>
        <w:spacing w:line="360" w:lineRule="auto"/>
        <w:jc w:val="both"/>
        <w:rPr>
          <w:rFonts w:ascii="Arial" w:hAnsi="Arial" w:cs="Arial"/>
        </w:rPr>
      </w:pPr>
      <w:r>
        <w:rPr>
          <w:rFonts w:ascii="Arial" w:hAnsi="Arial" w:cs="Arial"/>
        </w:rPr>
        <w:t>Table S3 summarizes the approaches to collection data on corruption in the global food system. Studies often used multiple</w:t>
      </w:r>
      <w:r w:rsidRPr="00710A0C">
        <w:rPr>
          <w:rFonts w:ascii="Arial" w:hAnsi="Arial" w:cs="Arial"/>
        </w:rPr>
        <w:t xml:space="preserve"> approaches to </w:t>
      </w:r>
      <w:r>
        <w:rPr>
          <w:rFonts w:ascii="Arial" w:hAnsi="Arial" w:cs="Arial"/>
        </w:rPr>
        <w:t>collecting data on</w:t>
      </w:r>
      <w:r w:rsidRPr="00710A0C">
        <w:rPr>
          <w:rFonts w:ascii="Arial" w:hAnsi="Arial" w:cs="Arial"/>
        </w:rPr>
        <w:t xml:space="preserve"> corruption and the methods in Table </w:t>
      </w:r>
      <w:r>
        <w:rPr>
          <w:rFonts w:ascii="Arial" w:hAnsi="Arial" w:cs="Arial"/>
        </w:rPr>
        <w:t>S3</w:t>
      </w:r>
      <w:r w:rsidRPr="00710A0C">
        <w:rPr>
          <w:rFonts w:ascii="Arial" w:hAnsi="Arial" w:cs="Arial"/>
        </w:rPr>
        <w:t xml:space="preserve"> were not always mutually exclusive</w:t>
      </w:r>
      <w:r>
        <w:rPr>
          <w:rFonts w:ascii="Arial" w:hAnsi="Arial" w:cs="Arial"/>
        </w:rPr>
        <w:t>.</w:t>
      </w:r>
      <w:r w:rsidRPr="00710A0C">
        <w:rPr>
          <w:rFonts w:ascii="Arial" w:hAnsi="Arial" w:cs="Arial"/>
        </w:rPr>
        <w:t xml:space="preserve"> </w:t>
      </w:r>
    </w:p>
    <w:p w14:paraId="152972BE" w14:textId="77777777" w:rsidR="00362BF4" w:rsidRPr="00710A0C" w:rsidRDefault="00362BF4" w:rsidP="00362BF4">
      <w:pPr>
        <w:spacing w:line="276" w:lineRule="auto"/>
        <w:jc w:val="both"/>
        <w:rPr>
          <w:rFonts w:ascii="Arial" w:hAnsi="Arial" w:cs="Arial"/>
        </w:rPr>
      </w:pPr>
      <w:r>
        <w:rPr>
          <w:rFonts w:ascii="Arial" w:hAnsi="Arial" w:cs="Arial"/>
        </w:rPr>
        <w:t>Table S3</w:t>
      </w:r>
      <w:r w:rsidRPr="00710A0C">
        <w:rPr>
          <w:rFonts w:ascii="Arial" w:hAnsi="Arial" w:cs="Arial"/>
        </w:rPr>
        <w:t xml:space="preserve">. Approaches to </w:t>
      </w:r>
      <w:r>
        <w:rPr>
          <w:rFonts w:ascii="Arial" w:hAnsi="Arial" w:cs="Arial"/>
        </w:rPr>
        <w:t>collecting data on</w:t>
      </w:r>
      <w:r w:rsidRPr="00710A0C">
        <w:rPr>
          <w:rFonts w:ascii="Arial" w:hAnsi="Arial" w:cs="Arial"/>
        </w:rPr>
        <w:t xml:space="preserve"> corruption in the global food </w:t>
      </w:r>
      <w:proofErr w:type="gramStart"/>
      <w:r w:rsidRPr="00710A0C">
        <w:rPr>
          <w:rFonts w:ascii="Arial" w:hAnsi="Arial" w:cs="Arial"/>
        </w:rPr>
        <w:t>system</w:t>
      </w:r>
      <w:proofErr w:type="gramEnd"/>
      <w:r w:rsidRPr="00710A0C">
        <w:rPr>
          <w:rFonts w:ascii="Arial" w:hAnsi="Arial" w:cs="Arial"/>
        </w:rPr>
        <w:t xml:space="preserve"> </w:t>
      </w:r>
    </w:p>
    <w:tbl>
      <w:tblPr>
        <w:tblStyle w:val="TableGrid"/>
        <w:tblW w:w="5000" w:type="pct"/>
        <w:tblLook w:val="04A0" w:firstRow="1" w:lastRow="0" w:firstColumn="1" w:lastColumn="0" w:noHBand="0" w:noVBand="1"/>
      </w:tblPr>
      <w:tblGrid>
        <w:gridCol w:w="1647"/>
        <w:gridCol w:w="3091"/>
        <w:gridCol w:w="4278"/>
      </w:tblGrid>
      <w:tr w:rsidR="00362BF4" w:rsidRPr="00710A0C" w14:paraId="71A103A8" w14:textId="77777777" w:rsidTr="00EC27CE">
        <w:trPr>
          <w:trHeight w:val="529"/>
        </w:trPr>
        <w:tc>
          <w:tcPr>
            <w:tcW w:w="941" w:type="pct"/>
            <w:hideMark/>
          </w:tcPr>
          <w:p w14:paraId="7223AB07" w14:textId="77777777" w:rsidR="00362BF4" w:rsidRPr="00710A0C" w:rsidRDefault="00362BF4" w:rsidP="00EC27CE">
            <w:pPr>
              <w:spacing w:line="360" w:lineRule="auto"/>
              <w:rPr>
                <w:rFonts w:ascii="Arial" w:hAnsi="Arial" w:cs="Arial"/>
              </w:rPr>
            </w:pPr>
            <w:r w:rsidRPr="00710A0C">
              <w:rPr>
                <w:rFonts w:ascii="Arial" w:hAnsi="Arial" w:cs="Arial"/>
                <w:b/>
                <w:bCs/>
              </w:rPr>
              <w:t xml:space="preserve">Approach to measurement </w:t>
            </w:r>
          </w:p>
        </w:tc>
        <w:tc>
          <w:tcPr>
            <w:tcW w:w="3381" w:type="pct"/>
            <w:hideMark/>
          </w:tcPr>
          <w:p w14:paraId="5D651ABC" w14:textId="77777777" w:rsidR="00362BF4" w:rsidRPr="00710A0C" w:rsidRDefault="00362BF4" w:rsidP="00EC27CE">
            <w:pPr>
              <w:spacing w:line="360" w:lineRule="auto"/>
              <w:rPr>
                <w:rFonts w:ascii="Arial" w:hAnsi="Arial" w:cs="Arial"/>
              </w:rPr>
            </w:pPr>
            <w:r w:rsidRPr="00710A0C">
              <w:rPr>
                <w:rFonts w:ascii="Arial" w:hAnsi="Arial" w:cs="Arial"/>
                <w:b/>
                <w:bCs/>
              </w:rPr>
              <w:t>Description</w:t>
            </w:r>
          </w:p>
        </w:tc>
        <w:tc>
          <w:tcPr>
            <w:tcW w:w="679" w:type="pct"/>
            <w:hideMark/>
          </w:tcPr>
          <w:p w14:paraId="0ABF8D6B" w14:textId="77777777" w:rsidR="00362BF4" w:rsidRPr="00710A0C" w:rsidRDefault="00362BF4" w:rsidP="00EC27CE">
            <w:pPr>
              <w:spacing w:line="360" w:lineRule="auto"/>
              <w:rPr>
                <w:rFonts w:ascii="Arial" w:hAnsi="Arial" w:cs="Arial"/>
              </w:rPr>
            </w:pPr>
            <w:r w:rsidRPr="00710A0C">
              <w:rPr>
                <w:rFonts w:ascii="Arial" w:hAnsi="Arial" w:cs="Arial"/>
                <w:b/>
                <w:bCs/>
              </w:rPr>
              <w:t xml:space="preserve">Example papers </w:t>
            </w:r>
          </w:p>
        </w:tc>
      </w:tr>
      <w:tr w:rsidR="00362BF4" w:rsidRPr="00710A0C" w14:paraId="375A84BA" w14:textId="77777777" w:rsidTr="00EC27CE">
        <w:trPr>
          <w:trHeight w:val="1057"/>
        </w:trPr>
        <w:tc>
          <w:tcPr>
            <w:tcW w:w="941" w:type="pct"/>
            <w:hideMark/>
          </w:tcPr>
          <w:p w14:paraId="4916304D" w14:textId="77777777" w:rsidR="00362BF4" w:rsidRPr="00710A0C" w:rsidRDefault="00362BF4" w:rsidP="00EC27CE">
            <w:pPr>
              <w:spacing w:line="360" w:lineRule="auto"/>
              <w:rPr>
                <w:rFonts w:ascii="Arial" w:hAnsi="Arial" w:cs="Arial"/>
              </w:rPr>
            </w:pPr>
            <w:r w:rsidRPr="00710A0C">
              <w:rPr>
                <w:rFonts w:ascii="Arial" w:hAnsi="Arial" w:cs="Arial"/>
                <w:b/>
                <w:bCs/>
              </w:rPr>
              <w:t>Macro-level quantitative analysis</w:t>
            </w:r>
          </w:p>
        </w:tc>
        <w:tc>
          <w:tcPr>
            <w:tcW w:w="3381" w:type="pct"/>
            <w:hideMark/>
          </w:tcPr>
          <w:p w14:paraId="7347E5F1" w14:textId="77777777" w:rsidR="00362BF4" w:rsidRPr="00710A0C" w:rsidRDefault="00362BF4" w:rsidP="00EC27CE">
            <w:pPr>
              <w:spacing w:line="360" w:lineRule="auto"/>
              <w:rPr>
                <w:rFonts w:ascii="Arial" w:hAnsi="Arial" w:cs="Arial"/>
              </w:rPr>
            </w:pPr>
            <w:r w:rsidRPr="00710A0C">
              <w:rPr>
                <w:rFonts w:ascii="Arial" w:hAnsi="Arial" w:cs="Arial"/>
              </w:rPr>
              <w:t>Use of macro-level measures of corruption that were summarized in an index at an internationally comparable scale. Common measures included: the Corruption Perception Index by Transparency International; World Bank’s governance indicators, namely the ‘control of corruption’ measure; and inter-regional systems of reporting corruption (e.g., European Union detection system for cases of food fraud).</w:t>
            </w:r>
          </w:p>
        </w:tc>
        <w:tc>
          <w:tcPr>
            <w:tcW w:w="679" w:type="pct"/>
            <w:hideMark/>
          </w:tcPr>
          <w:p w14:paraId="284D44F0" w14:textId="77777777" w:rsidR="00362BF4" w:rsidRPr="00710A0C" w:rsidRDefault="00362BF4" w:rsidP="00EC27CE">
            <w:pPr>
              <w:spacing w:line="360" w:lineRule="auto"/>
              <w:rPr>
                <w:rFonts w:ascii="Arial" w:hAnsi="Arial" w:cs="Arial"/>
              </w:rPr>
            </w:pPr>
            <w:r w:rsidRPr="00710A0C">
              <w:rPr>
                <w:rFonts w:ascii="Arial" w:hAnsi="Arial" w:cs="Arial"/>
              </w:rPr>
              <w:fldChar w:fldCharType="begin"/>
            </w:r>
            <w:r>
              <w:rPr>
                <w:rFonts w:ascii="Arial" w:hAnsi="Arial" w:cs="Arial"/>
              </w:rPr>
              <w:instrText xml:space="preserve"> ADDIN ZOTERO_ITEM CSL_CITATION {"citationID":"B5bQOESO","properties":{"formattedCitation":"(49,130,158)","plainCitation":"(49,130,158)","noteIndex":0},"citationItems":[{"id":10968,"uris":["http://zotero.org/users/8559175/items/6D3XPJPL"],"itemData":{"id":10968,"type":"article-journal","abstract":"This paper uses a threshold model to estimate the regime-specific marginal effect of trade liberalization and other determinants of environmental degradation in regimes with different levels of corruption. The results show that increasing trade liberalization leads to an increase in carbon dioxide (CO2) emissions in countries with a high level of corruption but to an decrease in countries with low corruption. A U-shaped relationship between CO2 emissions and income exists in low-corruption countries but not in high-corruption countries. Our results also show that an increase in energy use per $1,000 in gross domestic product and fossil-fuel energy consumption will increase CO2 emissions in any country. Moreover, increases in agricultural value and foreign direct investment can decrease environmental degradation in any country. © 2013, Springer Science+Business Media Dordrecht.","container-title":"Quality and Quantity","DOI":"10.1007/s11135-013-9984-4","issue":"1","journalAbbreviation":"Quality and Quantity","page":"235-253","title":"The effects of trade liberalization on environmental degradation","URL":"https://www.scopus.com/inward/record.uri?eid=2-s2.0-84890462409&amp;doi=10.1007%2fs11135-013-9984-4&amp;partnerID=40&amp;md5=91b0cb8c201e4875f02ad2dd68b986a3","volume":"49","author":[{"family":"Chang","given":"S.-C."}],"issued":{"date-parts":[["2015"]]}}},{"id":17199,"uris":["http://zotero.org/groups/2477744/items/ESK4U6BH"],"itemData":{"id":17199,"type":"article-journal","abstract":"Production of sufficient, safe and nutritious food is a global challenge faced by the actors operating in the food production chain. The performance of food-producing systems from farm to fork is directly and indirectly influenced by major changes in, for example, climate, demographics, and the economy. Many of these major trends will also drive the development of food safety risks and thus will have an effect on human health, local societies and economies. It is advocated that a holistic or system approach taking into account the influence of multiple “drivers” on food safety is followed to predict the increased likelihood of occurrence of safety incidents so as to be better prepared to prevent, mitigate and manage associated risks. The value of using a Bayesian Network (BN) modelling approach for this purpose is demonstrated in this paper using food fraud as an example. Possible links between food fraud cases retrieved from the RASFF (EU) and EMA (USA) databases and features of these cases provided by both the records themselves and additional data obtained from other sources are demonstrated. The BN model was developed from 1393 food fraud cases and 15 different data sources. With this model applied to these collected data on food fraud cases, the product categories that thus showed the highest probabilities of being fraudulent were “fish and seafood” (20.6%), “meat” (13.4%) and “fruits and vegetables” (10.4%). Features of the country of origin appeared to be important factors in identifying the possible hazards associated with a product. The model had a predictive accuracy of 91.5% for the fraud type and demonstrates how expert knowledge and data can be combined within a model to assist risk managers to better understand the factors and their interrelationships. © 2016 Elsevier Ltd","container-title":"Food Research International","DOI":"10.1016/j.foodres.2016.08.028","journalAbbreviation":"Food Research International","page":"463-470","title":"A holistic approach to food safety risks: Food fraud as an example","URL":"https://www.scopus.com/inward/record.uri?eid=2-s2.0-84995520513&amp;doi=10.1016%2fj.foodres.2016.08.028&amp;partnerID=40&amp;md5=ec58d79055544468bcc50907a5fc1415","volume":"89","author":[{"family":"Marvin","given":"H.J.P."},{"family":"Bouzembrak","given":"Y."},{"family":"Janssen","given":"E.M."},{"family":"Fels- Klerx","given":"H.J.","non-dropping-particle":"van der"},{"family":"Asselt","given":"E.D.","non-dropping-particle":"van"},{"family":"Kleter","given":"G.A."}],"issued":{"date-parts":[["2016"]]}}},{"id":18796,"uris":["http://zotero.org/groups/2477744/items/XIKJAZYK"],"itemData":{"id":18796,"type":"article-journal","abstract":"Biosecurity regulations and standards govern international agricultural inter-firm transactions. Drawing mainly on new institutional economics, our study offers insights into the institutional factors, at both the macro and meso levels, that influence the choice of inter-firm contracts for Chilean apple exports. First and foremost, it examines the influence of the Sanitary and Phytosanitary (SPS) provisions included in trade agreements signed by Chile with its trade counterparts on the choice of alternative contracts displaying different degrees of completeness. It also focuses on the institutions in the importing countries, the legal institutions enforcing contracts, the efficiency of logistics and the effect of hidden informal rules such as corruption, on the choice between free consignment, minimum guaranteed and sale contracts. We also explore the private institutions, primarily linked to direct imports by supermarkets. The results of our econometric analysis show that less complete contracts, i.e. free consignment and minimum guaranteed arrangements, are chosen when exporting to countries with safe business environments and higher number of SPS provision in international trade agreements. On the contrary, when exporting to non-reliable countries, exporters tend to protect themselves through more complete contracts, i.e. sale contracts. We found evidence that direct exports to supermarkets are more prone to occur under sale contracts which suggest the dual function of contracts, both as a safeguard and as a coordination tool to adopt specific customers' requirements. © 2019 Elsevier Ltd","container-title":"Agricultural Systems","DOI":"10.1016/j.agsy.2019.102668","journalAbbreviation":"Agricultural Systems","title":"Biosecurity institutions and the choice of contracts in international fruit supply chains","URL":"https://www.scopus.com/inward/record.uri?eid=2-s2.0-85071883441&amp;doi=10.1016%2fj.agsy.2019.102668&amp;partnerID=40&amp;md5=62cf80696ccbaed1f38c1a290732efeb","volume":"176","author":[{"family":"Pavez","given":"I."},{"family":"Codron","given":"J.-M."},{"family":"Lubello","given":"P."},{"family":"Florêncio","given":"M.C."}],"issued":{"date-parts":[["2019"]]}}}],"schema":"https://github.com/citation-style-language/schema/raw/master/csl-citation.json"} </w:instrText>
            </w:r>
            <w:r w:rsidRPr="00710A0C">
              <w:rPr>
                <w:rFonts w:ascii="Arial" w:hAnsi="Arial" w:cs="Arial"/>
              </w:rPr>
              <w:fldChar w:fldCharType="separate"/>
            </w:r>
            <w:r w:rsidRPr="00EF10F9">
              <w:rPr>
                <w:rFonts w:ascii="Arial" w:hAnsi="Arial" w:cs="Arial"/>
              </w:rPr>
              <w:t>(49,130,158)</w:t>
            </w:r>
            <w:r w:rsidRPr="00710A0C">
              <w:rPr>
                <w:rFonts w:ascii="Arial" w:hAnsi="Arial" w:cs="Arial"/>
              </w:rPr>
              <w:fldChar w:fldCharType="end"/>
            </w:r>
          </w:p>
        </w:tc>
      </w:tr>
      <w:tr w:rsidR="00362BF4" w:rsidRPr="00710A0C" w14:paraId="6E9D5CEF" w14:textId="77777777" w:rsidTr="00EC27CE">
        <w:trPr>
          <w:trHeight w:val="1057"/>
        </w:trPr>
        <w:tc>
          <w:tcPr>
            <w:tcW w:w="941" w:type="pct"/>
          </w:tcPr>
          <w:p w14:paraId="26A2AFBC" w14:textId="77777777" w:rsidR="00362BF4" w:rsidRPr="00710A0C" w:rsidRDefault="00362BF4" w:rsidP="00EC27CE">
            <w:pPr>
              <w:spacing w:line="360" w:lineRule="auto"/>
              <w:rPr>
                <w:rFonts w:ascii="Arial" w:hAnsi="Arial" w:cs="Arial"/>
                <w:b/>
                <w:bCs/>
              </w:rPr>
            </w:pPr>
            <w:r w:rsidRPr="00710A0C">
              <w:rPr>
                <w:rFonts w:ascii="Arial" w:hAnsi="Arial" w:cs="Arial"/>
                <w:b/>
                <w:bCs/>
              </w:rPr>
              <w:t>Micro-level quantitative analysis</w:t>
            </w:r>
          </w:p>
        </w:tc>
        <w:tc>
          <w:tcPr>
            <w:tcW w:w="3381" w:type="pct"/>
          </w:tcPr>
          <w:p w14:paraId="4A3C82CF" w14:textId="77777777" w:rsidR="00362BF4" w:rsidRPr="00710A0C" w:rsidRDefault="00362BF4" w:rsidP="00EC27CE">
            <w:pPr>
              <w:spacing w:line="360" w:lineRule="auto"/>
              <w:rPr>
                <w:rFonts w:ascii="Arial" w:hAnsi="Arial" w:cs="Arial"/>
              </w:rPr>
            </w:pPr>
            <w:r w:rsidRPr="00710A0C">
              <w:rPr>
                <w:rFonts w:ascii="Arial" w:hAnsi="Arial" w:cs="Arial"/>
              </w:rPr>
              <w:t xml:space="preserve">Development of proxy variables for corruption based on the authors’ interpretation of the phenomenon in their respective context (generally at a national/local level). Some common measures included: illicit financial flows calculated using the difference between expected and actual payments for the </w:t>
            </w:r>
            <w:r w:rsidRPr="00710A0C">
              <w:rPr>
                <w:rFonts w:ascii="Arial" w:hAnsi="Arial" w:cs="Arial"/>
              </w:rPr>
              <w:lastRenderedPageBreak/>
              <w:t>service/items; quantification of perceived corruption from ‘on-the-ground’ stakeholders; national or local collected data on the corruption issue e.g., lobbying cases, fraud detection cases, cases of recorded organized crime rates.</w:t>
            </w:r>
          </w:p>
        </w:tc>
        <w:tc>
          <w:tcPr>
            <w:tcW w:w="679" w:type="pct"/>
          </w:tcPr>
          <w:p w14:paraId="0E730BEE" w14:textId="77777777" w:rsidR="00362BF4" w:rsidRPr="00710A0C" w:rsidRDefault="00362BF4" w:rsidP="00EC27CE">
            <w:pPr>
              <w:spacing w:line="360" w:lineRule="auto"/>
              <w:rPr>
                <w:rFonts w:ascii="Arial" w:hAnsi="Arial" w:cs="Arial"/>
              </w:rPr>
            </w:pPr>
            <w:r w:rsidRPr="00710A0C">
              <w:rPr>
                <w:rFonts w:ascii="Arial" w:hAnsi="Arial" w:cs="Arial"/>
              </w:rPr>
              <w:lastRenderedPageBreak/>
              <w:fldChar w:fldCharType="begin"/>
            </w:r>
            <w:r>
              <w:rPr>
                <w:rFonts w:ascii="Arial" w:hAnsi="Arial" w:cs="Arial"/>
              </w:rPr>
              <w:instrText xml:space="preserve"> ADDIN ZOTERO_ITEM CSL_CITATION {"citationID":"lWemwEek","properties":{"formattedCitation":"(18,28,40,44,76,82,145,155,167,238,239)","plainCitation":"(18,28,40,44,76,82,145,155,167,238,239)","noteIndex":0},"citationItems":[{"id":17087,"uris":["http://zotero.org/groups/2477744/items/QL5ZNQWP"],"itemData":{"id":17087,"type":"article-journal","abstract":"Redistribution programs in developing countries often leak because local officials do not implement programs as the central government intends. We study one approach to reducing leakage. In an experiment in over 550 villages, we test whether mailing cards with program information to targeted beneficiaries increases the subsidy they receive from a subsidized rice program. On net, beneficiaries received 26 percent more subsidy in card villages. Ineligible households received no less, so this represents substantially lower leakage.","container-title":"JOURNAL OF POLITICAL ECONOMY","issue":"2","journalAbbreviation":"JOURNAL OF POLITICAL ECONOMY","page":"451-491","title":"Tangible Information and Citizen Empowerment: Identification Cards and Food Subsidy Programs in Indonesia","volume":"126","author":[{"family":"Banerjee","given":"Abhijit"},{"family":"Hanna","given":"Rema"},{"family":"Kyle","given":"Jordan"},{"family":"Olken","given":"Benjamin A"},{"family":"Sumarto","given":"Sudarno"}],"issued":{"date-parts":[["2018"]]}}},{"id":17145,"uris":["http://zotero.org/groups/2477744/items/2RUSTDZM"],"itemData":{"id":17145,"type":"article-journal","abstract":"It seems paradoxical that until recently, developed countries have continued subsidizing agriculture even though their agricultural sectors had been declining in relative importance since the middle of the 20th century. What drives support for agricultural protection-the broad array of subsidies to farmers and taxes and quotas imposed on agricultural imports-in developed countries? We answer this question by testing three competing hypotheses about what drives support for agricultural protection in the US: (i) legislator preferences, (ii) electoral incentives, or (iii) lobbying. Using data on the roll call votes of the members of the 106th through the 110th Congresses (1999-2009) and the scores given to each legislator by the Farm Bureau, our findings suggest that electoral incentives explain a great deal of the variation in support for agricultural protection, but that legislator preferences and lobbying might play a role, too. Moreover, legislator preferences and electoral incentives appear to be substitutes for one another. Why does Congress support agricultural protection? Because many members have electoral incentives to-and because many of those who do not still have other personal or strategic interests at stake. © 2014 Elsevier Ltd.","container-title":"Food Policy","DOI":"10.1016/j.foodpol.2014.10.010","journalAbbreviation":"Food Policy","page":"20-34","title":"Why do members of congress support agricultural protection?","URL":"https://www.scopus.com/inward/record.uri?eid=2-s2.0-84909619819&amp;doi=10.1016%2fj.foodpol.2014.10.010&amp;partnerID=40&amp;md5=24c55587cab66688ee2c639409e60a28","volume":"50","author":[{"family":"Bellemare","given":"M.F."},{"family":"Carnes","given":"N."}],"issued":{"date-parts":[["2015"]]}}},{"id":17151,"uris":["http://zotero.org/groups/2477744/items/CLE9VBY8"],"itemData":{"id":17151,"type":"article-journal","abstract":"We use recent data on transport costs in West Africa, including the added burden of bribes and enforced delays, to show how such costs represent a deterrent to investment in - and therefore the sustainability of - agricultural assets. We focus on data for two important tree crops in West Africa, cashew and shea. We also have data for the transport of onions between Niger and the urban market in Accra, Ghana. Our data allow us to predict plausible increases in farm-gate prices from a reduction in transport costs and bribes. A 10% reduction in the total transport costs (actual costs plus corruption costs) of onions from Niger could result in a 12-13% price increase to onion farmers. Similar elasticities are 2% for cashew in Ghana and 7% for shea in Mali. These feasible price increases would encourage farmers to improve onion production, and to protect and improve production from cashew and shea trees, thereby enhancing the sustainability of agro-forestry in West Africa. We call these price increases the \"sustainability dividend\". © 2011 The Authors. Natural Resources Forum © 2011 United Nations.","container-title":"Natural Resources Forum","DOI":"10.1111/j.1477-8947.2011.01342.x","issue":"1","journalAbbreviation":"Natural Resources Forum","page":"32-48","title":"Sustainability under siege: Transport costs and corruption on West Africa's trade corridors","URL":"https://www.scopus.com/inward/record.uri?eid=2-s2.0-79951766643&amp;doi=10.1111%2fj.1477-8947.2011.01342.x&amp;partnerID=40&amp;md5=544de2b8977c7571bbe07ec2ab5306eb","volume":"35","author":[{"family":"Bromley","given":"D."},{"family":"Foltz","given":"J."}],"issued":{"date-parts":[["2011"]]}}},{"id":18687,"uris":["http://zotero.org/groups/2477744/items/SPYYZ7PL"],"itemData":{"id":18687,"type":"article-journal","abstract":"This paper aims to explain the implementation of blockchain technology in the production and supply chain delivery system for eggs from farm to consumer by a company based in the Midwestern USA. One of the primary research questions answered is how blockchain can be utilized and applied to more accurately and transparently move goods through global supply chains. This company is at the forefront of developing such systems for use in industry, and a use case for egg distribution is detailed. The goal is to track products from farm to fork using blockchain and internet of things (IoT) enabled technologies. By creating traceable and transparent supply chains for food, consumers can attain the information they need to make informed choices about the food they buy and the companies they support. For stakeholders in the food supply chain, having traceability and transparency builds better relationships with their customers, increases efficiency, and reduces the risk and cost of food recalls, fraud, and product loss. The blockchain technology and this business are creating a case for fixing and transforming the world's food system. © 2019 Elsevier Ltd","container-title":"International Journal of Information Management","DOI":"10.1016/j.ijinfomgt.2019.09.004","journalAbbreviation":"International Journal of Information Management","title":"A blockchain use case in food distribution: Do you know where your food has been?","URL":"https://www.scopus.com/inward/record.uri?eid=2-s2.0-85073210750&amp;doi=10.1016%2fj.ijinfomgt.2019.09.004&amp;partnerID=40&amp;md5=c8a6bbb3ab5b3d6906056184bda70556","volume":"52","author":[{"family":"Bumblauskas","given":"D."},{"family":"Mann","given":"A."},{"family":"Dugan","given":"B."},{"family":"Rittmer","given":"J."}],"issued":{"date-parts":[["2020"]]}}},{"id":17172,"uris":["http://zotero.org/groups/2477744/items/V57F2MDR"],"itemData":{"id":17172,"type":"article-journal","abstract":"Concerns about poor seed quality and outright fraud in seed supply chains can reduce farmers’ willingness to invest in hybrid seeds and in complementary inputs that increase crop yields and improve food security. In Kenya, seed companies have started marketing their seed using novel packaging features to signal product quality and authenticity. We use experimental auctions with smallholder farmers in Kenya's Nyanza Province to assess (1) farmer willingness to pay (WTP) for hybrid seed from different sources with different packaging features and (2) how WTP is affected by training on best practices for purchasing seed. We elicited demand for two popular types of hybrid maize seed and a familiar local (non-hybrid) seed. For each hybrid, we examined WTP for one bag purchased directly from the seed company and three bags purchased from local retailers, two of which had compromised packaging. Across both the control and training groups, participants were willing to pay a 15% premium, on average, for bags purchased directly from the seed company compared to mint condition bags purchased from local retailers. Without the training on purchasing seed, farmers did not discount compromised bags; however, farmers who received the training, were willing to pay 15% less for compromised bags. Education and outreach may be required for packaging innovations to increase investments in high-quality hybrid seed that can help enhance the productivity of smallholder farmers. © 2021 Elsevier Ltd","container-title":"Food Policy","DOI":"10.1016/j.foodpol.2021.102040","journalAbbreviation":"Food Policy","title":"Fear of fraud and willingness to pay for hybrid maize seed in Kenya","URL":"https://www.scopus.com/inward/record.uri?eid=2-s2.0-85103925385&amp;doi=10.1016%2fj.foodpol.2021.102040&amp;partnerID=40&amp;md5=197f792c2748996a04bc9fe6461027e2","volume":"102","author":[{"family":"Gharib","given":"M.H."},{"family":"Palm-Forster","given":"L.H."},{"family":"Lybbert","given":"T.J."},{"family":"Messer","given":"K.D."}],"issued":{"date-parts":[["2021"]]}}},{"id":17174,"uris":["http://zotero.org/groups/2477744/items/WLRLX8U6"],"itemData":{"id":17174,"type":"article-journal","abstract":"Food fraud is becoming a major concern for the food industry, consumers and governments. Food industries are accountable for food fraud management and, since January 2018, must implement measures to counter food fraud as part of a Global Food Safety Initiative (GFSI) scheme. However, information related to Food Business Operators' (FBO) perceptions and knowledge on food fraud is still very scarce. Hence, from October 2017 to April 2018, FBOs from different sectors across Canada were invited to answer an online survey of 52 closed-ended questions about their perceptions of food fraud and food fraud management. Close to 400 Canadian FBOs filled out the survey. This paper aims to present their perceptions, concerns and needs relative to food fraud, and their practices to manage and prevent this risk. Answers were collected and analyzed to build a representative picture of the Canadian food industry's perceived readiness and awareness of food fraud. A Kruskal—Wallis test was used to analyze differences among producers, processors and distributors regarding perceptions and knowledge of food fraud. This study provides valuable insights allowing academics and regulators to adapt their communication and collaboration with food industry stakeholders. It could also be used by FBOs as a first base for self-assessment. © 2020 Elsevier Ltd","container-title":"Food Control","DOI":"10.1016/j.foodcont.2020.107182","journalAbbreviation":"Food Control","title":"Food industry perceptions and actions towards food fraud: Insights from a pan-Canadian study","URL":"https://www.scopus.com/inward/record.uri?eid=2-s2.0-85081023666&amp;doi=10.1016%2fj.foodcont.2020.107182&amp;partnerID=40&amp;md5=8fc1bab2895ebe064711556e700c6f0a","volume":"113","author":[{"family":"Guntzburger","given":"Y."},{"family":"Théolier","given":"J."},{"family":"Barrere","given":"V."},{"family":"Peignier","given":"I."},{"family":"Godefroy","given":"S."},{"family":"Marcellis-Warin","given":"N.","non-dropping-particle":"de"}],"issued":{"date-parts":[["2020"]]}}},{"id":18654,"uris":["http://zotero.org/groups/2477744/items/4AKI73T3"],"itemData":{"id":18654,"type":"article-journal","abstract":"The increasing number of fraudulent pesticides on the market not only constitutes a major threat to sustainable agriculture but can also have adverse consequences for the environment and human health. The purpose of this study is to assess farmers’ risk perception with regard to fraudulent pesticides and to establish the determinants of their perception. Data were collected through structured questionnaires from 370 farmers from the eastern region in Saudi Arabia. The findings showed that farmers had a high perception of physical, legal, social, and physiological risks of counterfeit pesticides, while they had a moderate perception of agri-environmental risks (M = 3.47, SD = 0.72) and economic risks (M = 3.52, SD = 1.11). Moreover, 73.5% of farmers reported that they had purchased fraudulent pesticides in the last three years. The results of the t-test revealed that the number of farmers who had purchased fraudulent pesticides was significantly higher than the number of farmers who had not purchased such pesticides regarding the perception of the majority of risks, except for physical risk. Multivariate regression analyses showed that age, farm size, farming experience, extension contact, and purchased fraudulent pesticides were significantly associated with risk perception. The findings suggest that awareness campaigns on recognizing fraudulent pesticides among farmers are needed, as well as policy measures, to combat counterfeiting in the agricultural sector in cooperation with other stakeholders. (PsycInfo Database Record (c) 2021 APA, all rights reserved)","container-title":"PLoS ONE","DOI":"10.1371/journal.pone.0239298","issue":"9","journalAbbreviation":"PLoS ONE","note":"publisher-place: US\npublisher: Public Library of Science","title":"Do farmers perceive risks of fraudulent pesticides? Evidence from Saudi Arabia.","volume":"15","author":[{"family":"Kassem","given":"Hazem S."},{"family":"Alotaibi","given":"Bader Alhafi"}],"issued":{"date-parts":[["2020"]]}}},{"id":17249,"uris":["http://zotero.org/groups/2477744/items/JKWUD9Y6"],"itemData":{"id":17249,"type":"article-journal","abstract":"BACKGROUND: Canadian federal restrictions on food marketing to children (children's marketing) were proposed in 2016 as Bill S-228, the Child Health Protection Act, which subsequently died on the parliamentary table. This study quantified the interactions (meetings, correspondence and lobbying) related to Bill S-228 and children's marketing by different stakeholders with the federal government. METHODS: Interactions between all stakeholders and government related to children's marketing and Bill S-228 (Sept. 1, 2016-Sept. 30, 2019) were analyzed. These included the \"Meetings and correspondence on healthy eating\" database, detailing interactions between stakeholders and Health Canada related to nutrition policies; and Canada's Registry of Lobbyists, reporting activities of paid lobbyists. We categorized the interactions by stakeholder type (industry, nonindustry and mixed), and analyzed the number and type of interactions with different government offices. RESULTS: We analyzed 139 meetings, 65 lobbying registrants, 215 lobbying registrations and 3418 communications related to children's marketing and Bill S-228. Most interactions were from industry stakeholders, including 84.2% of meetings (117/139), 81.5% of lobbying registrants (53/65), 83.3% of lobbying registrations (179/215) and 83.9% of communications (2866/3418). Most interactions (&gt; 80%) in the highest-ranking government offices were by industry. INTERPRETATION: Industry stakeholders interacted with government more often, more broadly and with higher ranking offices than nonindustry stakeholders on subjects related to children's marketing and Bill S-228. Although further research is needed to analyze the nature of the discourse around children's marketing, it is apparent that industry viewpoints were more prominent than those of nonindustry stakeholders. © 2021 Joule Inc. or its licensors.","container-title":"CMAJ open","DOI":"10.9778/cmajo.20200086","issue":"1","journalAbbreviation":"CMAJ open","page":"E280-E287","title":"Stakeholder interactions with the federal government related to Bill S-228 and marketing to kids in Canada: a quantitative descriptive study","URL":"https://www.scopus.com/inward/record.uri?eid=2-s2.0-85107911926&amp;doi=10.9778%2fcmajo.20200086&amp;partnerID=40&amp;md5=28593f9ff69ab385154ed98aa5cead7c","volume":"9","author":[{"family":"Mulligan","given":"C."},{"family":"Jawad","given":"A."},{"family":"Kent","given":"M.P."},{"family":"Vanderlee","given":"L."},{"family":"L'Abbé","given":"M.R."}],"issued":{"date-parts":[["2021"]]}}},{"id":17243,"uris":["http://zotero.org/groups/2477744/items/4GAVLCG9"],"itemData":{"id":17243,"type":"article-journal","abstract":"Despite expansive research on Amazonian deforestation and its drivers, the role of local politics is not well understood. Using a panel data set that combines municipal-level deforestation and election data from 2002 to 2012, I estimate the effect of an incumbent mayor running for re-election on deforestation rates in election periods. I find that deforestation rates increase 8–10% in election years when an incumbent mayor runs for re-election, an amount equivalent to four percent of the total forest lost since the 2004 elections. Electoral deforestation cycles do not appear to be driven by changes in agricultural policy implementation and activity, but are linked to corruption and campaign finance, suggesting that weak institutional constraints facilitate electoral manipulation of forest resources. This phenomenon is not likely limited to Amazonian forests; re-election incentives could very well lead to misallocation of other natural resources in alternate geographies. © 2018 Elsevier Inc.","container-title":"Journal of Environmental Economics and Management","DOI":"10.1016/j.jeem.2018.01.008","journalAbbreviation":"Journal of Environmental Economics and Management","page":"345-365","title":"Re-election incentives and deforestation cycles in the Brazilian Amazon","URL":"https://www.scopus.com/inward/record.uri?eid=2-s2.0-85041410667&amp;doi=10.1016%2fj.jeem.2018.01.008&amp;partnerID=40&amp;md5=f7747151bdaf1a44bb9dae87c2186fd9","volume":"88","author":[{"family":"Pailler","given":"S."}],"issued":{"date-parts":[["2018"]]}}},{"id":17116,"uris":["http://zotero.org/groups/2477744/items/L65L7T2Q"],"itemData":{"id":17116,"type":"article-journal","abstract":"From the 1990s the Italian agribusiness sector is increasingly threatened by a new and dangerous phenomenon: organized crime in the agribusiness sector. The so-called ``Agromafia{''} imposes its control throughout the whole agricultural supply chain, from production to retail, passing through the processing industry, transports and large-scale distribution. In this paper we examine the relationship between eco-crimes and consumer food and non-alcoholic drinks price index for the 20 Italian regions and 80 Italian provinces in the 1998-2016 period. At regional level, as a proxy for the Agromafia's activities, we build an ad hoc eco-criminal index for every region using data annually elaborated from Legambiente. At province level, as a proxy for Agromafia's activities, we use eight specific variables: extortions, counterfeiting, contraband, forest fires, all types of fires, money laundering, suspicious money transfers, and an ad hoc eco-criminal index. The analysis shows that the Agromafia can consistently affect the whole agribusiness sector, causing an increase in food prices, especially in south of the country. The ten most affected provinces by phenomenon register a food consumer price index about 12% higher than the least ten affected provinces. By the contrast, in the center-north of Italy money laundering seems to reduce food consumer prices through the reinvestment of illicit proceeds in firms with strong cost advantages.","container-title":"ECONOMIA POLITICA","DOI":"10.1007/s40888-019-00165-5","journalAbbreviation":"ECONOMIA POLITICA","title":"The impact of agribusiness crimes on food prices: evidence from Italy","author":[{"family":"Perone","given":"Gaetano"}]}},{"id":17254,"uris":["http://zotero.org/groups/2477744/items/9JGGL7HB"],"itemData":{"id":17254,"type":"article-journal","abstract":"Fraudulent activities in the international honey market affect 10% of food, and cost the global food market $50 billion per annum. Although many developed countries have created regulations to combat food fraud, illegally imported honey, especially originating from China, still enters through transshipments and relabelling to mask its true origin. This honey laundering poses a health risk to consumers, as Chinese honey potentially contains illegal and unsafe antibiotics and high levels of herbicides and pesticides. We analyse whether information about the negative health impacts of laundered honey increases the proportion of consumers willing to pay a premium for local fraud-free honey. Using a laboratory experiment, we find when consumers are given honey laundering information, their willingness to pay a premium for local fraud-free honey increases by as much as 27 percentage points. Our findings suggest that by conveying honey laundering information and guaranteeing their honey is fraud-free, producers can potentially increase revenues and reduce the prevalence of food fraud. Our results further show that consumers' preference for various honey characteristics and age also influence the probability of paying a premium for local honey.","archive_location":"WOS:000493038300003","container-title":"AUSTRALIAN JOURNAL OF AGRICULTURAL AND RESOURCE ECONOMICS","DOI":"10.1111/1467-8489.12325","issue":"4","journalAbbreviation":"AUSTRALIAN JOURNAL OF AGRICULTURAL AND RESOURCE ECONOMICS","page":"726-741","title":"International honey laundering and consumer willingness to pay a premium for local honey: an experimental study","volume":"63","author":[{"family":"Ritten","given":"CJ"},{"family":"Thunstrom","given":"L"},{"family":"Ehmke","given":"M"},{"family":"Beiermann","given":"J"},{"family":"McLeod","given":"D"}],"issued":{"date-parts":[["2019"]]}}}],"schema":"https://github.com/citation-style-language/schema/raw/master/csl-citation.json"} </w:instrText>
            </w:r>
            <w:r w:rsidRPr="00710A0C">
              <w:rPr>
                <w:rFonts w:ascii="Arial" w:hAnsi="Arial" w:cs="Arial"/>
              </w:rPr>
              <w:fldChar w:fldCharType="separate"/>
            </w:r>
            <w:r w:rsidRPr="00EF10F9">
              <w:rPr>
                <w:rFonts w:ascii="Arial" w:hAnsi="Arial" w:cs="Arial"/>
              </w:rPr>
              <w:t>(18,28,40,44,76,82,145,155,167,238,239)</w:t>
            </w:r>
            <w:r w:rsidRPr="00710A0C">
              <w:rPr>
                <w:rFonts w:ascii="Arial" w:hAnsi="Arial" w:cs="Arial"/>
              </w:rPr>
              <w:fldChar w:fldCharType="end"/>
            </w:r>
          </w:p>
        </w:tc>
      </w:tr>
      <w:tr w:rsidR="00362BF4" w:rsidRPr="00710A0C" w14:paraId="5531BEA2" w14:textId="77777777" w:rsidTr="00EC27CE">
        <w:trPr>
          <w:trHeight w:val="1149"/>
        </w:trPr>
        <w:tc>
          <w:tcPr>
            <w:tcW w:w="941" w:type="pct"/>
            <w:hideMark/>
          </w:tcPr>
          <w:p w14:paraId="260334DC" w14:textId="77777777" w:rsidR="00362BF4" w:rsidRPr="00710A0C" w:rsidRDefault="00362BF4" w:rsidP="00EC27CE">
            <w:pPr>
              <w:spacing w:line="360" w:lineRule="auto"/>
              <w:rPr>
                <w:rFonts w:ascii="Arial" w:hAnsi="Arial" w:cs="Arial"/>
              </w:rPr>
            </w:pPr>
            <w:r w:rsidRPr="00710A0C">
              <w:rPr>
                <w:rFonts w:ascii="Arial" w:hAnsi="Arial" w:cs="Arial"/>
                <w:b/>
                <w:bCs/>
              </w:rPr>
              <w:t xml:space="preserve">Ethnographic research </w:t>
            </w:r>
          </w:p>
        </w:tc>
        <w:tc>
          <w:tcPr>
            <w:tcW w:w="3381" w:type="pct"/>
            <w:hideMark/>
          </w:tcPr>
          <w:p w14:paraId="640FB54F" w14:textId="77777777" w:rsidR="00362BF4" w:rsidRPr="00710A0C" w:rsidRDefault="00362BF4" w:rsidP="00EC27CE">
            <w:pPr>
              <w:spacing w:line="360" w:lineRule="auto"/>
              <w:rPr>
                <w:rFonts w:ascii="Arial" w:hAnsi="Arial" w:cs="Arial"/>
                <w:color w:val="000000" w:themeColor="text1"/>
              </w:rPr>
            </w:pPr>
            <w:r w:rsidRPr="00710A0C">
              <w:rPr>
                <w:rFonts w:ascii="Arial" w:hAnsi="Arial" w:cs="Arial"/>
                <w:color w:val="000000" w:themeColor="text1"/>
              </w:rPr>
              <w:t>First-hand investigation of the social and environmental context in which the population of interest is situated in. Data was often collected through participant observation, fieldwork, and/or open-ended interviews. At times, secondary data analysis was used to further understand and explain participants’ perspectives, actions, and behaviors. The timeframe of data collection ranged from over numerous months to multiple years.</w:t>
            </w:r>
          </w:p>
        </w:tc>
        <w:tc>
          <w:tcPr>
            <w:tcW w:w="679" w:type="pct"/>
            <w:hideMark/>
          </w:tcPr>
          <w:p w14:paraId="49AB8C4A" w14:textId="77777777" w:rsidR="00362BF4" w:rsidRPr="00710A0C" w:rsidRDefault="00362BF4" w:rsidP="00EC27CE">
            <w:pPr>
              <w:spacing w:line="360" w:lineRule="auto"/>
              <w:rPr>
                <w:rFonts w:ascii="Arial" w:hAnsi="Arial" w:cs="Arial"/>
              </w:rPr>
            </w:pPr>
            <w:r w:rsidRPr="00710A0C">
              <w:rPr>
                <w:rFonts w:ascii="Arial" w:hAnsi="Arial" w:cs="Arial"/>
              </w:rPr>
              <w:fldChar w:fldCharType="begin"/>
            </w:r>
            <w:r>
              <w:rPr>
                <w:rFonts w:ascii="Arial" w:hAnsi="Arial" w:cs="Arial"/>
              </w:rPr>
              <w:instrText xml:space="preserve"> ADDIN ZOTERO_ITEM CSL_CITATION {"citationID":"eCtQp4dA","properties":{"formattedCitation":"(62,81,116,129)","plainCitation":"(62,81,116,129)","noteIndex":0},"citationItems":[{"id":17071,"uris":["http://zotero.org/groups/2477744/items/BFNHW7KL"],"itemData":{"id":17071,"type":"article-journal","abstract":"The paper points out the institutional transition toward illegality in a typical Italian food chain. The key research questions concern the way illegality becomes an institution. The theoretical perspective makes reference to institutional theories: more precisely, building on Veblen's insight into the evolution of social institutions, the paper analyses the conventions of production within the domestic water buffalo mozzarella industry to argue that legality and illegality are not universal values, but social constructs that are the product of institutional selection. Through an empirical analysis carried out on the production area, the authors argue that the practices of production of mozzarella producers are based on the nature of the system of power in place locally, characterized by the endemic presence of organized crime, and the historical inefficiency and corruption of state officials. It emerges from these practices that, in this production area, producers perceive legal and illegal acts not as mutually exclusive opposites, but as a possible behaviour along the same legality/illegality continuum. The culture of illegality in place in the area of mozzarella production is thus explained as an ongoing process of institutional selection that promotes illegality as the ``way of doing things{''} in the region. (C) 2016 Elsevier Ltd. All rights reserved.","container-title":"JOURNAL OF RURAL STUDIES","DOI":"10.1016/j.jrurstud.2016.04.009","journalAbbreviation":"JOURNAL OF RURAL STUDIES","page":"303-311","title":"Everybody does it, or how illegality is socially constructed in a southern Italian food network","volume":"45","author":[{"family":"De Rosa","given":"Marcello"},{"family":"Trabalzi","given":"Ferro"}],"issued":{"date-parts":[["2016"]]}}},{"id":17070,"uris":["http://zotero.org/groups/2477744/items/BERGX428"],"itemData":{"id":17070,"type":"article-journal","abstract":"Technology has politics and plays a role in societal governance. This article explores the fishing community of Karanrang island (Spermonde Archipelago, Indonesia) to consider how fishing technologies reinforce existing power structures in the local informal governance system. Informal governance actors deploy the politics of technology in order to manage a socially problematic and environmentally destructive fishing economy. In the punggawa-sawi system of patron-client relationships, fishers are economically dependent on patrons, who supply them with fishing technologies like boats, bombs, and cyanide. The patrons themselves are embedded in a complex governance network, encompassing corrupt police and officials, importers, and live food fish traders. The politics of technology contribute to maintaining the local informal governance system of patron-client relationships. This paper draws upon theories from science and technology studies and network governance to argue that although patronclient relationships are problematic in themselves, the politics of technology further maintain power imbalances.","container-title":"GEOJOURNAL","DOI":"10.1007/s10708-014-9619-x","issue":"2","journalAbbreviation":"GEOJOURNAL","page":"281-292","title":"Politics of technology in the informal governance of destructive fishing in Spermonde, Indonesia","volume":"81","author":[{"family":"Grydehoj","given":"Adam"},{"family":"Nurdin","given":"Nurliah"}],"issued":{"date-parts":[["2016"]]}}},{"id":18648,"uris":["http://zotero.org/groups/2477744/items/RQNVNN2T"],"itemData":{"id":18648,"type":"article-journal","abstract":"Blurred boundaries between public and private have long been presented as signs of the Chinese state's \"otherness.\" This othering is prone to continue in discussions of food safety regulation in China. In the dominant Western model of the independent regulator, personal relations are framed as corruption and presented as a threat to institutions. Anthropological writing on post-socialism offers the reverse argument, that personalistic ties such as guanxi compensate for institutional deficiencies. Both interpretations are limited because of their reliance on economic theory rather than on ethnographic theorising. During fieldwork in a food network of peasant cooperatives and consumer associations in Sichuan, I observed that images of personal relations are nurturing both urban middle class consumers' distrust in the state's regulatory capacity regarding organic food and their hope for transparency in a civic alternative. To understand these ambivalent interpretations of personal relatedness as either inducing corruption or enabling transparency, I adopt a relational approach to the state. The article shows how positive evaluations of personal relatedness emerge as state officials and other citizens in the food network distance \"the state.\" This analytical focus on performative boundary work promises a way out of the dead-end of presupposed otherness in debates on regulation in China.","archive_location":"2230824658","container-title":"Urban Anthropology and Studies of Cultural Systems and World Economic Development","issue":"3/4","journalAbbreviation":"Urban Anthropology and Studies of Cultural Systems and World Economic Development","note":"publisher-place: Brockport\npublisher: Institute for the Study of Man","page":"369","title":"Distancing The Regulating State: Corruption, Transparency, And rhe Puzzle of Personal Relatedness In A Food Network In Sichuan","URL":"http://ezproxy.library.yorku.ca/login?url=https://search.proquest.com/docview/2230824658?accountid=15182","volume":"47","author":[{"family":"Lammer","given":"Christof"}],"issued":{"date-parts":[["2017"]]}}},{"id":18594,"uris":["http://zotero.org/groups/2477744/items/DG7UD475"],"itemData":{"id":18594,"type":"article-journal","abstract":"This article explores the importance and impact of a set of actions through which bakers manipulate laws and regulations that seek to organize and regulate how they do business. It builds on eighteen months of fieldwork conducted in Jordan, twelve of which were spent working in three different bakeries in the capital, Amman. Moving away from the idea that public policies are simply imposed, the article looks in detail at the social relations through which they are enacted. By honing in on the bakery, and examining arrangements between bakery owners, workers, consumers and ministerial employees, it illuminates modes of political agency that escape conventional binaries of domination/resistance, state/society and legality/illegality. I argue against seeing these practices as easily categorized forms of resistance or frivolous acts of corruption. Nor are they simply reinforcements of hegemonic control. Instead, `tactics' at the bakery subvert the order of things to serve other ends. Foregrounding them in this analysis seeks not only to challenge views of power relations as strictly binary but to elucidate some of the ways in which citizens inhabit and engage with the neoliberal and authoritarian logics that pervade everyday life in Jordan.","container-title":"MIDDLE EAST LAW AND GOVERNANCE","DOI":"10.1163/18763375-01002002","issue":"2","journalAbbreviation":"MIDDLE EAST LAW AND GOVERNANCE","page":"160-184","title":"Site of Resistance or Apparatus of Acquiescence? Tactics at the Bakery","volume":"10","author":[{"family":"Martinez","given":"Jose Ciro"}],"issued":{"date-parts":[["2018"]]}}}],"schema":"https://github.com/citation-style-language/schema/raw/master/csl-citation.json"} </w:instrText>
            </w:r>
            <w:r w:rsidRPr="00710A0C">
              <w:rPr>
                <w:rFonts w:ascii="Arial" w:hAnsi="Arial" w:cs="Arial"/>
              </w:rPr>
              <w:fldChar w:fldCharType="separate"/>
            </w:r>
            <w:r w:rsidRPr="00EF10F9">
              <w:rPr>
                <w:rFonts w:ascii="Arial" w:hAnsi="Arial" w:cs="Arial"/>
              </w:rPr>
              <w:t>(62,81,116,129)</w:t>
            </w:r>
            <w:r w:rsidRPr="00710A0C">
              <w:rPr>
                <w:rFonts w:ascii="Arial" w:hAnsi="Arial" w:cs="Arial"/>
              </w:rPr>
              <w:fldChar w:fldCharType="end"/>
            </w:r>
          </w:p>
        </w:tc>
      </w:tr>
      <w:tr w:rsidR="00362BF4" w:rsidRPr="00710A0C" w14:paraId="24DF973C" w14:textId="77777777" w:rsidTr="00EC27CE">
        <w:trPr>
          <w:trHeight w:val="1068"/>
        </w:trPr>
        <w:tc>
          <w:tcPr>
            <w:tcW w:w="941" w:type="pct"/>
            <w:hideMark/>
          </w:tcPr>
          <w:p w14:paraId="706B3F31" w14:textId="77777777" w:rsidR="00362BF4" w:rsidRPr="00710A0C" w:rsidRDefault="00362BF4" w:rsidP="00EC27CE">
            <w:pPr>
              <w:spacing w:line="360" w:lineRule="auto"/>
              <w:rPr>
                <w:rFonts w:ascii="Arial" w:hAnsi="Arial" w:cs="Arial"/>
              </w:rPr>
            </w:pPr>
            <w:r w:rsidRPr="00710A0C">
              <w:rPr>
                <w:rFonts w:ascii="Arial" w:hAnsi="Arial" w:cs="Arial"/>
                <w:b/>
                <w:bCs/>
              </w:rPr>
              <w:t xml:space="preserve">Case study analysis </w:t>
            </w:r>
          </w:p>
        </w:tc>
        <w:tc>
          <w:tcPr>
            <w:tcW w:w="3381" w:type="pct"/>
            <w:hideMark/>
          </w:tcPr>
          <w:p w14:paraId="5D641BAE" w14:textId="77777777" w:rsidR="00362BF4" w:rsidRPr="00710A0C" w:rsidRDefault="00362BF4" w:rsidP="00EC27CE">
            <w:pPr>
              <w:spacing w:after="160" w:line="360" w:lineRule="auto"/>
              <w:rPr>
                <w:rFonts w:ascii="Arial" w:hAnsi="Arial" w:cs="Arial"/>
                <w:i/>
                <w:iCs/>
              </w:rPr>
            </w:pPr>
            <w:r w:rsidRPr="00710A0C">
              <w:rPr>
                <w:rFonts w:ascii="Arial" w:hAnsi="Arial" w:cs="Arial"/>
              </w:rPr>
              <w:t xml:space="preserve">A deep observation of the characteristics of an individual, a group or a community, in aims to analyze various phenomena relating to the unit of study. Can involve qualitative and/or quantitative data collection, such as surveys, fieldwork, interviews, and content analysis. </w:t>
            </w:r>
          </w:p>
        </w:tc>
        <w:tc>
          <w:tcPr>
            <w:tcW w:w="679" w:type="pct"/>
            <w:hideMark/>
          </w:tcPr>
          <w:p w14:paraId="6486DD2B" w14:textId="77777777" w:rsidR="00362BF4" w:rsidRPr="00710A0C" w:rsidRDefault="00362BF4" w:rsidP="00EC27CE">
            <w:pPr>
              <w:spacing w:after="160" w:line="360" w:lineRule="auto"/>
              <w:rPr>
                <w:rFonts w:ascii="Arial" w:hAnsi="Arial" w:cs="Arial"/>
              </w:rPr>
            </w:pPr>
            <w:r w:rsidRPr="00710A0C">
              <w:rPr>
                <w:rFonts w:ascii="Arial" w:hAnsi="Arial" w:cs="Arial"/>
              </w:rPr>
              <w:fldChar w:fldCharType="begin"/>
            </w:r>
            <w:r>
              <w:rPr>
                <w:rFonts w:ascii="Arial" w:hAnsi="Arial" w:cs="Arial"/>
              </w:rPr>
              <w:instrText xml:space="preserve"> ADDIN ZOTERO_ITEM CSL_CITATION {"citationID":"pCwVf0w4","properties":{"formattedCitation":"(6,33,66,79,92,97,111,166)","plainCitation":"(6,33,66,79,92,97,111,166)","noteIndex":0},"citationItems":[{"id":17037,"uris":["http://zotero.org/groups/2477744/items/EXFPW3JN"],"itemData":{"id":17037,"type":"article-journal","abstract":"Corruption is a relatively neglected topic in studies of regulatory agencies. The label is applied to a wide range of deviations from behavioral standards ultimately derived from Weber's account of the ideals of Prussian bureaucracy. This paper draws on a study of the work of Saudi Food Inspectors to argue that it is unhelpful to reduce a complex phenomenon to simple allegations of malpractice that can be managed by disciplinary sanctions. Our data show that irregular behavior by street-level agents may be deeply embedded in the expectations that members of a society have of one another. It is less a matter of personal gain than of maintaining one's recognition as a fellow citizen. Such behavior is not easily changed through sanctions directed at individual inspectors. Our study does not exclude the possibility that irregular behavior can be motivated by personal gain, and properly managed by criminal or similar penalties. However, it does propose that research should be more sensitive to the contexts within which irregular behavior occurs rather than treating “corruption” as a uniform and homogenous phenomenon.","container-title":"Regulation and Governance","DOI":"10.1111/rego.12247","issue":"4","journalAbbreviation":"Regulation and Governance","page":"507-519","title":"Understanding “corruption” in regulatory agencies: The case of food inspection in Saudi Arabia","volume":"13","author":[{"family":"Al-Mutairi","given":"Saad"},{"family":"Connerton","given":"Ian"},{"family":"Dingwall","given":"Robert"}],"issued":{"date-parts":[["2019"]]}}},{"id":18680,"uris":["http://zotero.org/groups/2477744/items/PKNH7XYE"],"itemData":{"id":18680,"type":"article-journal","abstract":"This article removes the lid on fisheries crime in Cameroon by providing empirical evidence of criminal practices along the maritime fisheries value chain. To achieve this, the study relied on both primary and secondary data. Primary data was collected from direct observation, informal group discussions and semi-structured interviews involving state officials, coastal community groups and other civil society organisations in the west maritime district of Southwest Cameroon. The article reveals a plethora of fisheries-related crimes encompassing corruption (i.e. bribery and abuse of office), document and identity fraud, illegal exploitation of fish maws and endangered marine mammals. Other crimes associated to the fisheries sector included: smuggling of contraband goods, arms smuggling, illegal migration, illegal recruitment and abuse of workers' rights. Through these examples, this research empirically demonstrates the interrelationship of the different criminal practices and their organised and transnational dimension. The study also paints a complex picture of criminality perpetuated by a sophisticated network of both local and foreign industrial fisheries stakeholders. Consequently, addressing illicit activities in the maritime fisheries sector requires cooperation from a wide range of both state and non-state actors in investigating and analysing the nature of fisheries crime practices, the agents involved and their modes of operation. This approach is necessary to gain a better understanding of the problem and enable actors design appropriate and targeted management responses. © 2019","container-title":"Marine Policy","DOI":"10.1016/j.marpol.2019.103669","journalAbbreviation":"Marine Policy","title":"Cameroon's choppy waters: The anatomy of fisheries crime in the maritime fisheries sector","URL":"https://www.scopus.com/inward/record.uri?eid=2-s2.0-85071402500&amp;doi=10.1016%2fj.marpol.2019.103669&amp;partnerID=40&amp;md5=70194c1c7b40d6813e12c7146c9d5d75","volume":"108","author":[{"family":"Beseng","given":"M."}],"issued":{"date-parts":[["2019"]]}}},{"id":17173,"uris":["http://zotero.org/groups/2477744/items/VRUV9ZAM"],"itemData":{"id":17173,"type":"article-journal","abstract":"This article provides the first comprehensive criminological account of routinised illicit venison production in rural England. In doing so an epistemological reformulation and conceptual clarification of the overlooked problem is advanced, using extended fieldwork and a novel theoretical framework. The account of offending is refined to a type of illicit rural food enterprise supply chain misconduct, actualised by un-regulated industry processes. This kind of food crime is shown to be reliant upon suspects’ connectivity with small to medium food business operations and the routines of rural occupations. Such relations with licit rural-centric commerce are the necessary conditions of offending, which are enabled by the contingent conditions of sub-optimal game meat traceability systems and an absence of regulatory oversight at critical junctures. An outcome that is structurally inscribed into legislation and induces non-compliance. The article addresses the current lacuna of research on venison meat food crimes in the British context and advances an innovative realist social relations theory to explain the crime commissioning process. © 2021, The Author(s), under exclusive licence to Springer Nature B.V.","container-title":"Crime, Law and Social Change","DOI":"10.1007/s10611-021-09976-9","journalAbbreviation":"Crime, Law and Social Change","title":"Rural criminal collaborations and the food crimes of the countryside: realist social relations theory of illicit venison production","URL":"https://www.scopus.com/inward/record.uri?eid=2-s2.0-85112114291&amp;doi=10.1007%2fs10611-021-09976-9&amp;partnerID=40&amp;md5=9271198d509db411254872cebb2626ad","author":[{"family":"Goodall","given":"O."}],"issued":{"date-parts":[["2021"]]}}},{"id":17177,"uris":["http://zotero.org/groups/2477744/items/RKRTIDA2"],"itemData":{"id":17177,"type":"article-journal","abstract":"The wave of food riots since 2007 revived interest in why people protest in periods of dearth, yet research has to date failed to make sense of the political cultures of food protests. The concept of the moral economy in European history is explored here to make sense of contemporary political perspectives on how food markets should work in Bangladesh, Indonesia, Kenya and Zambia. The concrete expressions of these moral economies are localized and politically contingent, yet there are broad areas of common ground across settings. As with the moral economies of seventeenth- and eighteenth-century Europe, there is strong popular feeling against speculation and collusion in food markets in times of dearth, and an emphasis on the responsibilities of public authorities to act. But whereas the moral economy in European histories focused on customary paternalistic obligations, the contemporary emphasis is on formal and electoral accountabilities as a means of triggering public action. The paper concludes with a discussion of a research agenda on the moral economy and the politics of provisions in globalised present-day food markets. © 2014 Taylor &amp; Francis.","container-title":"Journal of Peasant Studies","DOI":"10.1080/03066150.2014.895328","issue":"5","journalAbbreviation":"Journal of Peasant Studies","page":"815-831","title":"Moral economy in a global era: the politics of provisions during contemporary food price spikes","URL":"https://www.scopus.com/inward/record.uri?eid=2-s2.0-84907576066&amp;doi=10.1080%2f03066150.2014.895328&amp;partnerID=40&amp;md5=1f615622a02d98ed10431c9d4ea3813c","volume":"41","author":[{"family":"Hossain","given":"N."},{"family":"Kalita","given":"D."}],"issued":{"date-parts":[["2014"]]}}},{"id":18723,"uris":["http://zotero.org/groups/2477744/items/DHDQIXXA"],"itemData":{"id":18723,"type":"article-journal","abstract":"Marine fisheries plays an important role in ensuring food security and providing livelihoods in South Africa, as in many other developing coastal States. Transnational fisheries crime seriously undermines these goals. Drawing on empirical research this contribution highlights the complexity of law enforcement at the interface between low-level poaching and organised crime in the small-scale fisheries sector with reference to a South African case study. Specifically, this article examines the relationship between a fisheries-crime law enforcement approach and the envisaged management approach of the South African Small-Scale Fisheries Policy. © 2018 The Authors","container-title":"Marine Policy","DOI":"10.1016/j.marpol.2018.12.023","journalAbbreviation":"Marine Policy","page":"158-168","title":"Fisheries crime, human rights and small-scale fisheries in South Africa: A case of bigger fish to fry","URL":"https://www.scopus.com/inward/record.uri?eid=2-s2.0-85060328735&amp;doi=10.1016%2fj.marpol.2018.12.023&amp;partnerID=40&amp;md5=f9905f8eb9e51a475f25333983630fb1","volume":"105","author":[{"family":"Isaacs","given":"M."},{"family":"Witbooi","given":"E."}],"issued":{"date-parts":[["2019"]]}}},{"id":17052,"uris":["http://zotero.org/groups/2477744/items/UCMBAXPM"],"itemData":{"id":17052,"type":"article-journal","abstract":"The agri-food sector has contributed significantly to climate change, but has an important role to play in climate change mitigation and adaptation. The agri-food sector has many potential win–win–win strategies that benefit mitigation and adaptation, and also deliver gains in rural income and land management. Post-Soviet transition economies provide a good model for understanding some of the barriers to adaptation and mitigation in the agri-food sector, due to their significant unmet agricultural potential combined with inefficient energy use. Ukraine is used as a case study to explore the barriers and bridges to addressing climate change in a post-Soviet state. A variety of stakeholders and farmers were interviewed about mitigation and adaptation and the current response capacity. Grounded theory analysis revealed themes that are perceived to function as barriers including: pandering, oligarchs and market interventions; corruption and transparency; and survival, freedom and law enforcement. Foreign involvement and investment emerged as a bridge to overcoming these barriers. The results indicate that significant progress in climate mitigation and adaptation in the agri-food sector in Ukraine will only be achieved if some of the wider political and social issues facing the country can be addressed. Policy relevance Ukraine has considerable potential for both agricultural production and climate change mitigation; however, this potential can only be met by identifying and addressing barriers currently impeding progress. This article found that barriers to effective climate change are perceived to stem from wider post-Soviet transition issues. These wider issues need to be addressed during the implementation of climate policy since they are viewed to be important by a wide variety of stakeholders. International negotiations have provided little incentive for Ukraine to achieve effective mitigation, and corrupt practices further impair mitigation projects. In addition, export quotas currently function as a maladaptive climate policy and reduce both farmers' capacity in Ukraine and international food security. Meanwhile, foreign involvement, not just financial investment, but also the investment of ideas can provide a bridge to effective climate policy. The international community needs to provide a legal framework and assist Ukraine in adopting transparent processes in order to successfully execute climate policy.","container-title":"Climate Policy","DOI":"10.1080/14693062.2014.979131","issue":"1","journalAbbreviation":"Climate Policy","page":"68-87","title":"Change and transition: the climate of Ukraine's agri-food sector","volume":"16","author":[{"family":"Kopytko","given":"Natalie"}],"issued":{"date-parts":[["2016"]]}}},{"id":17066,"uris":["http://zotero.org/groups/2477744/items/PAQI5NKX"],"itemData":{"id":17066,"type":"article-journal","abstract":"Purpose - Implementing global traceability standards (GTSs) facilitates interoperability in food supply chains (FSCs). The purpose of this paper is to present incentives, opportunities and requirements for implementing GTSs in a fresh FSC. Design/methodology/approach - The research was developed in two stages: a literature review was conducted to establish a theoretical framework; and then an in-depth case study of a Swedish fresh fish supply chain was conducted. The Kano methodology was used to evaluate opportunities based on implementation requirements in each enterprise. Findings - FSC enterprises implement a GTS to meet legal food traceability requirements. This incentive is stronger among enterprises upstream in the FSC than among downstream enterprises. Downstream enterprises emphasize communication with the end consumer as an incentive to implement a GTS. Implementing a GTS increases the opportunity to preserve end consumer confidence, efficiency in information sharing, reduces time in inventory management and the risk of theft. Research limitations/implications - The paper contributes to the field of food traceability by providing knowledge regarding incentives, opportunities and requirements for implementing standards to meet food traceability requirements at FSC enterprises. Practical implications - Regulatory requirements on traceability preservation of food safety, quality and sustainability stipulate the implementation of a GTS. The research presented can support managers in understanding incentives and opportunities for implementing a GTS. Originality/value - This paper combines in-depth academic research with the involvement of Swedish fresh food enterprises. The study is of benefit to fresh food enterprises, authorities and organizations in the further implementation and development of GTSs.","container-title":"BRITISH FOOD JOURNAL","DOI":"10.1108/BFJ-10-2014-0353","issue":"7","journalAbbreviation":"BRITISH FOOD JOURNAL","page":"1826-1842","title":"Implementation of global traceability standards: incentives and opportunities","volume":"117","author":[{"family":"Ringsberg","given":"Henrik Anders"}],"issued":{"date-parts":[["2015"]]}}},{"id":17101,"uris":["http://zotero.org/groups/2477744/items/LDEC7BCA"],"itemData":{"id":17101,"type":"article-journal","abstract":"Kenya's development seems trapped in a vicious circle caused by soil erosion, declining soil fertility, land fragmentation, fluctuating agricultural production, widespread poverty, corruption, ethnic tension, rapid population. urban growth and a declining economy, The development challenge is to reverse the negative effects of these processes and promote sustainable development. This paper, based on multidisciplinary work discusses whether sustainable development based on agriculture is attainable in Murang'a district in Kenya's Central Highlands. Firstly, it investigates some biophysical aspects of sustainable agriculture such as land use across time, soil nutrient status and yield, cultivated crops and soil productivity by analysing aerial photographs and soil samples and conducting interviews. It suggests that the area has gone through major biophysical changes. Second. it relates the farmers' attitude to promotion of sustainable development as carried out by the National Soil and Water Conservation Programme. It suggests that farmers carry ideas of corruption, often following ethnic lines that hampers efficient implementation of the extension advise. Finally, it identifies links behind rural-urban migration by estimating households' probability of generating incomes outside the farm, typically in urban areas. Opportunistic farming, manifested by temporary reduction of farming on own land to satisfy immediate income needs, is very common among farmers. More needs to be done to promote agro-based, small-scale rural industries, improve agricultural management practices, facilitate appropriate credits, enhance marketing opportunities. ensure timely crop payments, and increase participation in decision making. It is important to realize that for farmers to embrace policies which promote agriculturely-based sustainable development the policies ought to biophysically possible, socio-politically acceptable and economically feasible. Copyright (C) 2001 John Wiley &amp; Sons, Ltd.","container-title":"LAND DEGRADATION &amp; DEVELOPMENT","DOI":"10.1002/ldr.460","issue":"5","journalAbbreviation":"LAND DEGRADATION &amp; DEVELOPMENT","page":"435-447","title":"Is sustainable development based on agriculture attainable in Kenya? A multidisciplinary case study of Muranga district","volume":"12","author":[{"family":"Ekbom","given":"A"},{"family":"Knutsson","given":"P"},{"family":"Ovuka","given":"M"}],"issued":{"date-parts":[["2001"]]}}}],"schema":"https://github.com/citation-style-language/schema/raw/master/csl-citation.json"} </w:instrText>
            </w:r>
            <w:r w:rsidRPr="00710A0C">
              <w:rPr>
                <w:rFonts w:ascii="Arial" w:hAnsi="Arial" w:cs="Arial"/>
              </w:rPr>
              <w:fldChar w:fldCharType="separate"/>
            </w:r>
            <w:r w:rsidRPr="00EF10F9">
              <w:rPr>
                <w:rFonts w:ascii="Arial" w:hAnsi="Arial" w:cs="Arial"/>
              </w:rPr>
              <w:t>(6,33,66,79,92,97,111,166)</w:t>
            </w:r>
            <w:r w:rsidRPr="00710A0C">
              <w:rPr>
                <w:rFonts w:ascii="Arial" w:hAnsi="Arial" w:cs="Arial"/>
              </w:rPr>
              <w:fldChar w:fldCharType="end"/>
            </w:r>
          </w:p>
        </w:tc>
      </w:tr>
      <w:tr w:rsidR="00362BF4" w:rsidRPr="00710A0C" w14:paraId="7E971DAF" w14:textId="77777777" w:rsidTr="00EC27CE">
        <w:trPr>
          <w:trHeight w:val="529"/>
        </w:trPr>
        <w:tc>
          <w:tcPr>
            <w:tcW w:w="941" w:type="pct"/>
            <w:hideMark/>
          </w:tcPr>
          <w:p w14:paraId="30B99FC1" w14:textId="77777777" w:rsidR="00362BF4" w:rsidRPr="00710A0C" w:rsidRDefault="00362BF4" w:rsidP="00EC27CE">
            <w:pPr>
              <w:spacing w:line="360" w:lineRule="auto"/>
              <w:rPr>
                <w:rFonts w:ascii="Arial" w:hAnsi="Arial" w:cs="Arial"/>
              </w:rPr>
            </w:pPr>
            <w:r w:rsidRPr="00710A0C">
              <w:rPr>
                <w:rFonts w:ascii="Arial" w:hAnsi="Arial" w:cs="Arial"/>
                <w:b/>
                <w:bCs/>
              </w:rPr>
              <w:lastRenderedPageBreak/>
              <w:t>Interviews*</w:t>
            </w:r>
          </w:p>
        </w:tc>
        <w:tc>
          <w:tcPr>
            <w:tcW w:w="3381" w:type="pct"/>
            <w:hideMark/>
          </w:tcPr>
          <w:p w14:paraId="5C32897A" w14:textId="77777777" w:rsidR="00362BF4" w:rsidRPr="00710A0C" w:rsidRDefault="00362BF4" w:rsidP="00EC27CE">
            <w:pPr>
              <w:spacing w:line="360" w:lineRule="auto"/>
              <w:rPr>
                <w:rFonts w:ascii="Arial" w:hAnsi="Arial" w:cs="Arial"/>
              </w:rPr>
            </w:pPr>
            <w:r w:rsidRPr="00710A0C">
              <w:rPr>
                <w:rFonts w:ascii="Arial" w:hAnsi="Arial" w:cs="Arial"/>
              </w:rPr>
              <w:t xml:space="preserve">Qualitative interview studies were conducted to explore the relevant type of corruption in the food system context. This included an array of semi-structured, in-depth, and/or focus group interviews. </w:t>
            </w:r>
          </w:p>
        </w:tc>
        <w:tc>
          <w:tcPr>
            <w:tcW w:w="679" w:type="pct"/>
            <w:hideMark/>
          </w:tcPr>
          <w:p w14:paraId="19D0E969" w14:textId="77777777" w:rsidR="00362BF4" w:rsidRPr="00710A0C" w:rsidRDefault="00362BF4" w:rsidP="00EC27CE">
            <w:pPr>
              <w:spacing w:line="360" w:lineRule="auto"/>
              <w:rPr>
                <w:rFonts w:ascii="Arial" w:hAnsi="Arial" w:cs="Arial"/>
              </w:rPr>
            </w:pPr>
            <w:r w:rsidRPr="00710A0C">
              <w:rPr>
                <w:rFonts w:ascii="Arial" w:hAnsi="Arial" w:cs="Arial"/>
              </w:rPr>
              <w:fldChar w:fldCharType="begin"/>
            </w:r>
            <w:r>
              <w:rPr>
                <w:rFonts w:ascii="Arial" w:hAnsi="Arial" w:cs="Arial"/>
              </w:rPr>
              <w:instrText xml:space="preserve"> ADDIN ZOTERO_ITEM CSL_CITATION {"citationID":"3ClbVqiJ","properties":{"formattedCitation":"(67,108,157)","plainCitation":"(67,108,157)","noteIndex":0},"citationItems":[{"id":17166,"uris":["http://zotero.org/groups/2477744/items/7S47T5JT"],"itemData":{"id":17166,"type":"article-journal","abstract":"The potential of social farming has always been studied from a perspective in which the combination of agricultural production with the provision of welfare services was the predominant feature. Nonetheless, social farming is a tool that can perform other different functions. The article describes the role that social farming plays within a wider strategy for local development in the rural areas of southern Italy strongly affected by the presence of organized crime and consequent widespread underdevelopment. The survey was carried out through semi-structured interviews with the presidents and executives of a sample of twenty social cooperatives and social enterprises, which are involved in farming activities with the aim of promoting local development and the regeneration of the territory. The research findings highlight how social farming can play an important role in deprived rural areas not only by creating income and jobs, but also by counteracting the cultures of illegality that hinder development. This is particularly the case when companies are driven by ideal, values and technical entrepreneurial skills, are embedded in non-local networks and redistribute part of the value produced to the local community. © 2021","container-title":"Journal of Rural Studies","DOI":"10.1016/j.jrurstud.2021.03.009","journalAbbreviation":"Journal of Rural Studies","page":"100-107","title":"Extending the concept of social farming: Rural development and the fight against organized crime in disadvantaged areas of southern Italy","URL":"https://www.scopus.com/inward/record.uri?eid=2-s2.0-85103644837&amp;doi=10.1016%2fj.jrurstud.2021.03.009&amp;partnerID=40&amp;md5=9c46682513c622b3b85761a7fc7f40c1","volume":"84","author":[{"family":"Elsen","given":"S."},{"family":"Fazzi","given":"L."}],"issued":{"date-parts":[["2021"]]}}},{"id":17186,"uris":["http://zotero.org/groups/2477744/items/6BB3NI99"],"itemData":{"id":17186,"type":"article-journal","abstract":"Regulation of food systems exists to ensure safety and enhance consumer confidence in the food which they purchase and consume. However, some regulatory systems fail to instil public confidence. In China for example, trust in the domestic food system is low as a consequence of multiple high-profile food scandals, many of which linked to food fraud. Fraud occurs when food is intentionally adulterated for economic gain and may, but not always, pose a risk to the safety of food. Food authenticity and quality may also be compromised. The focus of this research relates to how Chinese consumers perceive food fraud and make choices in the absence of trust in regulatory systems. Seven focus groups with middle class Chinese participants in tier 1 and 2 cities (Beijing, Guangzhou and Chengdu) were conducted to explore attitudes of and perception towards food fraud. Infant milk formula, olive oil and Scotch whisky were used as prompts for attitudinal and perceptual elicitation. The findings indicated that Chinese consumers consider food fraud to represent a food hazard that poses a threat to the authenticity, quality and reliability of food and increased the risk of purchasing and consuming of unsafe food. Consumers were found to rely on informal kinship networks as trusted sources of information regarding food products’ authenticity and safety. Behavioural responses included a range of risk relieving strategies to support food purchasing judgements, in the perceived absence of regulatory protection, that included: pre-purchase and consumption information seeking; the use of product attributes as authenticity cues; carefully selected acquisition sources; as well as a range of domestically-situated food practices. The strategic implications for food companies and policy are discussed. © 2018","container-title":"Food Control","DOI":"10.1016/j.foodcont.2018.08.006","journalAbbreviation":"Food Control","page":"339-351","title":"Chinese consumer's attitudes, perceptions and behavioural responses towards food fraud","URL":"https://www.scopus.com/inward/record.uri?eid=2-s2.0-85053210940&amp;doi=10.1016%2fj.foodcont.2018.08.006&amp;partnerID=40&amp;md5=b9eb8bb10ec15e0f04a6e12603be91f6","volume":"95","author":[{"family":"Kendall","given":"H."},{"family":"Kuznesof","given":"S."},{"family":"Dean","given":"M."},{"family":"Chan","given":"M.-Y."},{"family":"Clark","given":"B."},{"family":"Home","given":"R."},{"family":"Stolz","given":"H."},{"family":"Zhong","given":"Q."},{"family":"Liu","given":"C."},{"family":"Brereton","given":"P."},{"family":"Frewer","given":"L."}],"issued":{"date-parts":[["2019"]]}}},{"id":17242,"uris":["http://zotero.org/groups/2477744/items/LK6THF9M"],"itemData":{"id":17242,"type":"article-journal","abstract":"This article considers the way that farmers within a national agricultural advisory programme in Uganda were able to exert influence over that programme's policy and practice. Although the literature has tended to focus on engagement within formal programme structures as a major mode of participation, the analysis of the NAADS case reveals that farmers were able to exert an important influence over programme policy through their roles as political constituents. The brokerage role of supportive programme staff also worked to allow farmers' views to influence the programme, as did the collective weight of decisions commonly made by farmers, and to a lesser extent, the lobbying efforts of national NGOs. Copyright © 2009 John Wiley &amp; Sons, Ltd.","container-title":"Public Administration and Development","DOI":"10.1002/pad.525","issue":"2","journalAbbreviation":"Public Administration and Development","page":"145-154","title":"Modes of influence: Participation in publicly administered development programmes","URL":"https://www.scopus.com/inward/record.uri?eid=2-s2.0-69949111676&amp;doi=10.1002%2fpad.525&amp;partnerID=40&amp;md5=ceed05e9694f1cfb9b782411498848f6","volume":"29","author":[{"family":"Parkinson","given":"S."}],"issued":{"date-parts":[["2009"]]}}}],"schema":"https://github.com/citation-style-language/schema/raw/master/csl-citation.json"} </w:instrText>
            </w:r>
            <w:r w:rsidRPr="00710A0C">
              <w:rPr>
                <w:rFonts w:ascii="Arial" w:hAnsi="Arial" w:cs="Arial"/>
              </w:rPr>
              <w:fldChar w:fldCharType="separate"/>
            </w:r>
            <w:r w:rsidRPr="00EF10F9">
              <w:rPr>
                <w:rFonts w:ascii="Arial" w:hAnsi="Arial" w:cs="Arial"/>
              </w:rPr>
              <w:t>(67,108,157)</w:t>
            </w:r>
            <w:r w:rsidRPr="00710A0C">
              <w:rPr>
                <w:rFonts w:ascii="Arial" w:hAnsi="Arial" w:cs="Arial"/>
              </w:rPr>
              <w:fldChar w:fldCharType="end"/>
            </w:r>
          </w:p>
        </w:tc>
      </w:tr>
      <w:tr w:rsidR="00362BF4" w:rsidRPr="00710A0C" w14:paraId="1EA4530C" w14:textId="77777777" w:rsidTr="00EC27CE">
        <w:trPr>
          <w:trHeight w:val="1119"/>
        </w:trPr>
        <w:tc>
          <w:tcPr>
            <w:tcW w:w="941" w:type="pct"/>
          </w:tcPr>
          <w:p w14:paraId="065AB9CA" w14:textId="77777777" w:rsidR="00362BF4" w:rsidRPr="00710A0C" w:rsidRDefault="00362BF4" w:rsidP="00EC27CE">
            <w:pPr>
              <w:spacing w:line="360" w:lineRule="auto"/>
              <w:rPr>
                <w:rFonts w:ascii="Arial" w:hAnsi="Arial" w:cs="Arial"/>
                <w:b/>
                <w:bCs/>
              </w:rPr>
            </w:pPr>
            <w:r w:rsidRPr="00710A0C">
              <w:rPr>
                <w:rFonts w:ascii="Arial" w:hAnsi="Arial" w:cs="Arial"/>
                <w:b/>
                <w:bCs/>
              </w:rPr>
              <w:t>Content analysis</w:t>
            </w:r>
          </w:p>
        </w:tc>
        <w:tc>
          <w:tcPr>
            <w:tcW w:w="3381" w:type="pct"/>
          </w:tcPr>
          <w:p w14:paraId="61962D8F" w14:textId="77777777" w:rsidR="00362BF4" w:rsidRPr="00710A0C" w:rsidRDefault="00362BF4" w:rsidP="00EC27CE">
            <w:pPr>
              <w:spacing w:line="360" w:lineRule="auto"/>
              <w:rPr>
                <w:rFonts w:ascii="Arial" w:hAnsi="Arial" w:cs="Arial"/>
              </w:rPr>
            </w:pPr>
            <w:r w:rsidRPr="00710A0C">
              <w:rPr>
                <w:rFonts w:ascii="Arial" w:hAnsi="Arial" w:cs="Arial"/>
              </w:rPr>
              <w:t>Analysis of government documents, newspaper articles, media documents, or Twitter posts.</w:t>
            </w:r>
          </w:p>
        </w:tc>
        <w:tc>
          <w:tcPr>
            <w:tcW w:w="679" w:type="pct"/>
          </w:tcPr>
          <w:p w14:paraId="595EA31C" w14:textId="77777777" w:rsidR="00362BF4" w:rsidRPr="00710A0C" w:rsidRDefault="00362BF4" w:rsidP="00EC27CE">
            <w:pPr>
              <w:spacing w:line="360" w:lineRule="auto"/>
              <w:rPr>
                <w:rFonts w:ascii="Arial" w:hAnsi="Arial" w:cs="Arial"/>
              </w:rPr>
            </w:pPr>
            <w:r w:rsidRPr="00710A0C">
              <w:rPr>
                <w:rFonts w:ascii="Arial" w:hAnsi="Arial" w:cs="Arial"/>
              </w:rPr>
              <w:fldChar w:fldCharType="begin"/>
            </w:r>
            <w:r>
              <w:rPr>
                <w:rFonts w:ascii="Arial" w:hAnsi="Arial" w:cs="Arial"/>
              </w:rPr>
              <w:instrText xml:space="preserve"> ADDIN ZOTERO_ITEM CSL_CITATION {"citationID":"67pUAnld","properties":{"formattedCitation":"(89,100,119,124,138,141,168)","plainCitation":"(89,100,119,124,138,141,168)","noteIndex":0},"citationItems":[{"id":17176,"uris":["http://zotero.org/groups/2477744/items/ESIA5YAZ"],"itemData":{"id":17176,"type":"article-journal","abstract":"Regulatory changes proposed by the US Department of Agriculture in 1994 promised to bring progressive changes to school meals. However, lobbying by interest groups resulted in substantial changes to the final rule. This analysis retrospectively examines the federal school meals policy-making process during 1992 to 1996. Key questions address why the policy changed and what the role of interest groups was in affecting the shape, pace, and direction of the policy. The study provides suggestions for using the experiences of 1992 to 1996 to guide future advocacy efforts and for adapting the approach for application to other food and nutrition policies.","container-title":"Journal of Nutrition Education and Behavior","DOI":"10.1016/S1499-4046(06)60139-5","issue":"2","journalAbbreviation":"Journal of Nutrition Education and Behavior","page":"90-98","title":"Analysis of interest group influence on federal school meals regulations 1992 to 1996","URL":"https://www.scopus.com/inward/record.uri?eid=2-s2.0-1942535021&amp;doi=10.1016%2fS1499-4046%2806%2960139-5&amp;partnerID=40&amp;md5=a2c1417fbeaaf03152893573849834d9","volume":"36","author":[{"family":"Hobbs","given":"S.H."},{"family":"Ricketts","given":"T.C."},{"family":"Dodds","given":"J.M."},{"family":"Milio","given":"N."}],"issued":{"date-parts":[["2004"]]}}},{"id":18726,"uris":["http://zotero.org/groups/2477744/items/IJ4Q5K4Y"],"itemData":{"id":18726,"type":"article-journal","abstract":"Background: The food industry can influence individual and population level food consumption behaviours, shape public preferences and interfere with government policy on obesity prevention and NCDs. This paper identifies the Corporate Political Activity (CPA) of major food companies in Thailand which relate to obesity and NCDs. Methods: Using the INFORMAS framework to classify CPA, we reviewed publicly available information by 12 food companies between August 2011 and July 2016 in order to identify, analyse and classify the CPA contents. Semi-structured interviews with 17 key stakeholders who are experts in this field supplemented evidence from the document review. Data analysis applied a thematic approach. Results: Food industry in Thailand applied a variety of CPA strategies and practices. The two most common strategies were constituency building and information and messaging. Conclusion: The diverse range of CPA strategies which influence government policy and public opinion can undermine efforts to prevent obesity and diet-related NCDs. We recommend systematic monitoring of their CPA, strengthening mechanisms to hold the food industry accountable for their role in protecting and promoting the nutrition and health of the population, introducing mandatory registration of lobbyists, mandatory disclosure of political donations, and stronger oversight of conflicts of interest among the government actors. © 2018 The Author(s).","container-title":"Globalization and Health","DOI":"10.1186/s12992-018-0432-z","issue":"1","journalAbbreviation":"Globalization and Health","title":"Corporate political activity of major food companies in Thailand: An assessment and policy recommendations","URL":"https://www.scopus.com/inward/record.uri?eid=2-s2.0-85057123906&amp;doi=10.1186%2fs12992-018-0432-z&amp;partnerID=40&amp;md5=8bd33958ee095d807e1d91c8b909b4a1","volume":"14","author":[{"family":"Jaichuen","given":"N."},{"family":"Phulkerd","given":"S."},{"family":"Certthkrikul","given":"N."},{"family":"Sacks","given":"G."},{"family":"Tangcharoensathien","given":"V."}],"issued":{"date-parts":[["2018"]]}}},{"id":12942,"uris":["http://zotero.org/groups/2477744/items/4LAGMV8H"],"itemData":{"id":12942,"type":"article-journal","abstract":"Introduction  There is an urgent need for effective action to address the over 10 million annual deaths attributable to unhealthy diets. Food industry interference with policies aimed at reducing non-­ communicable diseases (NCDs) is widely documented at the national level but remains under-­researched at the global level. Thus, this study explores how ultra-­ processed food industry actors have attempted to influence NCD policy at WHO.\nMethods  A combination of inductive and deductive thematic coding of internal industry documents, academic literature and interviews with key informants from international organisations and global civil society was used to identify action-­based strategies ultra-­ processed food industry actors employ to influence global-­level policy.\nResults  Ultra-­processed food industry actors have attempted to influence WHO and its policies through three main action-­based strategies: coalition management, involvement in policy formulation, and information management. Coalition management includes the creation and use of overt alliances between corporations—business associations—and more covert science-­focused and policy-­focused intermediaries, the hiring of former WHO staff and attempted co-­option of civil society organisations. Industry involvement in policy formulation is operationalised largely through the lobbying of Member States to support industry positions, and business associations gaining access to WHO through formal consultations and hearings. Information management involves funding and disseminating research favourable to commercial interests, and challenging unfavourable evidence.\nConclusion  We provide novel insights into how ultra-­ processed food industry actors shape global-­level NCD policy and identify a clear need to guard against commercial interference to advance NCD policy. In their approach, the political behaviour of multinational food corporations bears similarities to that of the tobacco industry. Increased awareness of, and safeguarding against, commercial interference at the national as well as the global level have the potential to strengthen the crucial work of WHO.","container-title":"BMJ Global Health","DOI":"10.1136/bmjgh-2021-005216","ISSN":"2059-7908","issue":"6","journalAbbreviation":"BMJ Glob Health","language":"en","page":"e005216","source":"DOI.org (Crossref)","title":"Big food and the World Health Organization: a qualitative study of industry attempts to influence global-level non-communicable disease policy","title-short":"Big food and the World Health Organization","URL":"https://gh.bmj.com/lookup/doi/10.1136/bmjgh-2021-005216","volume":"6","author":[{"family":"Lauber","given":"Kathrin"},{"family":"Rutter","given":"Harry"},{"family":"Gilmore","given":"Anna B"}],"accessed":{"date-parts":[["2021",9,7]]},"issued":{"date-parts":[["2021",6]]}}},{"id":17194,"uris":["http://zotero.org/groups/2477744/items/JYFXMAAF"],"itemData":{"id":17194,"type":"article-journal","abstract":"Beijing, as the capital of the world's most populous nation, has been at the forefront in food safety management in mainland China. Yet, food safety incidents have frequently occurred. To gain insights into the nature of food safety incidents occurred in Beijing, content analysis was carried out on an Internet database of food safety incidents, the \"Throwing out the window net\", which has collected a representative subset of food safety incidents occurred in China since 2001. It is found 1) among the 295 food safety incidents, 150 were issued by governmental agencies, and 145 were reported by news media; 2) the government alone, as an originator, has the highest percentage of 52.5% for exposing the incidents; 3) the types of food involved in food safety incidents mainly include (i) fruits and vegetables, (ii) meat and meat products, (iii) cereals and cereal products, and (iv) confectionery. They account for 19.3%, 18.0%, 14.9%, 13.6%, respectively; 4) the main stage detected for the 295 food safety incidents happened over the past decade is the stage of production and processing, accounting for 73.4%; and 5) human factor is the major underlying cause, accounting for 99% of the cases collected by the database. A little fortunately, the number of food safety incidents caused by fraud is less than those caused by un-intentional human errors. Otherwise, one would have been exceedingly depressed. © 2014 Elsevier Ltd.","container-title":"Food Control","DOI":"10.1016/j.foodcont.2014.11.017","journalAbbreviation":"Food Control","page":"206-211","title":"Insights into the nature of food safety issues in Beijing through content analysis of an Internet database of food safety incidents inChina","URL":"https://www.scopus.com/inward/record.uri?eid=2-s2.0-84949116415&amp;doi=10.1016%2fj.foodcont.2014.11.017&amp;partnerID=40&amp;md5=f31b238bcb1aed1b38d948ea6df7faeb","volume":"51","author":[{"family":"Liu","given":"Y."},{"family":"Liu","given":"F."},{"family":"Zhang","given":"J."},{"family":"Gao","given":"J."}],"issued":{"date-parts":[["2015"]]}}},{"id":17203,"uris":["http://zotero.org/groups/2477744/items/Q5YE3DFD"],"itemData":{"id":17203,"type":"article-journal","abstract":"Background: In Colombia, public health policies to improve food environments, including front-of-pack nutrition labelling and marketing restrictions for unhealthy products, are currently under development. Opposition to these policies by the food industry is currently delaying and weakening these efforts. This opposition is commonly known as 'corporate political activity' (CPA) and includes instrumental (action-based) strategies and discursive (argument-based) strategies. Our aim was to identify the CPA of the food industry in Colombia. Methods: We conducted a document analysis of information available in the public domain published between January-July 2019. We triangulated this data with interviews with 17 key informants. We used a deductive approach to data analysis, based on an existing framework for the CPA of the food industry. Results: We identified 275 occurrences of CPA through our analysis of publicly available information. There were 197 examples of instrumental strategies and 138 examples of discursive strategies (these categories are not mutually exclusive, 60 examples belong to both categories). Interview participants also shared information about the CPA in the country. The industry used its discursive strategies to portray the industry in a 'better light', demonstrating its efforts in improving food environments and its role in the economic development of the country. The food industry was involved in several community programmes, including through public private initiatives. The industry also captured the media and tried to influence the science on nutrition and non-communicable diseases. Food industry actors were highly prominent in the policy sphere, through their lobbying, close relationships with high ranking officials and their support for self-regulation in the country. Conclusions: The proximity between the industry, government and the media is particularly evident and remains largely unquestioned in Colombia. The influence of vulnerable populations in communities and feeling of insecurity by public health advocates is also worrisome. In Colombia, the CPA of the food industry has the potential to weaken and delay efforts to develop and implement public health policies that could improve the healthiness of food environments. It is urgent that mechanisms to prevent and manage the influence of the food industry are developed in the country. © 2020 The Author(s).","container-title":"Globalization and Health","DOI":"10.1186/s12992-020-00631-x","issue":"1","journalAbbreviation":"Globalization and Health","title":"\"the architecture of the state was transformed in favour of the interests of companies\": Corporate political activity of the food industry in Colombia","URL":"https://www.scopus.com/inward/record.uri?eid=2-s2.0-85092534307&amp;doi=10.1186%2fs12992-020-00631-x&amp;partnerID=40&amp;md5=0161a4a45e1362c2dc0acdc5c013a83b","volume":"16","author":[{"family":"Mialon","given":"M."},{"family":"Gaitan Charry","given":"D.A."},{"family":"Cediel","given":"G."},{"family":"Crosbie","given":"E."},{"family":"Baeza Scagliusi","given":"F."},{"family":"Pérez Tamayo","given":"E.M."}],"issued":{"date-parts":[["2020"]]}}},{"id":17206,"uris":["http://zotero.org/groups/2477744/items/IP5ZHK4M"],"itemData":{"id":17206,"type":"article-journal","abstract":"Objective: To gain deeper insight into the corporate political activity (CPA) of the Australian food industry from a public health perspective. Methods: Fifteen interviews with a purposive sample of current and former policy makers, public health advocates and academics who have closely interacted with food industry representatives or observed food industry behaviours. Results: All participants reported having directly experienced the CPA of the food industry during their careers, with the ‘information and messaging’ and ‘constituency building’ strategies most prominent. Participants expressed concern that food industry CPA strategies resulted in weakened policy responses to addressing diet-related disease. Conclusions: This study provides direct evidence of food industry practices that have the potential to shape public health-related policies and programs in Australia in ways that favour business interests at the expense of population health. Implications for public health: This evidence can inform policy makers and public health advocates and be used to adopt measures to ensure that public interests are put at the forefront as part of the policy development and implementation process. © 2017 The Authors","container-title":"Australian and New Zealand Journal of Public Health","DOI":"10.1111/1753-6405.12639","issue":"2","journalAbbreviation":"Australian and New Zealand Journal of Public Health","page":"165-171","title":"‘Maximising shareholder value’: a detailed insight into the corporate political activity of the Australian food industry","URL":"https://www.scopus.com/inward/record.uri?eid=2-s2.0-85010223807&amp;doi=10.1111%2f1753-6405.12639&amp;partnerID=40&amp;md5=2a51505e6a319a1be91d0416873fa34a","volume":"41","author":[{"family":"Mialon","given":"M."},{"family":"Swinburn","given":"B."},{"family":"Allender","given":"S."},{"family":"Sacks","given":"G."}],"issued":{"date-parts":[["2017"]]}}},{"id":17237,"uris":["http://zotero.org/groups/2477744/items/YBAJKF9G"],"itemData":{"id":17237,"type":"article-journal","abstract":"The food sector is subject to illegal practices of various types such as adulteration or exploitation of labour. In the media and public discourse, this phenomenon is often associated to activities by organised crime groups. Drawing on a socio-legal empirical study on the perception and conceptualisation of food crime in English and Italian public institutions, this paper unpacks the involvement of organised crime and mafia-type actors in the food sector. Considering data collected through in-depth interviews with representatives of law enforcement and other public authorities, supported by documentary sources, this research points out that, from both an institutional perspective that narrowly conceptualises as food crime as food fraud, as well as from a wider perspective that addresses other practices happening in the food sector, organised crime is involved in food crime. By referring to the English and Italian cases, and by merging different bodies of literature, such as green criminology and enterprise theory, this article advocates for conceptual clarity when referring to the involvement of corporate crime, organised crime and mafia-type groups active in the food sector. In so doing, it presents and reflects upon ‘organised food crime’ as a new socio-legal category and highlights its policy outcomes. © 2021, The Author(s).","container-title":"Crime, Law and Social Change","DOI":"10.1007/s10611-021-09975-w","journalAbbreviation":"Crime, Law and Social Change","title":"Organised food crime: an analysis of the involvements of organised crime groups in the food sector in England and Italy","URL":"https://www.scopus.com/inward/record.uri?eid=2-s2.0-85110600716&amp;doi=10.1007%2fs10611-021-09975-w&amp;partnerID=40&amp;md5=536e9ba8138fce7a8638368642c0ea0d","author":[{"family":"Rizzuti","given":"A."}],"issued":{"date-parts":[["2021"]]}}}],"schema":"https://github.com/citation-style-language/schema/raw/master/csl-citation.json"} </w:instrText>
            </w:r>
            <w:r w:rsidRPr="00710A0C">
              <w:rPr>
                <w:rFonts w:ascii="Arial" w:hAnsi="Arial" w:cs="Arial"/>
              </w:rPr>
              <w:fldChar w:fldCharType="separate"/>
            </w:r>
            <w:r w:rsidRPr="00EF10F9">
              <w:rPr>
                <w:rFonts w:ascii="Arial" w:hAnsi="Arial" w:cs="Arial"/>
              </w:rPr>
              <w:t>(89,100,119,124,138,141,168)</w:t>
            </w:r>
            <w:r w:rsidRPr="00710A0C">
              <w:rPr>
                <w:rFonts w:ascii="Arial" w:hAnsi="Arial" w:cs="Arial"/>
              </w:rPr>
              <w:fldChar w:fldCharType="end"/>
            </w:r>
          </w:p>
        </w:tc>
      </w:tr>
      <w:tr w:rsidR="00362BF4" w:rsidRPr="00710A0C" w14:paraId="6FB9421C" w14:textId="77777777" w:rsidTr="00EC27CE">
        <w:trPr>
          <w:trHeight w:val="1119"/>
        </w:trPr>
        <w:tc>
          <w:tcPr>
            <w:tcW w:w="941" w:type="pct"/>
          </w:tcPr>
          <w:p w14:paraId="2112C017" w14:textId="77777777" w:rsidR="00362BF4" w:rsidRPr="00710A0C" w:rsidRDefault="00362BF4" w:rsidP="00EC27CE">
            <w:pPr>
              <w:spacing w:line="360" w:lineRule="auto"/>
              <w:rPr>
                <w:rFonts w:ascii="Arial" w:hAnsi="Arial" w:cs="Arial"/>
                <w:b/>
                <w:bCs/>
              </w:rPr>
            </w:pPr>
            <w:r w:rsidRPr="00710A0C">
              <w:rPr>
                <w:rFonts w:ascii="Arial" w:hAnsi="Arial" w:cs="Arial"/>
                <w:b/>
                <w:bCs/>
              </w:rPr>
              <w:t xml:space="preserve">Modelling analysis </w:t>
            </w:r>
          </w:p>
        </w:tc>
        <w:tc>
          <w:tcPr>
            <w:tcW w:w="3381" w:type="pct"/>
          </w:tcPr>
          <w:p w14:paraId="675FE5D4" w14:textId="77777777" w:rsidR="00362BF4" w:rsidRPr="00710A0C" w:rsidRDefault="00362BF4" w:rsidP="00EC27CE">
            <w:pPr>
              <w:spacing w:line="360" w:lineRule="auto"/>
              <w:rPr>
                <w:rFonts w:ascii="Arial" w:hAnsi="Arial" w:cs="Arial"/>
              </w:rPr>
            </w:pPr>
            <w:r w:rsidRPr="00710A0C">
              <w:rPr>
                <w:rFonts w:ascii="Arial" w:hAnsi="Arial" w:cs="Arial"/>
              </w:rPr>
              <w:t>Models were developed using a data driven approach and validated/tested using empirical data that measured corruption in the food system.</w:t>
            </w:r>
          </w:p>
        </w:tc>
        <w:tc>
          <w:tcPr>
            <w:tcW w:w="679" w:type="pct"/>
          </w:tcPr>
          <w:p w14:paraId="6500EE0C" w14:textId="77777777" w:rsidR="00362BF4" w:rsidRPr="00710A0C" w:rsidRDefault="00362BF4" w:rsidP="00EC27CE">
            <w:pPr>
              <w:spacing w:line="360" w:lineRule="auto"/>
              <w:rPr>
                <w:rFonts w:ascii="Arial" w:hAnsi="Arial" w:cs="Arial"/>
              </w:rPr>
            </w:pPr>
            <w:r w:rsidRPr="00710A0C">
              <w:rPr>
                <w:rFonts w:ascii="Arial" w:hAnsi="Arial" w:cs="Arial"/>
              </w:rPr>
              <w:fldChar w:fldCharType="begin"/>
            </w:r>
            <w:r>
              <w:rPr>
                <w:rFonts w:ascii="Arial" w:hAnsi="Arial" w:cs="Arial"/>
              </w:rPr>
              <w:instrText xml:space="preserve"> ADDIN ZOTERO_ITEM CSL_CITATION {"citationID":"uS5GTs5t","properties":{"formattedCitation":"(240)","plainCitation":"(240)","noteIndex":0},"citationItems":[{"id":17238,"uris":["http://zotero.org/groups/2477744/items/479UPD76"],"itemData":{"id":17238,"type":"article-journal","abstract":"The increase in fraudulent incidents has resulted in a change of focus in theory related to investigating food fraud from risk mitigation to vulnerability reduction. While the literature provided a framework from which to identify possible areas of vulnerability to food fraud, it does not provide a methodology that would allow food producers and processors to quantify and assess their vulnerability to food fraud more accurately. This paper developed a holistic approach to analyse food fraud vulnerability factors using a Bayesian Network (BN) approach based on the Decernis food fraud database incidents. Food fraud incidents related to seafood, dairy, alcoholic beverages and meat products were reviewed as they cover more than 50 % of the Decernis incident records (as in June 2018). 580 cases of food fraud were included in the development of the BN model. SPSS Modeler 18.2 was used to construct two BN model, and fraud vulnerability factors were directly linked to seven criteria of the country of origin, country of detection, year, food fraud types, product types, the weight of evidence, and types of adulterants. Possible food fraud vulnerability factors related to each case retrieved from Decernis database, combined Barrier Analysis technique and Routine Activity Theory, and additional sources from the literature. Two Bayesian Networks of Tree Augmented Naïve (TAN) and Markov were selected to determine the most reliable holistic model. Based on the analysis result, the TAN model assessed the vulnerability to food fraud with a higher accuracy rate of 86 %. The country of origin (76 %), food product types (9 %), types of adulterants (counterfeiting) (9 %), and country of detection (China) (6 %) were the main predictors of food fraud vulnerability factors. This model helps authorities in border protection, policymakers, and quality assurance agencies assess fraud vulnerability for a range of food products for incoming (imported) food products, mainly if they know the country of origin and type of food products. © 2021 Elsevier Ltd","container-title":"Food Control","DOI":"10.1016/j.foodcont.2021.108440","journalAbbreviation":"Food Control","title":"A holistic approach to food fraud vulnerability assessment","URL":"https://www.scopus.com/inward/record.uri?eid=2-s2.0-85111113596&amp;doi=10.1016%2fj.foodcont.2021.108440&amp;partnerID=40&amp;md5=48769d808f8e7180cca150ab19e0023f","volume":"131","author":[{"family":"Rezazade","given":"F."},{"family":"Summers","given":"J."},{"family":"Lai Teik","given":"D.O."}],"issued":{"date-parts":[["2022"]]}}}],"schema":"https://github.com/citation-style-language/schema/raw/master/csl-citation.json"} </w:instrText>
            </w:r>
            <w:r w:rsidRPr="00710A0C">
              <w:rPr>
                <w:rFonts w:ascii="Arial" w:hAnsi="Arial" w:cs="Arial"/>
              </w:rPr>
              <w:fldChar w:fldCharType="separate"/>
            </w:r>
            <w:r w:rsidRPr="00EF10F9">
              <w:rPr>
                <w:rFonts w:ascii="Arial" w:hAnsi="Arial" w:cs="Arial"/>
              </w:rPr>
              <w:t>(240)</w:t>
            </w:r>
            <w:r w:rsidRPr="00710A0C">
              <w:rPr>
                <w:rFonts w:ascii="Arial" w:hAnsi="Arial" w:cs="Arial"/>
              </w:rPr>
              <w:fldChar w:fldCharType="end"/>
            </w:r>
          </w:p>
        </w:tc>
      </w:tr>
      <w:tr w:rsidR="00362BF4" w:rsidRPr="00710A0C" w14:paraId="52968A0C" w14:textId="77777777" w:rsidTr="00EC27CE">
        <w:trPr>
          <w:trHeight w:val="1119"/>
        </w:trPr>
        <w:tc>
          <w:tcPr>
            <w:tcW w:w="941" w:type="pct"/>
          </w:tcPr>
          <w:p w14:paraId="312A20C3" w14:textId="77777777" w:rsidR="00362BF4" w:rsidRPr="00710A0C" w:rsidRDefault="00362BF4" w:rsidP="00EC27CE">
            <w:pPr>
              <w:spacing w:line="360" w:lineRule="auto"/>
              <w:rPr>
                <w:rFonts w:ascii="Arial" w:hAnsi="Arial" w:cs="Arial"/>
                <w:b/>
                <w:bCs/>
              </w:rPr>
            </w:pPr>
            <w:r w:rsidRPr="00710A0C">
              <w:rPr>
                <w:rFonts w:ascii="Arial" w:hAnsi="Arial" w:cs="Arial"/>
                <w:b/>
                <w:bCs/>
              </w:rPr>
              <w:t xml:space="preserve">Tool development </w:t>
            </w:r>
          </w:p>
        </w:tc>
        <w:tc>
          <w:tcPr>
            <w:tcW w:w="3381" w:type="pct"/>
          </w:tcPr>
          <w:p w14:paraId="3837A498" w14:textId="77777777" w:rsidR="00362BF4" w:rsidRPr="00710A0C" w:rsidRDefault="00362BF4" w:rsidP="00EC27CE">
            <w:pPr>
              <w:spacing w:line="360" w:lineRule="auto"/>
              <w:rPr>
                <w:rFonts w:ascii="Arial" w:hAnsi="Arial" w:cs="Arial"/>
              </w:rPr>
            </w:pPr>
            <w:r w:rsidRPr="00710A0C">
              <w:rPr>
                <w:rFonts w:ascii="Arial" w:hAnsi="Arial" w:cs="Arial"/>
              </w:rPr>
              <w:t xml:space="preserve">Tools to predict or screen for instances of corruption were developed based on empirical (quantitative or qualitative) data. </w:t>
            </w:r>
          </w:p>
        </w:tc>
        <w:tc>
          <w:tcPr>
            <w:tcW w:w="679" w:type="pct"/>
          </w:tcPr>
          <w:p w14:paraId="49B22732" w14:textId="77777777" w:rsidR="00362BF4" w:rsidRPr="00710A0C" w:rsidRDefault="00362BF4" w:rsidP="00EC27CE">
            <w:pPr>
              <w:spacing w:line="360" w:lineRule="auto"/>
              <w:rPr>
                <w:rFonts w:ascii="Arial" w:hAnsi="Arial" w:cs="Arial"/>
              </w:rPr>
            </w:pPr>
            <w:r w:rsidRPr="00710A0C">
              <w:rPr>
                <w:rFonts w:ascii="Arial" w:hAnsi="Arial" w:cs="Arial"/>
              </w:rPr>
              <w:fldChar w:fldCharType="begin"/>
            </w:r>
            <w:r>
              <w:rPr>
                <w:rFonts w:ascii="Arial" w:hAnsi="Arial" w:cs="Arial"/>
              </w:rPr>
              <w:instrText xml:space="preserve"> ADDIN ZOTERO_ITEM CSL_CITATION {"citationID":"zgCg7ZO5","properties":{"formattedCitation":"(23,187)","plainCitation":"(23,187)","noteIndex":0},"citationItems":[{"id":17143,"uris":["http://zotero.org/groups/2477744/items/U29KVKHG"],"itemData":{"id":17143,"type":"article-journal","abstract":"Following the discovery of horsemeat in beef products in Europe in 2013, restoring consumers' confidence in processed meat products as well as in all the agencies involved - producers, food safety authorities, retailers - soon became a key priority. However, the European public's confidence in processed meat products and their views about government and industry actions to manage fraudulent practices in the wake of this incident are poorly understood. The objective of this study was to identify the core issues affecting consumers' confidence in the food industry, particularly in the meat processing sector, and to explore the impact of the horsemeat incident on consumers' purchasing and eating behaviour. It involved the use of an online deliberation tool VIZZATA™ to collect detailed views of 61 consumers in the UK and the Republic of Ireland. Many participants reported buying fewer products containing processed meat as a result of the horsemeat incident. These respondents also claimed that their confidence in processed foods containing meat was lower than before the incident. Participants suggested restoring consumer confidence through improved traceability, sourcing local ingredients, providing clearer and correct labelling and stating the origin of meat on pack. Overall, findings indicate that rebuilding consumer confidence in processed meat products following a food adulteration episode is a multifaceted and difficult process. Food authorities and the food industry can benefit from the insights provided by this study to address issues affecting consumer confidence and to improve their communication strategies during future food adulteration incidents. © 2015 Elsevier Ltd.","container-title":"Food Control","DOI":"10.1016/j.foodcont.2015.06.021","journalAbbreviation":"Food Control","page":"721-730","title":"Consumers' confidence, reflections and response strategies following the horsemeat incident","URL":"https://www.scopus.com/inward/record.uri?eid=2-s2.0-84936133682&amp;doi=10.1016%2fj.foodcont.2015.06.021&amp;partnerID=40&amp;md5=9452954a0c17e85030be19be3d3719a1","volume":"59","author":[{"family":"Barnett","given":"J."},{"family":"Begen","given":"F."},{"family":"Howes","given":"S."},{"family":"Regan","given":"A."},{"family":"McConnon","given":"A."},{"family":"Marcu","given":"A."},{"family":"Rowntree","given":"S."},{"family":"Verbeke","given":"W."}],"issued":{"date-parts":[["2016"]]}}},{"id":17074,"uris":["http://zotero.org/groups/2477744/items/BX7T8CI2"],"itemData":{"id":17074,"type":"article-journal","abstract":"Food Fraud is illegal deception for economic gain using food. There are many types of fraud including adulterant-substances, tampering, theft, diversion and gray marketing, simulations, misbranded, and intellectual property rights. product counterfeiting. The concept is beginning to be addressed by laws, regulations, standards, and certifications. Regardless of the presence of an actual health hazard, Food Fraud incidents can: negatively impact sales, brand equity, market capitalization; violate regulations such as Sarbanes-Oxley; and even lead to the criminal prosecution of corporate leaders. Emerging regulations and industry standards are requiring risk and vulnerability assessments of Food Fraud as a prerequisite to countermeasures and decision-making systems. These assessments and risk management systems are not familiar food safety tools. It is effective and efficient to utilize an enterprise risk management (ERM) framework, such as developed by the Committee of the Sponsoring Companies of the Treadway Commission (COSO). ERM risk assessment occurs into two stages: (1) a qualitative initial screening followed by (2) a more detailed quantitative assessment. All types of Food Fraud can result in enterprise-wide risks, so an enterprise risk management system must cover all types of vulnerabilities. The model developed in this paper addresses the unmet need of the first stage referred to here as the Food Fraud Initial Screening (FFIS). (C) 2016 Published by Elsevier Ltd.","container-title":"FOOD CONTROL","DOI":"10.1016/j.foodcont.2016.03.016","journalAbbreviation":"FOOD CONTROL","page":"306-314","title":"Introducing the Food Fraud Initial Screening model (FFIS)","volume":"69","author":[{"family":"Spink","given":"John"},{"family":"Moyer","given":"Douglas C"},{"family":"Speier-Pero","given":"Cheri"}],"issued":{"date-parts":[["2016"]]}}}],"schema":"https://github.com/citation-style-language/schema/raw/master/csl-citation.json"} </w:instrText>
            </w:r>
            <w:r w:rsidRPr="00710A0C">
              <w:rPr>
                <w:rFonts w:ascii="Arial" w:hAnsi="Arial" w:cs="Arial"/>
              </w:rPr>
              <w:fldChar w:fldCharType="separate"/>
            </w:r>
            <w:r w:rsidRPr="00EF10F9">
              <w:rPr>
                <w:rFonts w:ascii="Arial" w:hAnsi="Arial" w:cs="Arial"/>
              </w:rPr>
              <w:t>(23,187)</w:t>
            </w:r>
            <w:r w:rsidRPr="00710A0C">
              <w:rPr>
                <w:rFonts w:ascii="Arial" w:hAnsi="Arial" w:cs="Arial"/>
              </w:rPr>
              <w:fldChar w:fldCharType="end"/>
            </w:r>
          </w:p>
        </w:tc>
      </w:tr>
      <w:tr w:rsidR="00362BF4" w:rsidRPr="00710A0C" w14:paraId="0D530762" w14:textId="77777777" w:rsidTr="00EC27CE">
        <w:trPr>
          <w:trHeight w:val="737"/>
        </w:trPr>
        <w:tc>
          <w:tcPr>
            <w:tcW w:w="5000" w:type="pct"/>
            <w:gridSpan w:val="3"/>
          </w:tcPr>
          <w:p w14:paraId="743AC2E0" w14:textId="77777777" w:rsidR="00362BF4" w:rsidRPr="00710A0C" w:rsidRDefault="00362BF4" w:rsidP="00EC27CE">
            <w:pPr>
              <w:spacing w:line="360" w:lineRule="auto"/>
              <w:rPr>
                <w:rFonts w:ascii="Arial" w:hAnsi="Arial" w:cs="Arial"/>
              </w:rPr>
            </w:pPr>
            <w:r w:rsidRPr="00710A0C">
              <w:rPr>
                <w:rFonts w:ascii="Arial" w:hAnsi="Arial" w:cs="Arial"/>
              </w:rPr>
              <w:t>*Content analysis, case study analysis, and analyses using an ethnographic approach often involved interviews as part of their studies.</w:t>
            </w:r>
          </w:p>
        </w:tc>
      </w:tr>
    </w:tbl>
    <w:p w14:paraId="454F05C1" w14:textId="77777777" w:rsidR="00362BF4" w:rsidRDefault="00362BF4" w:rsidP="00362BF4">
      <w:pPr>
        <w:spacing w:line="276" w:lineRule="auto"/>
        <w:jc w:val="both"/>
        <w:rPr>
          <w:rFonts w:ascii="Arial" w:hAnsi="Arial" w:cs="Arial"/>
        </w:rPr>
      </w:pPr>
    </w:p>
    <w:p w14:paraId="22F66F90" w14:textId="77777777" w:rsidR="008E6035" w:rsidRDefault="008E6035" w:rsidP="008E6035">
      <w:pPr>
        <w:sectPr w:rsidR="008E6035">
          <w:footerReference w:type="default" r:id="rId11"/>
          <w:pgSz w:w="11906" w:h="16838"/>
          <w:pgMar w:top="1440" w:right="1440" w:bottom="1440" w:left="1440" w:header="708" w:footer="708" w:gutter="0"/>
          <w:cols w:space="708"/>
          <w:docGrid w:linePitch="360"/>
        </w:sectPr>
      </w:pPr>
    </w:p>
    <w:p w14:paraId="6322AC9F" w14:textId="54237D61" w:rsidR="008E6035" w:rsidRPr="00E45548" w:rsidRDefault="00E45548" w:rsidP="008E6035">
      <w:pPr>
        <w:spacing w:line="360" w:lineRule="auto"/>
        <w:rPr>
          <w:rFonts w:ascii="Arial" w:hAnsi="Arial" w:cs="Arial"/>
          <w:i/>
          <w:iCs/>
        </w:rPr>
      </w:pPr>
      <w:r w:rsidRPr="00E45548">
        <w:rPr>
          <w:rFonts w:ascii="Arial" w:hAnsi="Arial" w:cs="Arial"/>
          <w:i/>
          <w:iCs/>
        </w:rPr>
        <w:lastRenderedPageBreak/>
        <w:t>Supplement</w:t>
      </w:r>
      <w:r w:rsidR="003505C7">
        <w:rPr>
          <w:rFonts w:ascii="Arial" w:hAnsi="Arial" w:cs="Arial"/>
          <w:i/>
          <w:iCs/>
        </w:rPr>
        <w:t>ary file</w:t>
      </w:r>
      <w:r w:rsidRPr="00E45548">
        <w:rPr>
          <w:rFonts w:ascii="Arial" w:hAnsi="Arial" w:cs="Arial"/>
          <w:i/>
          <w:iCs/>
        </w:rPr>
        <w:t xml:space="preserve"> </w:t>
      </w:r>
      <w:r w:rsidR="00362BF4">
        <w:rPr>
          <w:rFonts w:ascii="Arial" w:hAnsi="Arial" w:cs="Arial"/>
          <w:i/>
          <w:iCs/>
        </w:rPr>
        <w:t>4</w:t>
      </w:r>
      <w:r w:rsidR="00677773">
        <w:rPr>
          <w:rFonts w:ascii="Arial" w:hAnsi="Arial" w:cs="Arial"/>
          <w:i/>
          <w:iCs/>
        </w:rPr>
        <w:t xml:space="preserve">. </w:t>
      </w:r>
      <w:r w:rsidR="0059063F" w:rsidRPr="00E45548">
        <w:rPr>
          <w:rFonts w:ascii="Arial" w:hAnsi="Arial" w:cs="Arial"/>
          <w:i/>
          <w:iCs/>
        </w:rPr>
        <w:t>Study characteristics of all the included records (n=238)</w:t>
      </w:r>
      <w:r w:rsidR="00773B1E">
        <w:rPr>
          <w:rFonts w:ascii="Arial" w:hAnsi="Arial" w:cs="Arial"/>
          <w:i/>
          <w:iCs/>
        </w:rPr>
        <w:t xml:space="preserve">. The key </w:t>
      </w:r>
      <w:r w:rsidR="00512126">
        <w:rPr>
          <w:rFonts w:ascii="Arial" w:hAnsi="Arial" w:cs="Arial"/>
          <w:i/>
          <w:iCs/>
        </w:rPr>
        <w:t xml:space="preserve">identifies the codes used to classify the study characteristics for each area of interest.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1071"/>
        <w:gridCol w:w="536"/>
        <w:gridCol w:w="393"/>
        <w:gridCol w:w="2932"/>
        <w:gridCol w:w="4039"/>
        <w:gridCol w:w="639"/>
        <w:gridCol w:w="887"/>
        <w:gridCol w:w="854"/>
        <w:gridCol w:w="1035"/>
        <w:gridCol w:w="639"/>
      </w:tblGrid>
      <w:tr w:rsidR="00C5181F" w:rsidRPr="001137CA" w14:paraId="59AA2B6B" w14:textId="77777777" w:rsidTr="00380533">
        <w:trPr>
          <w:trHeight w:val="285"/>
        </w:trPr>
        <w:tc>
          <w:tcPr>
            <w:tcW w:w="5000" w:type="pct"/>
            <w:gridSpan w:val="11"/>
            <w:shd w:val="clear" w:color="auto" w:fill="auto"/>
            <w:noWrap/>
            <w:vAlign w:val="center"/>
          </w:tcPr>
          <w:p w14:paraId="1D802F7A" w14:textId="42BE22EA" w:rsidR="00C5181F" w:rsidRPr="001137CA" w:rsidRDefault="00C5181F" w:rsidP="00380533">
            <w:pPr>
              <w:spacing w:after="0" w:line="240" w:lineRule="auto"/>
              <w:jc w:val="center"/>
              <w:rPr>
                <w:rFonts w:ascii="Arial" w:eastAsia="Times New Roman" w:hAnsi="Arial" w:cs="Arial"/>
                <w:color w:val="000000"/>
                <w:sz w:val="14"/>
                <w:szCs w:val="14"/>
                <w:lang w:eastAsia="en-AU"/>
              </w:rPr>
            </w:pPr>
            <w:r>
              <w:rPr>
                <w:rFonts w:ascii="Arial" w:eastAsia="Times New Roman" w:hAnsi="Arial" w:cs="Arial"/>
                <w:sz w:val="14"/>
                <w:szCs w:val="14"/>
                <w:lang w:val="en-AU" w:eastAsia="en-AU"/>
              </w:rPr>
              <w:t>Key</w:t>
            </w:r>
          </w:p>
        </w:tc>
      </w:tr>
      <w:tr w:rsidR="000E2265" w:rsidRPr="001137CA" w14:paraId="7412FF40" w14:textId="77777777" w:rsidTr="000845B9">
        <w:trPr>
          <w:trHeight w:val="285"/>
        </w:trPr>
        <w:tc>
          <w:tcPr>
            <w:tcW w:w="331" w:type="pct"/>
            <w:shd w:val="clear" w:color="auto" w:fill="auto"/>
            <w:noWrap/>
            <w:hideMark/>
          </w:tcPr>
          <w:p w14:paraId="39960C9F" w14:textId="77777777" w:rsidR="00C00050" w:rsidRPr="001137CA" w:rsidRDefault="00C00050" w:rsidP="00380533">
            <w:pPr>
              <w:spacing w:after="0" w:line="240" w:lineRule="auto"/>
              <w:rPr>
                <w:rFonts w:ascii="Arial" w:eastAsia="Times New Roman" w:hAnsi="Arial" w:cs="Arial"/>
                <w:sz w:val="14"/>
                <w:szCs w:val="14"/>
                <w:lang w:val="en-AU" w:eastAsia="en-AU"/>
              </w:rPr>
            </w:pPr>
          </w:p>
        </w:tc>
        <w:tc>
          <w:tcPr>
            <w:tcW w:w="717" w:type="pct"/>
            <w:gridSpan w:val="3"/>
            <w:shd w:val="clear" w:color="auto" w:fill="auto"/>
            <w:noWrap/>
            <w:hideMark/>
          </w:tcPr>
          <w:p w14:paraId="4C6F0ED8" w14:textId="7B6E60AC"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Corruption type</w:t>
            </w:r>
            <w:r w:rsidR="00655C40">
              <w:rPr>
                <w:rFonts w:ascii="Arial" w:eastAsia="Times New Roman" w:hAnsi="Arial" w:cs="Arial"/>
                <w:color w:val="000000"/>
                <w:sz w:val="14"/>
                <w:szCs w:val="14"/>
                <w:lang w:eastAsia="en-AU"/>
              </w:rPr>
              <w:t>/s</w:t>
            </w:r>
            <w:r w:rsidR="000845B9" w:rsidRPr="00AA5301">
              <w:rPr>
                <w:rFonts w:ascii="Arial" w:eastAsia="Times New Roman" w:hAnsi="Arial" w:cs="Arial"/>
                <w:b/>
                <w:bCs/>
                <w:color w:val="000000"/>
                <w:sz w:val="20"/>
                <w:szCs w:val="20"/>
                <w:vertAlign w:val="superscript"/>
                <w:lang w:eastAsia="en-AU"/>
              </w:rPr>
              <w:t>†</w:t>
            </w:r>
          </w:p>
        </w:tc>
        <w:tc>
          <w:tcPr>
            <w:tcW w:w="1051" w:type="pct"/>
            <w:shd w:val="clear" w:color="auto" w:fill="auto"/>
            <w:noWrap/>
            <w:hideMark/>
          </w:tcPr>
          <w:p w14:paraId="5B996190" w14:textId="547FAB8E"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Food system area</w:t>
            </w:r>
            <w:r w:rsidR="00655C40">
              <w:rPr>
                <w:rFonts w:ascii="Arial" w:eastAsia="Times New Roman" w:hAnsi="Arial" w:cs="Arial"/>
                <w:color w:val="000000"/>
                <w:sz w:val="14"/>
                <w:szCs w:val="14"/>
                <w:lang w:eastAsia="en-AU"/>
              </w:rPr>
              <w:t>/s</w:t>
            </w:r>
            <w:r w:rsidR="000845B9" w:rsidRPr="00AA5301">
              <w:rPr>
                <w:rFonts w:ascii="Arial" w:eastAsia="Times New Roman" w:hAnsi="Arial" w:cs="Arial"/>
                <w:b/>
                <w:bCs/>
                <w:color w:val="000000"/>
                <w:sz w:val="20"/>
                <w:szCs w:val="20"/>
                <w:vertAlign w:val="superscript"/>
                <w:lang w:eastAsia="en-AU"/>
              </w:rPr>
              <w:t>§</w:t>
            </w:r>
          </w:p>
        </w:tc>
        <w:tc>
          <w:tcPr>
            <w:tcW w:w="1448" w:type="pct"/>
            <w:shd w:val="clear" w:color="auto" w:fill="auto"/>
            <w:noWrap/>
            <w:hideMark/>
          </w:tcPr>
          <w:p w14:paraId="2640BD23" w14:textId="50977823"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Stakeholders involved</w:t>
            </w:r>
            <w:r w:rsidR="00AA5301" w:rsidRPr="00AA5301">
              <w:rPr>
                <w:rFonts w:ascii="Arial" w:eastAsia="Times New Roman" w:hAnsi="Arial" w:cs="Arial"/>
                <w:b/>
                <w:bCs/>
                <w:color w:val="000000"/>
                <w:sz w:val="20"/>
                <w:szCs w:val="20"/>
                <w:vertAlign w:val="superscript"/>
                <w:lang w:eastAsia="en-AU"/>
              </w:rPr>
              <w:t>β</w:t>
            </w:r>
          </w:p>
        </w:tc>
        <w:tc>
          <w:tcPr>
            <w:tcW w:w="1453" w:type="pct"/>
            <w:gridSpan w:val="5"/>
            <w:shd w:val="clear" w:color="auto" w:fill="auto"/>
            <w:noWrap/>
            <w:hideMark/>
          </w:tcPr>
          <w:p w14:paraId="1CA4A9CE" w14:textId="5DE8AE9B"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Impact type</w:t>
            </w:r>
            <w:r w:rsidR="00655C40">
              <w:rPr>
                <w:rFonts w:ascii="Arial" w:eastAsia="Times New Roman" w:hAnsi="Arial" w:cs="Arial"/>
                <w:color w:val="000000"/>
                <w:sz w:val="14"/>
                <w:szCs w:val="14"/>
                <w:lang w:eastAsia="en-AU"/>
              </w:rPr>
              <w:t>/s</w:t>
            </w:r>
            <w:r w:rsidR="00AA5301" w:rsidRPr="00AA5301">
              <w:rPr>
                <w:rFonts w:ascii="Times New Roman" w:eastAsia="Times New Roman" w:hAnsi="Times New Roman" w:cs="Times New Roman"/>
                <w:b/>
                <w:bCs/>
                <w:color w:val="000000"/>
                <w:sz w:val="20"/>
                <w:szCs w:val="20"/>
                <w:vertAlign w:val="superscript"/>
                <w:lang w:eastAsia="en-AU"/>
              </w:rPr>
              <w:t>α</w:t>
            </w:r>
          </w:p>
        </w:tc>
      </w:tr>
      <w:tr w:rsidR="000E2265" w:rsidRPr="001137CA" w14:paraId="1DC5BF6F" w14:textId="77777777" w:rsidTr="000845B9">
        <w:trPr>
          <w:trHeight w:val="285"/>
        </w:trPr>
        <w:tc>
          <w:tcPr>
            <w:tcW w:w="331" w:type="pct"/>
            <w:shd w:val="clear" w:color="auto" w:fill="auto"/>
            <w:noWrap/>
            <w:hideMark/>
          </w:tcPr>
          <w:p w14:paraId="17D73C07"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a</w:t>
            </w:r>
          </w:p>
        </w:tc>
        <w:tc>
          <w:tcPr>
            <w:tcW w:w="717" w:type="pct"/>
            <w:gridSpan w:val="3"/>
            <w:shd w:val="clear" w:color="auto" w:fill="auto"/>
            <w:noWrap/>
            <w:hideMark/>
          </w:tcPr>
          <w:p w14:paraId="3726A319"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Bureaucratic corruption</w:t>
            </w:r>
          </w:p>
        </w:tc>
        <w:tc>
          <w:tcPr>
            <w:tcW w:w="1051" w:type="pct"/>
            <w:shd w:val="clear" w:color="auto" w:fill="auto"/>
            <w:noWrap/>
            <w:hideMark/>
          </w:tcPr>
          <w:p w14:paraId="604BC5A7"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Policy and governance structures</w:t>
            </w:r>
          </w:p>
        </w:tc>
        <w:tc>
          <w:tcPr>
            <w:tcW w:w="1448" w:type="pct"/>
            <w:shd w:val="clear" w:color="auto" w:fill="auto"/>
            <w:noWrap/>
            <w:hideMark/>
          </w:tcPr>
          <w:p w14:paraId="55EA941F"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Primary and raw material producers</w:t>
            </w:r>
          </w:p>
        </w:tc>
        <w:tc>
          <w:tcPr>
            <w:tcW w:w="1453" w:type="pct"/>
            <w:gridSpan w:val="5"/>
            <w:shd w:val="clear" w:color="auto" w:fill="auto"/>
            <w:noWrap/>
            <w:hideMark/>
          </w:tcPr>
          <w:p w14:paraId="23415E27"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Undermines governance and regulatory structures</w:t>
            </w:r>
          </w:p>
        </w:tc>
      </w:tr>
      <w:tr w:rsidR="000E2265" w:rsidRPr="001137CA" w14:paraId="721A8DC7" w14:textId="77777777" w:rsidTr="000845B9">
        <w:trPr>
          <w:trHeight w:val="285"/>
        </w:trPr>
        <w:tc>
          <w:tcPr>
            <w:tcW w:w="331" w:type="pct"/>
            <w:shd w:val="clear" w:color="auto" w:fill="auto"/>
            <w:noWrap/>
            <w:hideMark/>
          </w:tcPr>
          <w:p w14:paraId="464DC0D1"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b</w:t>
            </w:r>
          </w:p>
        </w:tc>
        <w:tc>
          <w:tcPr>
            <w:tcW w:w="717" w:type="pct"/>
            <w:gridSpan w:val="3"/>
            <w:shd w:val="clear" w:color="auto" w:fill="auto"/>
            <w:noWrap/>
            <w:hideMark/>
          </w:tcPr>
          <w:p w14:paraId="2FEAF44F"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Fraud</w:t>
            </w:r>
          </w:p>
        </w:tc>
        <w:tc>
          <w:tcPr>
            <w:tcW w:w="1051" w:type="pct"/>
            <w:shd w:val="clear" w:color="auto" w:fill="auto"/>
            <w:noWrap/>
            <w:hideMark/>
          </w:tcPr>
          <w:p w14:paraId="63AB4121"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Systems supporting food production</w:t>
            </w:r>
          </w:p>
        </w:tc>
        <w:tc>
          <w:tcPr>
            <w:tcW w:w="1448" w:type="pct"/>
            <w:shd w:val="clear" w:color="auto" w:fill="auto"/>
            <w:noWrap/>
            <w:hideMark/>
          </w:tcPr>
          <w:p w14:paraId="3BEE854D"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Food processors and packers</w:t>
            </w:r>
          </w:p>
        </w:tc>
        <w:tc>
          <w:tcPr>
            <w:tcW w:w="1453" w:type="pct"/>
            <w:gridSpan w:val="5"/>
            <w:shd w:val="clear" w:color="auto" w:fill="auto"/>
            <w:noWrap/>
            <w:hideMark/>
          </w:tcPr>
          <w:p w14:paraId="487CAD8B"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Environmental degradation</w:t>
            </w:r>
          </w:p>
        </w:tc>
      </w:tr>
      <w:tr w:rsidR="000E2265" w:rsidRPr="001137CA" w14:paraId="1258BCE0" w14:textId="77777777" w:rsidTr="000845B9">
        <w:trPr>
          <w:trHeight w:val="285"/>
        </w:trPr>
        <w:tc>
          <w:tcPr>
            <w:tcW w:w="331" w:type="pct"/>
            <w:shd w:val="clear" w:color="auto" w:fill="auto"/>
            <w:noWrap/>
            <w:hideMark/>
          </w:tcPr>
          <w:p w14:paraId="7FBDF4CA"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c</w:t>
            </w:r>
          </w:p>
        </w:tc>
        <w:tc>
          <w:tcPr>
            <w:tcW w:w="717" w:type="pct"/>
            <w:gridSpan w:val="3"/>
            <w:shd w:val="clear" w:color="auto" w:fill="auto"/>
            <w:noWrap/>
            <w:hideMark/>
          </w:tcPr>
          <w:p w14:paraId="3564DFFF"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Organized crime</w:t>
            </w:r>
          </w:p>
        </w:tc>
        <w:tc>
          <w:tcPr>
            <w:tcW w:w="1051" w:type="pct"/>
            <w:shd w:val="clear" w:color="auto" w:fill="auto"/>
            <w:noWrap/>
            <w:hideMark/>
          </w:tcPr>
          <w:p w14:paraId="79F201CA"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Food supply chains</w:t>
            </w:r>
          </w:p>
        </w:tc>
        <w:tc>
          <w:tcPr>
            <w:tcW w:w="1448" w:type="pct"/>
            <w:shd w:val="clear" w:color="auto" w:fill="auto"/>
            <w:noWrap/>
            <w:hideMark/>
          </w:tcPr>
          <w:p w14:paraId="543B9F83"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Distributors, transporters, and logistics</w:t>
            </w:r>
          </w:p>
        </w:tc>
        <w:tc>
          <w:tcPr>
            <w:tcW w:w="1453" w:type="pct"/>
            <w:gridSpan w:val="5"/>
            <w:shd w:val="clear" w:color="auto" w:fill="auto"/>
            <w:noWrap/>
            <w:hideMark/>
          </w:tcPr>
          <w:p w14:paraId="0E634B9F"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Decreased agricultural productivity</w:t>
            </w:r>
          </w:p>
        </w:tc>
      </w:tr>
      <w:tr w:rsidR="000E2265" w:rsidRPr="001137CA" w14:paraId="181F20E6" w14:textId="77777777" w:rsidTr="000845B9">
        <w:trPr>
          <w:trHeight w:val="285"/>
        </w:trPr>
        <w:tc>
          <w:tcPr>
            <w:tcW w:w="331" w:type="pct"/>
            <w:shd w:val="clear" w:color="auto" w:fill="auto"/>
            <w:noWrap/>
            <w:hideMark/>
          </w:tcPr>
          <w:p w14:paraId="715293FF"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d</w:t>
            </w:r>
          </w:p>
        </w:tc>
        <w:tc>
          <w:tcPr>
            <w:tcW w:w="717" w:type="pct"/>
            <w:gridSpan w:val="3"/>
            <w:shd w:val="clear" w:color="auto" w:fill="auto"/>
            <w:noWrap/>
            <w:hideMark/>
          </w:tcPr>
          <w:p w14:paraId="08048770"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CPA</w:t>
            </w:r>
          </w:p>
        </w:tc>
        <w:tc>
          <w:tcPr>
            <w:tcW w:w="1051" w:type="pct"/>
            <w:shd w:val="clear" w:color="auto" w:fill="auto"/>
            <w:noWrap/>
            <w:hideMark/>
          </w:tcPr>
          <w:p w14:paraId="30CC9972"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Food environments</w:t>
            </w:r>
          </w:p>
        </w:tc>
        <w:tc>
          <w:tcPr>
            <w:tcW w:w="1448" w:type="pct"/>
            <w:shd w:val="clear" w:color="auto" w:fill="auto"/>
            <w:noWrap/>
            <w:hideMark/>
          </w:tcPr>
          <w:p w14:paraId="34278860"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Business or corporate stakeholders</w:t>
            </w:r>
          </w:p>
        </w:tc>
        <w:tc>
          <w:tcPr>
            <w:tcW w:w="1453" w:type="pct"/>
            <w:gridSpan w:val="5"/>
            <w:shd w:val="clear" w:color="auto" w:fill="auto"/>
            <w:noWrap/>
            <w:hideMark/>
          </w:tcPr>
          <w:p w14:paraId="6BA79C2B"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Health risks and food insecurity</w:t>
            </w:r>
          </w:p>
        </w:tc>
      </w:tr>
      <w:tr w:rsidR="000E2265" w:rsidRPr="001137CA" w14:paraId="2EA2C897" w14:textId="77777777" w:rsidTr="000845B9">
        <w:trPr>
          <w:trHeight w:val="285"/>
        </w:trPr>
        <w:tc>
          <w:tcPr>
            <w:tcW w:w="331" w:type="pct"/>
            <w:shd w:val="clear" w:color="auto" w:fill="auto"/>
            <w:noWrap/>
            <w:hideMark/>
          </w:tcPr>
          <w:p w14:paraId="7D3DD405"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e</w:t>
            </w:r>
          </w:p>
        </w:tc>
        <w:tc>
          <w:tcPr>
            <w:tcW w:w="717" w:type="pct"/>
            <w:gridSpan w:val="3"/>
            <w:shd w:val="clear" w:color="auto" w:fill="auto"/>
            <w:noWrap/>
            <w:hideMark/>
          </w:tcPr>
          <w:p w14:paraId="47FBB40F"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Bribery</w:t>
            </w:r>
          </w:p>
        </w:tc>
        <w:tc>
          <w:tcPr>
            <w:tcW w:w="1051" w:type="pct"/>
            <w:shd w:val="clear" w:color="auto" w:fill="auto"/>
            <w:noWrap/>
            <w:hideMark/>
          </w:tcPr>
          <w:p w14:paraId="1E378130"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Individual behaviors and diets</w:t>
            </w:r>
          </w:p>
        </w:tc>
        <w:tc>
          <w:tcPr>
            <w:tcW w:w="1448" w:type="pct"/>
            <w:shd w:val="clear" w:color="auto" w:fill="auto"/>
            <w:noWrap/>
            <w:hideMark/>
          </w:tcPr>
          <w:p w14:paraId="5263CAD4"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Marketers, retailers, traders, and wholesalers</w:t>
            </w:r>
          </w:p>
        </w:tc>
        <w:tc>
          <w:tcPr>
            <w:tcW w:w="1453" w:type="pct"/>
            <w:gridSpan w:val="5"/>
            <w:shd w:val="clear" w:color="auto" w:fill="auto"/>
            <w:noWrap/>
            <w:hideMark/>
          </w:tcPr>
          <w:p w14:paraId="5969104A"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Erodes trust</w:t>
            </w:r>
          </w:p>
        </w:tc>
      </w:tr>
      <w:tr w:rsidR="000E2265" w:rsidRPr="001137CA" w14:paraId="7DEDFA87" w14:textId="77777777" w:rsidTr="000845B9">
        <w:trPr>
          <w:trHeight w:val="285"/>
        </w:trPr>
        <w:tc>
          <w:tcPr>
            <w:tcW w:w="331" w:type="pct"/>
            <w:shd w:val="clear" w:color="auto" w:fill="auto"/>
            <w:noWrap/>
            <w:hideMark/>
          </w:tcPr>
          <w:p w14:paraId="35F61D4D"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f</w:t>
            </w:r>
          </w:p>
        </w:tc>
        <w:tc>
          <w:tcPr>
            <w:tcW w:w="717" w:type="pct"/>
            <w:gridSpan w:val="3"/>
            <w:shd w:val="clear" w:color="auto" w:fill="auto"/>
            <w:noWrap/>
            <w:hideMark/>
          </w:tcPr>
          <w:p w14:paraId="3DCEE1A6" w14:textId="48F70A28" w:rsidR="00C00050" w:rsidRPr="001137CA" w:rsidRDefault="001137CA" w:rsidP="00380533">
            <w:pPr>
              <w:spacing w:after="0" w:line="240" w:lineRule="auto"/>
              <w:rPr>
                <w:rFonts w:ascii="Arial" w:eastAsia="Times New Roman" w:hAnsi="Arial" w:cs="Arial"/>
                <w:color w:val="000000"/>
                <w:sz w:val="14"/>
                <w:szCs w:val="14"/>
                <w:lang w:val="en-AU" w:eastAsia="en-AU"/>
              </w:rPr>
            </w:pPr>
            <w:r>
              <w:rPr>
                <w:rFonts w:ascii="Arial" w:eastAsia="Times New Roman" w:hAnsi="Arial" w:cs="Arial"/>
                <w:color w:val="000000"/>
                <w:sz w:val="14"/>
                <w:szCs w:val="14"/>
                <w:lang w:eastAsia="en-AU"/>
              </w:rPr>
              <w:t>-</w:t>
            </w:r>
          </w:p>
        </w:tc>
        <w:tc>
          <w:tcPr>
            <w:tcW w:w="1051" w:type="pct"/>
            <w:shd w:val="clear" w:color="auto" w:fill="auto"/>
            <w:noWrap/>
            <w:hideMark/>
          </w:tcPr>
          <w:p w14:paraId="44B36C81"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Systemic</w:t>
            </w:r>
          </w:p>
        </w:tc>
        <w:tc>
          <w:tcPr>
            <w:tcW w:w="1448" w:type="pct"/>
            <w:shd w:val="clear" w:color="auto" w:fill="auto"/>
            <w:noWrap/>
            <w:hideMark/>
          </w:tcPr>
          <w:p w14:paraId="32566A7B"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Government officials and public servants</w:t>
            </w:r>
          </w:p>
        </w:tc>
        <w:tc>
          <w:tcPr>
            <w:tcW w:w="1453" w:type="pct"/>
            <w:gridSpan w:val="5"/>
            <w:shd w:val="clear" w:color="auto" w:fill="auto"/>
            <w:noWrap/>
            <w:hideMark/>
          </w:tcPr>
          <w:p w14:paraId="383FAD74"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Economic loss</w:t>
            </w:r>
          </w:p>
        </w:tc>
      </w:tr>
      <w:tr w:rsidR="000E2265" w:rsidRPr="001137CA" w14:paraId="2289E59B" w14:textId="77777777" w:rsidTr="000845B9">
        <w:trPr>
          <w:trHeight w:val="285"/>
        </w:trPr>
        <w:tc>
          <w:tcPr>
            <w:tcW w:w="331" w:type="pct"/>
            <w:shd w:val="clear" w:color="auto" w:fill="auto"/>
            <w:noWrap/>
            <w:hideMark/>
          </w:tcPr>
          <w:p w14:paraId="2DB10082"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g</w:t>
            </w:r>
          </w:p>
        </w:tc>
        <w:tc>
          <w:tcPr>
            <w:tcW w:w="717" w:type="pct"/>
            <w:gridSpan w:val="3"/>
            <w:shd w:val="clear" w:color="auto" w:fill="auto"/>
            <w:noWrap/>
            <w:hideMark/>
          </w:tcPr>
          <w:p w14:paraId="7A6D519E"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c>
          <w:tcPr>
            <w:tcW w:w="1051" w:type="pct"/>
            <w:shd w:val="clear" w:color="auto" w:fill="auto"/>
            <w:noWrap/>
            <w:hideMark/>
          </w:tcPr>
          <w:p w14:paraId="4EE104CC"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c>
          <w:tcPr>
            <w:tcW w:w="1448" w:type="pct"/>
            <w:shd w:val="clear" w:color="auto" w:fill="auto"/>
            <w:noWrap/>
            <w:hideMark/>
          </w:tcPr>
          <w:p w14:paraId="2981DD41"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Public safety and security authorities or regulators</w:t>
            </w:r>
          </w:p>
        </w:tc>
        <w:tc>
          <w:tcPr>
            <w:tcW w:w="1453" w:type="pct"/>
            <w:gridSpan w:val="5"/>
            <w:shd w:val="clear" w:color="auto" w:fill="auto"/>
            <w:noWrap/>
            <w:hideMark/>
          </w:tcPr>
          <w:p w14:paraId="7611C39A"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Social inequities</w:t>
            </w:r>
          </w:p>
        </w:tc>
      </w:tr>
      <w:tr w:rsidR="000E2265" w:rsidRPr="001137CA" w14:paraId="417E9682" w14:textId="77777777" w:rsidTr="000845B9">
        <w:trPr>
          <w:trHeight w:val="285"/>
        </w:trPr>
        <w:tc>
          <w:tcPr>
            <w:tcW w:w="331" w:type="pct"/>
            <w:shd w:val="clear" w:color="auto" w:fill="auto"/>
            <w:noWrap/>
            <w:hideMark/>
          </w:tcPr>
          <w:p w14:paraId="1F3A2C20"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h</w:t>
            </w:r>
          </w:p>
        </w:tc>
        <w:tc>
          <w:tcPr>
            <w:tcW w:w="717" w:type="pct"/>
            <w:gridSpan w:val="3"/>
            <w:shd w:val="clear" w:color="auto" w:fill="auto"/>
            <w:noWrap/>
            <w:hideMark/>
          </w:tcPr>
          <w:p w14:paraId="15BB7FAD"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c>
          <w:tcPr>
            <w:tcW w:w="1051" w:type="pct"/>
            <w:shd w:val="clear" w:color="auto" w:fill="auto"/>
            <w:noWrap/>
            <w:hideMark/>
          </w:tcPr>
          <w:p w14:paraId="551DBE3A"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c>
          <w:tcPr>
            <w:tcW w:w="1448" w:type="pct"/>
            <w:shd w:val="clear" w:color="auto" w:fill="auto"/>
            <w:noWrap/>
            <w:hideMark/>
          </w:tcPr>
          <w:p w14:paraId="7117A19E"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Intermediaries</w:t>
            </w:r>
          </w:p>
        </w:tc>
        <w:tc>
          <w:tcPr>
            <w:tcW w:w="1453" w:type="pct"/>
            <w:gridSpan w:val="5"/>
            <w:shd w:val="clear" w:color="auto" w:fill="auto"/>
            <w:noWrap/>
            <w:hideMark/>
          </w:tcPr>
          <w:p w14:paraId="32A00F7A"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Benefits or ns</w:t>
            </w:r>
          </w:p>
        </w:tc>
      </w:tr>
      <w:tr w:rsidR="000E2265" w:rsidRPr="001137CA" w14:paraId="3C236C08" w14:textId="77777777" w:rsidTr="000845B9">
        <w:trPr>
          <w:trHeight w:val="285"/>
        </w:trPr>
        <w:tc>
          <w:tcPr>
            <w:tcW w:w="331" w:type="pct"/>
            <w:shd w:val="clear" w:color="auto" w:fill="auto"/>
            <w:noWrap/>
            <w:hideMark/>
          </w:tcPr>
          <w:p w14:paraId="3060D53D"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proofErr w:type="spellStart"/>
            <w:r w:rsidRPr="001137CA">
              <w:rPr>
                <w:rFonts w:ascii="Arial" w:eastAsia="Times New Roman" w:hAnsi="Arial" w:cs="Arial"/>
                <w:color w:val="000000"/>
                <w:sz w:val="14"/>
                <w:szCs w:val="14"/>
                <w:lang w:eastAsia="en-AU"/>
              </w:rPr>
              <w:t>i</w:t>
            </w:r>
            <w:proofErr w:type="spellEnd"/>
          </w:p>
        </w:tc>
        <w:tc>
          <w:tcPr>
            <w:tcW w:w="717" w:type="pct"/>
            <w:gridSpan w:val="3"/>
            <w:shd w:val="clear" w:color="auto" w:fill="auto"/>
            <w:noWrap/>
            <w:hideMark/>
          </w:tcPr>
          <w:p w14:paraId="0DE1611A"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c>
          <w:tcPr>
            <w:tcW w:w="1051" w:type="pct"/>
            <w:shd w:val="clear" w:color="auto" w:fill="auto"/>
            <w:noWrap/>
            <w:hideMark/>
          </w:tcPr>
          <w:p w14:paraId="1A56D10E"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c>
          <w:tcPr>
            <w:tcW w:w="1448" w:type="pct"/>
            <w:shd w:val="clear" w:color="auto" w:fill="auto"/>
            <w:noWrap/>
            <w:hideMark/>
          </w:tcPr>
          <w:p w14:paraId="0F9EB8D1"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Community members</w:t>
            </w:r>
          </w:p>
        </w:tc>
        <w:tc>
          <w:tcPr>
            <w:tcW w:w="1453" w:type="pct"/>
            <w:gridSpan w:val="5"/>
            <w:shd w:val="clear" w:color="auto" w:fill="auto"/>
            <w:noWrap/>
            <w:hideMark/>
          </w:tcPr>
          <w:p w14:paraId="5724DC47"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NA</w:t>
            </w:r>
          </w:p>
        </w:tc>
      </w:tr>
      <w:tr w:rsidR="000E2265" w:rsidRPr="001137CA" w14:paraId="2CDDFE03" w14:textId="77777777" w:rsidTr="000845B9">
        <w:trPr>
          <w:trHeight w:val="285"/>
        </w:trPr>
        <w:tc>
          <w:tcPr>
            <w:tcW w:w="331" w:type="pct"/>
            <w:shd w:val="clear" w:color="auto" w:fill="auto"/>
            <w:noWrap/>
            <w:hideMark/>
          </w:tcPr>
          <w:p w14:paraId="35F43963"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j</w:t>
            </w:r>
          </w:p>
        </w:tc>
        <w:tc>
          <w:tcPr>
            <w:tcW w:w="717" w:type="pct"/>
            <w:gridSpan w:val="3"/>
            <w:shd w:val="clear" w:color="auto" w:fill="auto"/>
            <w:noWrap/>
            <w:hideMark/>
          </w:tcPr>
          <w:p w14:paraId="754A5391"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c>
          <w:tcPr>
            <w:tcW w:w="1051" w:type="pct"/>
            <w:shd w:val="clear" w:color="auto" w:fill="auto"/>
            <w:noWrap/>
            <w:hideMark/>
          </w:tcPr>
          <w:p w14:paraId="3F74E241"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c>
          <w:tcPr>
            <w:tcW w:w="1448" w:type="pct"/>
            <w:shd w:val="clear" w:color="auto" w:fill="auto"/>
            <w:noWrap/>
            <w:hideMark/>
          </w:tcPr>
          <w:p w14:paraId="0218A5C5"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General food supply chain stakeholders</w:t>
            </w:r>
          </w:p>
        </w:tc>
        <w:tc>
          <w:tcPr>
            <w:tcW w:w="1453" w:type="pct"/>
            <w:gridSpan w:val="5"/>
            <w:shd w:val="clear" w:color="auto" w:fill="auto"/>
            <w:noWrap/>
            <w:hideMark/>
          </w:tcPr>
          <w:p w14:paraId="069C14FE"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r>
      <w:tr w:rsidR="000E2265" w:rsidRPr="001137CA" w14:paraId="4613ECDA" w14:textId="77777777" w:rsidTr="000845B9">
        <w:trPr>
          <w:trHeight w:val="285"/>
        </w:trPr>
        <w:tc>
          <w:tcPr>
            <w:tcW w:w="331" w:type="pct"/>
            <w:shd w:val="clear" w:color="auto" w:fill="auto"/>
            <w:noWrap/>
            <w:hideMark/>
          </w:tcPr>
          <w:p w14:paraId="5B668A3A" w14:textId="3CDB1DEB" w:rsidR="00C00050" w:rsidRPr="001137CA" w:rsidRDefault="001137CA" w:rsidP="00380533">
            <w:pPr>
              <w:spacing w:after="0" w:line="240" w:lineRule="auto"/>
              <w:rPr>
                <w:rFonts w:ascii="Arial" w:eastAsia="Times New Roman" w:hAnsi="Arial" w:cs="Arial"/>
                <w:color w:val="000000"/>
                <w:sz w:val="14"/>
                <w:szCs w:val="14"/>
                <w:lang w:val="en-AU" w:eastAsia="en-AU"/>
              </w:rPr>
            </w:pPr>
            <w:r>
              <w:rPr>
                <w:rFonts w:ascii="Arial" w:eastAsia="Times New Roman" w:hAnsi="Arial" w:cs="Arial"/>
                <w:color w:val="000000"/>
                <w:sz w:val="14"/>
                <w:szCs w:val="14"/>
                <w:lang w:eastAsia="en-AU"/>
              </w:rPr>
              <w:t>k</w:t>
            </w:r>
          </w:p>
        </w:tc>
        <w:tc>
          <w:tcPr>
            <w:tcW w:w="717" w:type="pct"/>
            <w:gridSpan w:val="3"/>
            <w:shd w:val="clear" w:color="auto" w:fill="auto"/>
            <w:noWrap/>
            <w:hideMark/>
          </w:tcPr>
          <w:p w14:paraId="07D1B92A"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c>
          <w:tcPr>
            <w:tcW w:w="1051" w:type="pct"/>
            <w:shd w:val="clear" w:color="auto" w:fill="auto"/>
            <w:noWrap/>
            <w:hideMark/>
          </w:tcPr>
          <w:p w14:paraId="13B93336"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c>
          <w:tcPr>
            <w:tcW w:w="1448" w:type="pct"/>
            <w:shd w:val="clear" w:color="auto" w:fill="auto"/>
            <w:noWrap/>
            <w:hideMark/>
          </w:tcPr>
          <w:p w14:paraId="42EE65E0"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Systemic</w:t>
            </w:r>
          </w:p>
        </w:tc>
        <w:tc>
          <w:tcPr>
            <w:tcW w:w="1453" w:type="pct"/>
            <w:gridSpan w:val="5"/>
            <w:shd w:val="clear" w:color="auto" w:fill="auto"/>
            <w:noWrap/>
            <w:hideMark/>
          </w:tcPr>
          <w:p w14:paraId="4EC7123F" w14:textId="77777777" w:rsidR="00C00050" w:rsidRPr="001137CA" w:rsidRDefault="00C00050" w:rsidP="00380533">
            <w:pPr>
              <w:spacing w:after="0" w:line="240" w:lineRule="auto"/>
              <w:rPr>
                <w:rFonts w:ascii="Arial" w:eastAsia="Times New Roman" w:hAnsi="Arial" w:cs="Arial"/>
                <w:color w:val="000000"/>
                <w:sz w:val="14"/>
                <w:szCs w:val="14"/>
                <w:lang w:val="en-AU" w:eastAsia="en-AU"/>
              </w:rPr>
            </w:pPr>
            <w:r w:rsidRPr="001137CA">
              <w:rPr>
                <w:rFonts w:ascii="Arial" w:eastAsia="Times New Roman" w:hAnsi="Arial" w:cs="Arial"/>
                <w:color w:val="000000"/>
                <w:sz w:val="14"/>
                <w:szCs w:val="14"/>
                <w:lang w:eastAsia="en-AU"/>
              </w:rPr>
              <w:t>-</w:t>
            </w:r>
          </w:p>
        </w:tc>
      </w:tr>
      <w:tr w:rsidR="000845B9" w:rsidRPr="001137CA" w14:paraId="23338C29" w14:textId="77777777" w:rsidTr="000845B9">
        <w:trPr>
          <w:trHeight w:val="285"/>
        </w:trPr>
        <w:tc>
          <w:tcPr>
            <w:tcW w:w="5000" w:type="pct"/>
            <w:gridSpan w:val="11"/>
            <w:shd w:val="clear" w:color="auto" w:fill="auto"/>
            <w:noWrap/>
          </w:tcPr>
          <w:p w14:paraId="79E4A2F3" w14:textId="7A7C4903" w:rsidR="000845B9" w:rsidRDefault="000845B9" w:rsidP="00380533">
            <w:pPr>
              <w:spacing w:after="0" w:line="240" w:lineRule="auto"/>
              <w:rPr>
                <w:rFonts w:ascii="Arial" w:eastAsia="Times New Roman" w:hAnsi="Arial" w:cs="Arial"/>
                <w:color w:val="000000"/>
                <w:sz w:val="14"/>
                <w:szCs w:val="14"/>
                <w:lang w:eastAsia="en-AU"/>
              </w:rPr>
            </w:pPr>
            <w:r>
              <w:rPr>
                <w:rFonts w:ascii="Arial" w:eastAsia="Times New Roman" w:hAnsi="Arial" w:cs="Arial"/>
                <w:color w:val="000000"/>
                <w:sz w:val="14"/>
                <w:szCs w:val="14"/>
                <w:lang w:eastAsia="en-AU"/>
              </w:rPr>
              <w:t>† What</w:t>
            </w:r>
            <w:r w:rsidR="00AA5301">
              <w:rPr>
                <w:rFonts w:ascii="Arial" w:eastAsia="Times New Roman" w:hAnsi="Arial" w:cs="Arial"/>
                <w:color w:val="000000"/>
                <w:sz w:val="14"/>
                <w:szCs w:val="14"/>
                <w:lang w:eastAsia="en-AU"/>
              </w:rPr>
              <w:t xml:space="preserve"> type</w:t>
            </w:r>
            <w:r w:rsidR="00995375">
              <w:rPr>
                <w:rFonts w:ascii="Arial" w:eastAsia="Times New Roman" w:hAnsi="Arial" w:cs="Arial"/>
                <w:color w:val="000000"/>
                <w:sz w:val="14"/>
                <w:szCs w:val="14"/>
                <w:lang w:eastAsia="en-AU"/>
              </w:rPr>
              <w:t>/</w:t>
            </w:r>
            <w:r w:rsidR="00AA5301">
              <w:rPr>
                <w:rFonts w:ascii="Arial" w:eastAsia="Times New Roman" w:hAnsi="Arial" w:cs="Arial"/>
                <w:color w:val="000000"/>
                <w:sz w:val="14"/>
                <w:szCs w:val="14"/>
                <w:lang w:eastAsia="en-AU"/>
              </w:rPr>
              <w:t xml:space="preserve">s of corruption were </w:t>
            </w:r>
            <w:r w:rsidR="00C42557">
              <w:rPr>
                <w:rFonts w:ascii="Arial" w:eastAsia="Times New Roman" w:hAnsi="Arial" w:cs="Arial"/>
                <w:color w:val="000000"/>
                <w:sz w:val="14"/>
                <w:szCs w:val="14"/>
                <w:lang w:eastAsia="en-AU"/>
              </w:rPr>
              <w:t xml:space="preserve">identified in the studied food system context? </w:t>
            </w:r>
            <w:r w:rsidR="00AA5301">
              <w:rPr>
                <w:rFonts w:ascii="Arial" w:eastAsia="Times New Roman" w:hAnsi="Arial" w:cs="Arial"/>
                <w:color w:val="000000"/>
                <w:sz w:val="14"/>
                <w:szCs w:val="14"/>
                <w:lang w:eastAsia="en-AU"/>
              </w:rPr>
              <w:t xml:space="preserve"> </w:t>
            </w:r>
          </w:p>
          <w:p w14:paraId="20FC2F79" w14:textId="77777777" w:rsidR="00AA5301" w:rsidRDefault="00AA5301" w:rsidP="00380533">
            <w:pPr>
              <w:spacing w:after="0" w:line="240" w:lineRule="auto"/>
              <w:rPr>
                <w:rFonts w:ascii="Arial" w:eastAsia="Times New Roman" w:hAnsi="Arial" w:cs="Arial"/>
                <w:color w:val="000000"/>
                <w:sz w:val="14"/>
                <w:szCs w:val="14"/>
                <w:lang w:eastAsia="en-AU"/>
              </w:rPr>
            </w:pPr>
            <w:r>
              <w:rPr>
                <w:rFonts w:ascii="Arial" w:eastAsia="Times New Roman" w:hAnsi="Arial" w:cs="Arial"/>
                <w:color w:val="000000"/>
                <w:sz w:val="14"/>
                <w:szCs w:val="14"/>
                <w:lang w:eastAsia="en-AU"/>
              </w:rPr>
              <w:t xml:space="preserve">§ What food system area/s did corruption originate in the studied context? </w:t>
            </w:r>
          </w:p>
          <w:p w14:paraId="6097647D" w14:textId="35BEE731" w:rsidR="00AA5301" w:rsidRDefault="00362BF4" w:rsidP="00380533">
            <w:pPr>
              <w:spacing w:after="0" w:line="240" w:lineRule="auto"/>
              <w:rPr>
                <w:rFonts w:ascii="Arial" w:eastAsia="Times New Roman" w:hAnsi="Arial" w:cs="Arial"/>
                <w:color w:val="000000"/>
                <w:sz w:val="14"/>
                <w:szCs w:val="14"/>
                <w:lang w:eastAsia="en-AU"/>
              </w:rPr>
            </w:pPr>
            <w:r>
              <w:rPr>
                <w:rFonts w:ascii="Arial" w:eastAsia="Times New Roman" w:hAnsi="Arial" w:cs="Arial"/>
                <w:color w:val="000000"/>
                <w:sz w:val="14"/>
                <w:szCs w:val="14"/>
                <w:lang w:eastAsia="en-AU"/>
              </w:rPr>
              <w:t>Β</w:t>
            </w:r>
            <w:r w:rsidR="00AA5301">
              <w:rPr>
                <w:rFonts w:ascii="Arial" w:eastAsia="Times New Roman" w:hAnsi="Arial" w:cs="Arial"/>
                <w:color w:val="000000"/>
                <w:sz w:val="14"/>
                <w:szCs w:val="14"/>
                <w:lang w:eastAsia="en-AU"/>
              </w:rPr>
              <w:t xml:space="preserve"> Who were the stakeholders involved (instigators and recipients) in corruption in the studied context? </w:t>
            </w:r>
          </w:p>
          <w:p w14:paraId="7CBA2248" w14:textId="6E4F0451" w:rsidR="00AA5301" w:rsidRDefault="00362BF4" w:rsidP="00380533">
            <w:pPr>
              <w:spacing w:after="0" w:line="240" w:lineRule="auto"/>
              <w:rPr>
                <w:rFonts w:ascii="Arial" w:eastAsia="Times New Roman" w:hAnsi="Arial" w:cs="Arial"/>
                <w:color w:val="000000"/>
                <w:sz w:val="14"/>
                <w:szCs w:val="14"/>
                <w:lang w:eastAsia="en-AU"/>
              </w:rPr>
            </w:pPr>
            <w:r>
              <w:rPr>
                <w:rFonts w:ascii="Times New Roman" w:eastAsia="Times New Roman" w:hAnsi="Times New Roman" w:cs="Times New Roman"/>
                <w:color w:val="000000"/>
                <w:sz w:val="14"/>
                <w:szCs w:val="14"/>
                <w:lang w:eastAsia="en-AU"/>
              </w:rPr>
              <w:t>Α</w:t>
            </w:r>
            <w:r w:rsidR="00AA5301">
              <w:rPr>
                <w:rFonts w:ascii="Arial" w:eastAsia="Times New Roman" w:hAnsi="Arial" w:cs="Arial"/>
                <w:color w:val="000000"/>
                <w:sz w:val="14"/>
                <w:szCs w:val="14"/>
                <w:lang w:eastAsia="en-AU"/>
              </w:rPr>
              <w:t xml:space="preserve"> What were the impacts of corruption identified in the studied food system context?</w:t>
            </w:r>
          </w:p>
          <w:p w14:paraId="76F15414" w14:textId="62770B3B" w:rsidR="00C42557" w:rsidRPr="001137CA" w:rsidRDefault="00C42557" w:rsidP="00380533">
            <w:pPr>
              <w:spacing w:after="0" w:line="240" w:lineRule="auto"/>
              <w:rPr>
                <w:rFonts w:ascii="Arial" w:eastAsia="Times New Roman" w:hAnsi="Arial" w:cs="Arial"/>
                <w:color w:val="000000"/>
                <w:sz w:val="14"/>
                <w:szCs w:val="14"/>
                <w:lang w:eastAsia="en-AU"/>
              </w:rPr>
            </w:pPr>
            <w:r>
              <w:rPr>
                <w:rFonts w:ascii="Arial" w:eastAsia="Times New Roman" w:hAnsi="Arial" w:cs="Arial"/>
                <w:color w:val="000000"/>
                <w:sz w:val="14"/>
                <w:szCs w:val="14"/>
                <w:lang w:eastAsia="en-AU"/>
              </w:rPr>
              <w:t>NA</w:t>
            </w:r>
            <w:r w:rsidR="00B66FC4">
              <w:rPr>
                <w:rFonts w:ascii="Arial" w:eastAsia="Times New Roman" w:hAnsi="Arial" w:cs="Arial"/>
                <w:color w:val="000000"/>
                <w:sz w:val="14"/>
                <w:szCs w:val="14"/>
                <w:lang w:eastAsia="en-AU"/>
              </w:rPr>
              <w:t>:</w:t>
            </w:r>
            <w:r>
              <w:rPr>
                <w:rFonts w:ascii="Arial" w:eastAsia="Times New Roman" w:hAnsi="Arial" w:cs="Arial"/>
                <w:color w:val="000000"/>
                <w:sz w:val="14"/>
                <w:szCs w:val="14"/>
                <w:lang w:eastAsia="en-AU"/>
              </w:rPr>
              <w:t xml:space="preserve"> refers to the studies that did not report the impacts of </w:t>
            </w:r>
            <w:r w:rsidR="00015BBC">
              <w:rPr>
                <w:rFonts w:ascii="Arial" w:eastAsia="Times New Roman" w:hAnsi="Arial" w:cs="Arial"/>
                <w:color w:val="000000"/>
                <w:sz w:val="14"/>
                <w:szCs w:val="14"/>
                <w:lang w:eastAsia="en-AU"/>
              </w:rPr>
              <w:t>corruption and</w:t>
            </w:r>
            <w:r>
              <w:rPr>
                <w:rFonts w:ascii="Arial" w:eastAsia="Times New Roman" w:hAnsi="Arial" w:cs="Arial"/>
                <w:color w:val="000000"/>
                <w:sz w:val="14"/>
                <w:szCs w:val="14"/>
                <w:lang w:eastAsia="en-AU"/>
              </w:rPr>
              <w:t xml:space="preserve"> were classified as descriptive studies. </w:t>
            </w:r>
          </w:p>
        </w:tc>
      </w:tr>
      <w:tr w:rsidR="00D35CB3" w:rsidRPr="001137CA" w14:paraId="282FA048" w14:textId="77777777" w:rsidTr="00380533">
        <w:trPr>
          <w:trHeight w:val="285"/>
        </w:trPr>
        <w:tc>
          <w:tcPr>
            <w:tcW w:w="5000" w:type="pct"/>
            <w:gridSpan w:val="11"/>
            <w:shd w:val="clear" w:color="auto" w:fill="auto"/>
            <w:noWrap/>
            <w:vAlign w:val="center"/>
          </w:tcPr>
          <w:p w14:paraId="79F7882A" w14:textId="275833F4" w:rsidR="00D35CB3" w:rsidRPr="001137CA" w:rsidRDefault="00D35CB3" w:rsidP="00380533">
            <w:pPr>
              <w:spacing w:after="0" w:line="240" w:lineRule="auto"/>
              <w:jc w:val="center"/>
              <w:rPr>
                <w:rFonts w:ascii="Arial" w:eastAsia="Times New Roman" w:hAnsi="Arial" w:cs="Arial"/>
                <w:color w:val="000000"/>
                <w:sz w:val="14"/>
                <w:szCs w:val="14"/>
                <w:lang w:eastAsia="en-AU"/>
              </w:rPr>
            </w:pPr>
            <w:r>
              <w:rPr>
                <w:rFonts w:ascii="Arial" w:eastAsia="Times New Roman" w:hAnsi="Arial" w:cs="Arial"/>
                <w:color w:val="000000"/>
                <w:sz w:val="14"/>
                <w:szCs w:val="14"/>
                <w:lang w:eastAsia="en-AU"/>
              </w:rPr>
              <w:t>Study characteristic</w:t>
            </w:r>
            <w:r w:rsidR="00380533">
              <w:rPr>
                <w:rFonts w:ascii="Arial" w:eastAsia="Times New Roman" w:hAnsi="Arial" w:cs="Arial"/>
                <w:color w:val="000000"/>
                <w:sz w:val="14"/>
                <w:szCs w:val="14"/>
                <w:lang w:eastAsia="en-AU"/>
              </w:rPr>
              <w:t>s</w:t>
            </w:r>
          </w:p>
        </w:tc>
      </w:tr>
      <w:tr w:rsidR="000B21B4" w:rsidRPr="00A61595" w14:paraId="5C6FCDD2" w14:textId="09CBE0A6" w:rsidTr="00380533">
        <w:trPr>
          <w:trHeight w:val="285"/>
        </w:trPr>
        <w:tc>
          <w:tcPr>
            <w:tcW w:w="715" w:type="pct"/>
            <w:gridSpan w:val="2"/>
            <w:shd w:val="clear" w:color="auto" w:fill="auto"/>
            <w:noWrap/>
            <w:hideMark/>
          </w:tcPr>
          <w:p w14:paraId="44452A4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First author</w:t>
            </w:r>
          </w:p>
        </w:tc>
        <w:tc>
          <w:tcPr>
            <w:tcW w:w="192" w:type="pct"/>
            <w:shd w:val="clear" w:color="auto" w:fill="auto"/>
            <w:noWrap/>
            <w:hideMark/>
          </w:tcPr>
          <w:p w14:paraId="2C73A97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Year </w:t>
            </w:r>
          </w:p>
        </w:tc>
        <w:tc>
          <w:tcPr>
            <w:tcW w:w="2869" w:type="pct"/>
            <w:gridSpan w:val="4"/>
            <w:shd w:val="clear" w:color="auto" w:fill="auto"/>
            <w:noWrap/>
            <w:hideMark/>
          </w:tcPr>
          <w:p w14:paraId="53A42D6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sz w:val="14"/>
                <w:szCs w:val="14"/>
              </w:rPr>
              <w:t xml:space="preserve">Study domain </w:t>
            </w:r>
          </w:p>
        </w:tc>
        <w:tc>
          <w:tcPr>
            <w:tcW w:w="318" w:type="pct"/>
          </w:tcPr>
          <w:p w14:paraId="6D75ED2F" w14:textId="39132DB8" w:rsidR="000B21B4" w:rsidRPr="00A61595" w:rsidRDefault="000B21B4" w:rsidP="00380533">
            <w:pPr>
              <w:rPr>
                <w:rFonts w:ascii="Arial" w:hAnsi="Arial" w:cs="Arial"/>
                <w:sz w:val="14"/>
                <w:szCs w:val="14"/>
              </w:rPr>
            </w:pPr>
            <w:r w:rsidRPr="00A61595">
              <w:rPr>
                <w:rFonts w:ascii="Arial" w:hAnsi="Arial" w:cs="Arial"/>
                <w:color w:val="000000"/>
                <w:sz w:val="14"/>
                <w:szCs w:val="14"/>
              </w:rPr>
              <w:t>Corruption type</w:t>
            </w:r>
            <w:r w:rsidR="00512126">
              <w:rPr>
                <w:rFonts w:ascii="Arial" w:hAnsi="Arial" w:cs="Arial"/>
                <w:color w:val="000000"/>
                <w:sz w:val="14"/>
                <w:szCs w:val="14"/>
              </w:rPr>
              <w:t>/s</w:t>
            </w:r>
          </w:p>
        </w:tc>
        <w:tc>
          <w:tcPr>
            <w:tcW w:w="306" w:type="pct"/>
          </w:tcPr>
          <w:p w14:paraId="60191CB5" w14:textId="0253F133" w:rsidR="000B21B4" w:rsidRPr="00A61595" w:rsidRDefault="004B2360" w:rsidP="00380533">
            <w:pPr>
              <w:rPr>
                <w:rFonts w:ascii="Arial" w:hAnsi="Arial" w:cs="Arial"/>
                <w:sz w:val="14"/>
                <w:szCs w:val="14"/>
              </w:rPr>
            </w:pPr>
            <w:r>
              <w:rPr>
                <w:rFonts w:ascii="Arial" w:hAnsi="Arial" w:cs="Arial"/>
                <w:color w:val="000000"/>
                <w:sz w:val="14"/>
                <w:szCs w:val="14"/>
              </w:rPr>
              <w:t>Food system area</w:t>
            </w:r>
            <w:r w:rsidR="00512126">
              <w:rPr>
                <w:rFonts w:ascii="Arial" w:hAnsi="Arial" w:cs="Arial"/>
                <w:color w:val="000000"/>
                <w:sz w:val="14"/>
                <w:szCs w:val="14"/>
              </w:rPr>
              <w:t>/s</w:t>
            </w:r>
          </w:p>
        </w:tc>
        <w:tc>
          <w:tcPr>
            <w:tcW w:w="371" w:type="pct"/>
          </w:tcPr>
          <w:p w14:paraId="3E6F36AD" w14:textId="7A59A13A" w:rsidR="000B21B4" w:rsidRPr="00A61595" w:rsidRDefault="004B2360" w:rsidP="00380533">
            <w:pPr>
              <w:rPr>
                <w:rFonts w:ascii="Arial" w:hAnsi="Arial" w:cs="Arial"/>
                <w:sz w:val="14"/>
                <w:szCs w:val="14"/>
              </w:rPr>
            </w:pPr>
            <w:r>
              <w:rPr>
                <w:rFonts w:ascii="Arial" w:hAnsi="Arial" w:cs="Arial"/>
                <w:color w:val="000000"/>
                <w:sz w:val="14"/>
                <w:szCs w:val="14"/>
              </w:rPr>
              <w:t>Stakeholders involved</w:t>
            </w:r>
          </w:p>
        </w:tc>
        <w:tc>
          <w:tcPr>
            <w:tcW w:w="229" w:type="pct"/>
          </w:tcPr>
          <w:p w14:paraId="4B916C67" w14:textId="14950F2D" w:rsidR="000B21B4" w:rsidRPr="00A61595" w:rsidRDefault="002A44BB" w:rsidP="00380533">
            <w:pPr>
              <w:rPr>
                <w:rFonts w:ascii="Arial" w:hAnsi="Arial" w:cs="Arial"/>
                <w:sz w:val="14"/>
                <w:szCs w:val="14"/>
              </w:rPr>
            </w:pPr>
            <w:r>
              <w:rPr>
                <w:rFonts w:ascii="Arial" w:hAnsi="Arial" w:cs="Arial"/>
                <w:color w:val="000000"/>
                <w:sz w:val="14"/>
                <w:szCs w:val="14"/>
              </w:rPr>
              <w:t>I</w:t>
            </w:r>
            <w:r w:rsidR="000B21B4" w:rsidRPr="00A61595">
              <w:rPr>
                <w:rFonts w:ascii="Arial" w:hAnsi="Arial" w:cs="Arial"/>
                <w:color w:val="000000"/>
                <w:sz w:val="14"/>
                <w:szCs w:val="14"/>
              </w:rPr>
              <w:t>mpact</w:t>
            </w:r>
            <w:r>
              <w:rPr>
                <w:rFonts w:ascii="Arial" w:hAnsi="Arial" w:cs="Arial"/>
                <w:color w:val="000000"/>
                <w:sz w:val="14"/>
                <w:szCs w:val="14"/>
              </w:rPr>
              <w:t xml:space="preserve"> type</w:t>
            </w:r>
            <w:r w:rsidR="00512126">
              <w:rPr>
                <w:rFonts w:ascii="Arial" w:hAnsi="Arial" w:cs="Arial"/>
                <w:color w:val="000000"/>
                <w:sz w:val="14"/>
                <w:szCs w:val="14"/>
              </w:rPr>
              <w:t>/s</w:t>
            </w:r>
          </w:p>
        </w:tc>
      </w:tr>
      <w:tr w:rsidR="000B21B4" w:rsidRPr="00A61595" w14:paraId="66D5880E" w14:textId="59AF3740" w:rsidTr="00380533">
        <w:trPr>
          <w:trHeight w:val="285"/>
        </w:trPr>
        <w:tc>
          <w:tcPr>
            <w:tcW w:w="715" w:type="pct"/>
            <w:gridSpan w:val="2"/>
            <w:shd w:val="clear" w:color="auto" w:fill="auto"/>
            <w:noWrap/>
            <w:hideMark/>
          </w:tcPr>
          <w:p w14:paraId="4837CA9A" w14:textId="09EDCCCC"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Abdullah </w:t>
            </w:r>
            <w:r w:rsidRPr="00A61595">
              <w:rPr>
                <w:rFonts w:ascii="Arial" w:eastAsia="Times New Roman" w:hAnsi="Arial" w:cs="Arial"/>
                <w:sz w:val="14"/>
                <w:szCs w:val="14"/>
                <w:lang w:eastAsia="en-AU"/>
              </w:rPr>
              <w:fldChar w:fldCharType="begin"/>
            </w:r>
            <w:r w:rsidR="00EF10F9">
              <w:rPr>
                <w:rFonts w:ascii="Arial" w:eastAsia="Times New Roman" w:hAnsi="Arial" w:cs="Arial"/>
                <w:sz w:val="14"/>
                <w:szCs w:val="14"/>
                <w:lang w:eastAsia="en-AU"/>
              </w:rPr>
              <w:instrText xml:space="preserve"> ADDIN ZOTERO_ITEM CSL_CITATION {"citationID":"a13ea9lktdb","properties":{"formattedCitation":"(1)","plainCitation":"(1)","noteIndex":0},"citationItems":[{"id":18661,"uris":["http://zotero.org/groups/2477744/items/FJGANZ99"],"itemData":{"id":18661,"type":"article-journal","abstract":"The most challenging problem in today’s world is food insecurity, an estimated approximately 832 million people around the world suffer from a lack of adequate and healthy food on a regular basis for their life. This problem is likely to intensify around the world due to high political risk and weak institutions. Hence, this study utilizes the country-level data, covering 124 countries in Asia, Africa, Europe, Latin America, and the Caribbean between 1984-2018 to examine the impact of political risk and institutions on food security, proxied by Dietary energy supply (DES). We have finalized the System-GMM from Pooled-OLS, Fixed-effect, Difference-GMM, and System-GMM, to recover the potential endogeneity and unobserved heterogeneity of the independent variables. Our outcomes provide supportive evidence that internal and external conflicts, socioeconomic conditions, corruption, military in politics, religious tensions, ethnicity tensions, and poor quality of bureaucracy worsen food security in developed and developing countries. While government stability, the role of law and order, democratic accountability, and investment profile affect the food supply positively and significantly. © 2020 The Author(s). Published by Enviro Research Publishers.","container-title":"Current Research in Nutrition and Food Science","DOI":"10.12944/CRNFSJ.8.3.21","issue":"3","journalAbbreviation":"Current Research in Nutrition and Food Science","page":"924-941","title":"The impact of political risk and institutions on food security","URL":"https://www.scopus.com/inward/record.uri?eid=2-s2.0-85099806567&amp;doi=10.12944%2fCRNFSJ.8.3.21&amp;partnerID=40&amp;md5=fbe940b7251da915e3fd8a8224c8dfab","volume":"8","author":[{"literal":"Abdullah"},{"family":"Qingshi","given":"W."},{"family":"Awan","given":"M.A."},{"family":"Ashraf","given":"J."}],"issued":{"date-parts":[["2020"]]}}}],"schema":"https://github.com/citation-style-language/schema/raw/master/csl-citation.json"} </w:instrText>
            </w:r>
            <w:r w:rsidRPr="00A61595">
              <w:rPr>
                <w:rFonts w:ascii="Arial" w:eastAsia="Times New Roman" w:hAnsi="Arial" w:cs="Arial"/>
                <w:sz w:val="14"/>
                <w:szCs w:val="14"/>
                <w:lang w:eastAsia="en-AU"/>
              </w:rPr>
              <w:fldChar w:fldCharType="separate"/>
            </w:r>
            <w:r w:rsidR="00EF10F9" w:rsidRPr="00EF10F9">
              <w:rPr>
                <w:rFonts w:ascii="Arial" w:hAnsi="Arial" w:cs="Arial"/>
                <w:sz w:val="14"/>
              </w:rPr>
              <w:t>(1)</w:t>
            </w:r>
            <w:r w:rsidRPr="00A61595">
              <w:rPr>
                <w:rFonts w:ascii="Arial" w:eastAsia="Times New Roman" w:hAnsi="Arial" w:cs="Arial"/>
                <w:sz w:val="14"/>
                <w:szCs w:val="14"/>
                <w:lang w:eastAsia="en-AU"/>
              </w:rPr>
              <w:fldChar w:fldCharType="end"/>
            </w:r>
          </w:p>
        </w:tc>
        <w:tc>
          <w:tcPr>
            <w:tcW w:w="192" w:type="pct"/>
            <w:shd w:val="clear" w:color="auto" w:fill="auto"/>
            <w:noWrap/>
            <w:hideMark/>
          </w:tcPr>
          <w:p w14:paraId="1F64639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3712C9D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Political risk factors for food security</w:t>
            </w:r>
          </w:p>
        </w:tc>
        <w:tc>
          <w:tcPr>
            <w:tcW w:w="318" w:type="pct"/>
          </w:tcPr>
          <w:p w14:paraId="31E7771B" w14:textId="7F7C79B7"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17D10D05" w14:textId="6556558B"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49ED33DC" w14:textId="3C1C9D46"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h, </w:t>
            </w:r>
            <w:proofErr w:type="spellStart"/>
            <w:r w:rsidRPr="00A61595">
              <w:rPr>
                <w:rFonts w:ascii="Arial" w:hAnsi="Arial" w:cs="Arial"/>
                <w:color w:val="000000"/>
                <w:sz w:val="14"/>
                <w:szCs w:val="14"/>
              </w:rPr>
              <w:t>i</w:t>
            </w:r>
            <w:proofErr w:type="spellEnd"/>
          </w:p>
        </w:tc>
        <w:tc>
          <w:tcPr>
            <w:tcW w:w="229" w:type="pct"/>
          </w:tcPr>
          <w:p w14:paraId="2BEB5DDC" w14:textId="30CA4FDC"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03208477" w14:textId="5C66850F" w:rsidTr="00380533">
        <w:trPr>
          <w:trHeight w:val="285"/>
        </w:trPr>
        <w:tc>
          <w:tcPr>
            <w:tcW w:w="715" w:type="pct"/>
            <w:gridSpan w:val="2"/>
            <w:shd w:val="clear" w:color="auto" w:fill="auto"/>
            <w:noWrap/>
            <w:hideMark/>
          </w:tcPr>
          <w:p w14:paraId="28D16A36" w14:textId="19A24919"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Agnoli</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lang w:eastAsia="en-AU"/>
              </w:rPr>
              <w:fldChar w:fldCharType="begin"/>
            </w:r>
            <w:r w:rsidR="00EF10F9">
              <w:rPr>
                <w:rFonts w:ascii="Arial" w:eastAsia="Times New Roman" w:hAnsi="Arial" w:cs="Arial"/>
                <w:sz w:val="14"/>
                <w:szCs w:val="14"/>
                <w:lang w:eastAsia="en-AU"/>
              </w:rPr>
              <w:instrText xml:space="preserve"> ADDIN ZOTERO_ITEM CSL_CITATION {"citationID":"a268vo8pjpg","properties":{"formattedCitation":"(2)","plainCitation":"(2)","noteIndex":0},"citationItems":[{"id":18663,"uris":["http://zotero.org/groups/2477744/items/N9HDZGYG"],"itemData":{"id":18663,"type":"article-journal","abstract":"Purpose – In 2012, the European food industry was hit by a food fraud: horsemeat was found in pre-prepared foods, without any declaration on the package. This is commonly referred to as the “horsemeat scandal”. The purpose of this paper is to investigate consumers’ preferences across Europe for a selected ready meal, ready to heat (RTH) fresh lasagne, to consider whether the effects of potential food frauds on consumers’ choices can be mitigated by introducing enhanced standards of RTH products. Design/methodology/approach – An online survey was administered to 4,598 consumers of RTH lasagne in six European countries (Republic of Ireland, France, Italy, Spain, Germany and Norway), applying discrete choice experiments to estimate consumers’ willingness to pay for enhanced food safety standards and highlight differences between countries. Findings – Many similarities across countries emerged, as well as some differences. Consumers in Europe are highly concerned with the authenticity of the meat in ready meals and strongly prefer to know that ingredients are nationally sourced. Strong regional differences in price premiums exist for enhanced food safety standards. Originality/value – This research adds relevant insights in the analysis of consumers’ reaction to food fraud, providing practical guidelines on the most appropriate practices that producers should adopt and on the information to reduce food risk perception among consumers. This would prove beneficial for the food processing industry and the European Union. The survey is based on a representative sample of European consumers making this the largest cross-country study of this kind. © 2016, © Emerald Group Publishing Limited.","container-title":"British Food Journal","DOI":"10.1108/BFJ-04-2016-0176","issue":"8","journalAbbreviation":"British Food Journal","page":"1898-1913","title":"Food fraud and consumers’ choices in the wake of the horsemeat scandal","URL":"https://www.scopus.com/inward/record.uri?eid=2-s2.0-84979272963&amp;doi=10.1108%2fBFJ-04-2016-0176&amp;partnerID=40&amp;md5=67e3cc05aec1ba14ff32f920542b851f","volume":"118","author":[{"family":"Agnoli","given":"L."},{"family":"Capitello","given":"R."},{"family":"De Salvo","given":"M."},{"family":"Longo","given":"A."},{"family":"Boeri","given":"M."}],"issued":{"date-parts":[["2016"]]}}}],"schema":"https://github.com/citation-style-language/schema/raw/master/csl-citation.json"} </w:instrText>
            </w:r>
            <w:r w:rsidRPr="00A61595">
              <w:rPr>
                <w:rFonts w:ascii="Arial" w:eastAsia="Times New Roman" w:hAnsi="Arial" w:cs="Arial"/>
                <w:sz w:val="14"/>
                <w:szCs w:val="14"/>
                <w:lang w:eastAsia="en-AU"/>
              </w:rPr>
              <w:fldChar w:fldCharType="separate"/>
            </w:r>
            <w:r w:rsidR="00EF10F9" w:rsidRPr="00EF10F9">
              <w:rPr>
                <w:rFonts w:ascii="Arial" w:hAnsi="Arial" w:cs="Arial"/>
                <w:sz w:val="14"/>
              </w:rPr>
              <w:t>(2)</w:t>
            </w:r>
            <w:r w:rsidRPr="00A61595">
              <w:rPr>
                <w:rFonts w:ascii="Arial" w:eastAsia="Times New Roman" w:hAnsi="Arial" w:cs="Arial"/>
                <w:sz w:val="14"/>
                <w:szCs w:val="14"/>
                <w:lang w:eastAsia="en-AU"/>
              </w:rPr>
              <w:fldChar w:fldCharType="end"/>
            </w:r>
          </w:p>
        </w:tc>
        <w:tc>
          <w:tcPr>
            <w:tcW w:w="192" w:type="pct"/>
            <w:shd w:val="clear" w:color="auto" w:fill="auto"/>
            <w:noWrap/>
            <w:hideMark/>
          </w:tcPr>
          <w:p w14:paraId="04E46D6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5F74139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Consumer perceptions of food safety post food fraud scandal</w:t>
            </w:r>
          </w:p>
        </w:tc>
        <w:tc>
          <w:tcPr>
            <w:tcW w:w="318" w:type="pct"/>
          </w:tcPr>
          <w:p w14:paraId="640B7DFE" w14:textId="12E71D29"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27ED688B" w14:textId="47566FE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59D06C38" w14:textId="5A0FF218"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w:t>
            </w:r>
            <w:proofErr w:type="spellStart"/>
            <w:r w:rsidRPr="00A61595">
              <w:rPr>
                <w:rFonts w:ascii="Arial" w:hAnsi="Arial" w:cs="Arial"/>
                <w:color w:val="000000"/>
                <w:sz w:val="14"/>
                <w:szCs w:val="14"/>
              </w:rPr>
              <w:t>i</w:t>
            </w:r>
            <w:proofErr w:type="spellEnd"/>
          </w:p>
        </w:tc>
        <w:tc>
          <w:tcPr>
            <w:tcW w:w="229" w:type="pct"/>
          </w:tcPr>
          <w:p w14:paraId="2BD48460" w14:textId="30C76241"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1ADE3FB0" w14:textId="6C1121CA" w:rsidTr="00380533">
        <w:trPr>
          <w:trHeight w:val="285"/>
        </w:trPr>
        <w:tc>
          <w:tcPr>
            <w:tcW w:w="715" w:type="pct"/>
            <w:gridSpan w:val="2"/>
            <w:shd w:val="clear" w:color="auto" w:fill="auto"/>
            <w:noWrap/>
            <w:hideMark/>
          </w:tcPr>
          <w:p w14:paraId="11867F55" w14:textId="01639CC3"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Akerkar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{"citationID":"a2inu4oj51t","properties":{"formattedCitation":"(3)","plainCitation":"(3)","noteIndex":0},"citationItems":[{"id":17049,"uris":["http://zotero.org/groups/2477744/items/IIT7EJJY"],"itemData":{"id":17049,"type":"article-journal","abstract":"Sen's entitlement thesis rooted in social contract theory has been used to explain access to food, and is used by states to design social protection programs as transfer entitlements to diffuse food insecurities. Social protection programs have now burgeoned in several countries as a strategy to enable the poor to overcome risks, vulnerabilities and poverty. These social protection programs have inclusion and exclusion errors, which current theorization attributes mainly to political clientalism, social vulnerability, elite capture, targeting inefficiency, leakages and corruption, lack of information transparency and improper designing of social protection programs. This paper argues that the errors are due to a more fundamental assumption made in application of social contract and entitlement-based approach to social protection programing. It identifies an uncritical application of Sen's entitlement thesis to social protection programs, as leading to inclusion and exclusion errors. The main problematic, the paper shows is that the social contract-led entitlement thesis works within the domain of formal rights situated within the state-citizen relations, and as such, misses out on the non-formal entitlements and non-state influences that impact materialization of social protection programs in practice. Evidences from flood prone Bahraich, Uttar Pradesh, India indicate that non-state rules linked with clientele and patronage relations, moral and local political economies trump over formal rights to mediate social protection entitlement outcomes. Rather than abstract state-citizen social contract, it is the moral contracts of reciprocal exchanges with influential patrons embedded in the moral economy of the villages that ultimately ground the social protection entitlement claims of poor villagers. Conceptualizing this process of access as cultures of entitlement, the paper builds a framework for reinterpretation of entitlements and their outcomes, suggesting a recalibration of application of Sen's entitlement thesis to social protection programs. In conclusion it argues that Sen's entitlement thesis which is pitched at transfer of economic resources through social protection from the state to the poor is inadequate. Learning from social movements currently leading the transparency and accountability struggles in India, it calls for an instituting and recognition of accountability as new cultural resource and entitlement. In conclusion it argues that information, and accountability as new cultural entitlements, when mobilized through collective agency of the poor can potentially challenge the current cultures of entitlements evidenced in this paper that presently underlie social protection outcomes.","container-title":"World Development","DOI":"10.1016/j.worlddev.2016.06.004","journalAbbreviation":"World Development","page":"46-58","title":"Cultures of Entitlement and Social Protection: Evidence from Flood Prone Bahraich, Uttar Pradesh, India","URL":"https://search-proquest-com.ezproxy.library.yorku.ca/ibss/docview/1835027871/249F57A5E765425DPQ/10?accountid=15182","volume":"86","author":[{"family":"Akerkar","given":"Supriya"},{"family":"Joshi","given":"P. C."},{"family":"Fordham","given":"Maureen"}],"issued":{"date-parts":[["2016"]]}}}],"schema":"https://github.com/citation-style-language/schema/raw/master/csl-citation.json"}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w:t>
            </w:r>
            <w:r w:rsidRPr="00A61595">
              <w:rPr>
                <w:rFonts w:ascii="Arial" w:eastAsia="Times New Roman" w:hAnsi="Arial" w:cs="Arial"/>
                <w:sz w:val="14"/>
                <w:szCs w:val="14"/>
              </w:rPr>
              <w:fldChar w:fldCharType="end"/>
            </w:r>
          </w:p>
        </w:tc>
        <w:tc>
          <w:tcPr>
            <w:tcW w:w="192" w:type="pct"/>
            <w:shd w:val="clear" w:color="auto" w:fill="auto"/>
            <w:noWrap/>
            <w:hideMark/>
          </w:tcPr>
          <w:p w14:paraId="6FCF98E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7B4B829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Patronage and resource leakage in the distribution of government social and welfare programs</w:t>
            </w:r>
          </w:p>
        </w:tc>
        <w:tc>
          <w:tcPr>
            <w:tcW w:w="318" w:type="pct"/>
          </w:tcPr>
          <w:p w14:paraId="684A3BD7" w14:textId="023FB52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2E691E2" w14:textId="61158BF5"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6277385B" w14:textId="12A71A57"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h, </w:t>
            </w:r>
            <w:proofErr w:type="spellStart"/>
            <w:r w:rsidRPr="00A61595">
              <w:rPr>
                <w:rFonts w:ascii="Arial" w:hAnsi="Arial" w:cs="Arial"/>
                <w:color w:val="000000"/>
                <w:sz w:val="14"/>
                <w:szCs w:val="14"/>
              </w:rPr>
              <w:t>i</w:t>
            </w:r>
            <w:proofErr w:type="spellEnd"/>
          </w:p>
        </w:tc>
        <w:tc>
          <w:tcPr>
            <w:tcW w:w="229" w:type="pct"/>
          </w:tcPr>
          <w:p w14:paraId="12B9F02D" w14:textId="2FAA280A" w:rsidR="000B21B4" w:rsidRPr="00A61595" w:rsidRDefault="000B21B4" w:rsidP="00380533">
            <w:pPr>
              <w:rPr>
                <w:rFonts w:ascii="Arial" w:hAnsi="Arial" w:cs="Arial"/>
                <w:sz w:val="14"/>
                <w:szCs w:val="14"/>
              </w:rPr>
            </w:pPr>
            <w:r w:rsidRPr="00A61595">
              <w:rPr>
                <w:rFonts w:ascii="Arial" w:hAnsi="Arial" w:cs="Arial"/>
                <w:color w:val="000000"/>
                <w:sz w:val="14"/>
                <w:szCs w:val="14"/>
              </w:rPr>
              <w:t>f, g</w:t>
            </w:r>
          </w:p>
        </w:tc>
      </w:tr>
      <w:tr w:rsidR="000B21B4" w:rsidRPr="00A61595" w14:paraId="3A8E53DA" w14:textId="2DCED675" w:rsidTr="00380533">
        <w:trPr>
          <w:trHeight w:val="285"/>
        </w:trPr>
        <w:tc>
          <w:tcPr>
            <w:tcW w:w="715" w:type="pct"/>
            <w:gridSpan w:val="2"/>
            <w:shd w:val="clear" w:color="auto" w:fill="auto"/>
            <w:noWrap/>
            <w:hideMark/>
          </w:tcPr>
          <w:p w14:paraId="5B3E1296" w14:textId="7A4CA0C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Alguacil-Duarte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{"citationID":"a10vru7nd4j","properties":{"formattedCitation":"(4)","plainCitation":"(4)","noteIndex":0},"citationItems":[{"id":18664,"uris":["http://zotero.org/groups/2477744/items/AJNIHGPH"],"itemData":{"id":18664,"type":"article-journal","abstract":"It is difficult for small municipalities to ensure their urban water cycle complies with the principle of cost recovery established in the European Union (EU) Water Framework Directive. Unlike more populous municipalities, small municipalities face higher average production costs. However, at least in Spain, the price of water is, on average, lower in small municipalities. We question whether the low price of water in rural areas is due, at least in part, to people linked to agriculture, i.e., do farmers constitute a special interest group that hinders increases in the price of water? The main hypothesis was tested with data taken from Torre-Cardela, a municipality in southern Spain with close to 800 inhabitants. In the research a contingent valuation analysis was carried out to analyze respondents’ willingness to pay in the event of a hypothetical increase in the price of water to help cover the service costs. Contrary to expectations, the study yields no evidence that the agricultural population is more resistant to price rises than the rest of the citizens surveyed. In fact, results show that people involved in the agricultural sector would be willing to accept a hypothetical increase in water tariffs in between 15% and 25% over the current tariff, while for the rest of the population this same increase would be lower (in between 9% and 20%). © 2020 by the authors. Licensee MDPI, Basel, Switzerland.","container-title":"Water (Switzerland)","DOI":"10.3390/w12123509","issue":"12","journalAbbreviation":"Water (Switzerland)","title":"Urban water pricing and private interests’ lobbying in small rural communities","URL":"https://www.scopus.com/inward/record.uri?eid=2-s2.0-85098150508&amp;doi=10.3390%2fw12123509&amp;partnerID=40&amp;md5=1c098fabd141c9892b55bc9950bacdb8","volume":"12","author":[{"family":"Alguacil-Duarte","given":"F."},{"family":"González-Gómez","given":"F."},{"family":"Del Saz-Salazar","given":"S."}],"issued":{"date-parts":[["2020"]]}},"locator":"-"}],"schema":"https://github.com/citation-style-language/schema/raw/master/csl-citation.json"}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w:t>
            </w:r>
            <w:r w:rsidRPr="00A61595">
              <w:rPr>
                <w:rFonts w:ascii="Arial" w:eastAsia="Times New Roman" w:hAnsi="Arial" w:cs="Arial"/>
                <w:sz w:val="14"/>
                <w:szCs w:val="14"/>
              </w:rPr>
              <w:fldChar w:fldCharType="end"/>
            </w:r>
          </w:p>
        </w:tc>
        <w:tc>
          <w:tcPr>
            <w:tcW w:w="192" w:type="pct"/>
            <w:shd w:val="clear" w:color="auto" w:fill="auto"/>
            <w:noWrap/>
            <w:hideMark/>
          </w:tcPr>
          <w:p w14:paraId="775BE18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7059A7F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Political opportunism for re-election and low agricultural water prices</w:t>
            </w:r>
          </w:p>
        </w:tc>
        <w:tc>
          <w:tcPr>
            <w:tcW w:w="318" w:type="pct"/>
          </w:tcPr>
          <w:p w14:paraId="730623A3" w14:textId="7689F6B5"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4D921BF3" w14:textId="25CA668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9471D4E" w14:textId="60CB3A4E"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h, </w:t>
            </w:r>
            <w:proofErr w:type="spellStart"/>
            <w:r w:rsidRPr="00A61595">
              <w:rPr>
                <w:rFonts w:ascii="Arial" w:hAnsi="Arial" w:cs="Arial"/>
                <w:color w:val="000000"/>
                <w:sz w:val="14"/>
                <w:szCs w:val="14"/>
              </w:rPr>
              <w:t>i</w:t>
            </w:r>
            <w:proofErr w:type="spellEnd"/>
          </w:p>
        </w:tc>
        <w:tc>
          <w:tcPr>
            <w:tcW w:w="229" w:type="pct"/>
          </w:tcPr>
          <w:p w14:paraId="383C25FC" w14:textId="6F889B33"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2D5EE574" w14:textId="66B6DDB3" w:rsidTr="00380533">
        <w:trPr>
          <w:trHeight w:val="285"/>
        </w:trPr>
        <w:tc>
          <w:tcPr>
            <w:tcW w:w="715" w:type="pct"/>
            <w:gridSpan w:val="2"/>
            <w:shd w:val="clear" w:color="auto" w:fill="auto"/>
            <w:noWrap/>
            <w:hideMark/>
          </w:tcPr>
          <w:p w14:paraId="01339BDB" w14:textId="43C34F31"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Ali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{"citationID":"a16rnhpl0ca","properties":{"formattedCitation":"(5)","plainCitation":"(5)","noteIndex":0},"citationItems":[{"id":18552,"uris":["http://zotero.org/groups/2477744/items/5MK8JCEF"],"itemData":{"id":18552,"type":"article-journal","abstract":"This paper analyses the size of food and agribusiness firms in India in relationship to business enterprise characteristics, performance, and obstacles through surveying 515 food and agribusiness firms operating in different regions of India using the World Bank\"s Enterprise Survey 2014. Descriptive statistics, chi-square tests and analysis of variance were used to evaluate data using statistical software. Chi-square statistics identify significant differences in enterprise characteristics through examining firm size, location, gender ownership, type and age. An analysis of variance indicates significant differences in business performance across small, medium and large enterprises in term of input and output ratios. Obstacles facing firms are largely similar regardless of firm size in eleven of the sixteen business-obstacles surveyed. Results reveal that large enterprises perceive more challenges with telecommunication services, customs, trade regulations, and corruption, while small and medium firms face greater constraints gaining access to land and finance. This study is useful in helping to design policies that can efficiently support small and medium food and agribusiness enterprise development.","container-title":"International Food and Agribusiness Management Review","DOI":"10.22434/IFAMR2016.0024","issue":"4","journalAbbreviation":"International Food and Agribusiness Management Review","page":"53-64","title":"Performance of small and medium-sized food and agribusiness enterprises: Evidence from indian firms","volume":"19","author":[{"family":"Ali","given":"Jabir"}],"issued":{"date-parts":[["2016"]]}}}],"schema":"https://github.com/citation-style-language/schema/raw/master/csl-citation.json"}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w:t>
            </w:r>
            <w:r w:rsidRPr="00A61595">
              <w:rPr>
                <w:rFonts w:ascii="Arial" w:eastAsia="Times New Roman" w:hAnsi="Arial" w:cs="Arial"/>
                <w:sz w:val="14"/>
                <w:szCs w:val="14"/>
              </w:rPr>
              <w:fldChar w:fldCharType="end"/>
            </w:r>
          </w:p>
        </w:tc>
        <w:tc>
          <w:tcPr>
            <w:tcW w:w="192" w:type="pct"/>
            <w:shd w:val="clear" w:color="auto" w:fill="auto"/>
            <w:noWrap/>
            <w:hideMark/>
          </w:tcPr>
          <w:p w14:paraId="33EEC2E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299DFF7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Corruption and the size of food and agribusiness firms</w:t>
            </w:r>
          </w:p>
        </w:tc>
        <w:tc>
          <w:tcPr>
            <w:tcW w:w="318" w:type="pct"/>
          </w:tcPr>
          <w:p w14:paraId="106404B5" w14:textId="5502EE0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68153DB6" w14:textId="6C715B0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1ED6488" w14:textId="53BD0982" w:rsidR="000B21B4" w:rsidRPr="00A61595" w:rsidRDefault="000B21B4" w:rsidP="00380533">
            <w:pPr>
              <w:rPr>
                <w:rFonts w:ascii="Arial" w:hAnsi="Arial" w:cs="Arial"/>
                <w:sz w:val="14"/>
                <w:szCs w:val="14"/>
              </w:rPr>
            </w:pPr>
            <w:r w:rsidRPr="00A61595">
              <w:rPr>
                <w:rFonts w:ascii="Arial" w:hAnsi="Arial" w:cs="Arial"/>
                <w:color w:val="000000"/>
                <w:sz w:val="14"/>
                <w:szCs w:val="14"/>
              </w:rPr>
              <w:t>d, j</w:t>
            </w:r>
          </w:p>
        </w:tc>
        <w:tc>
          <w:tcPr>
            <w:tcW w:w="229" w:type="pct"/>
          </w:tcPr>
          <w:p w14:paraId="5B368115" w14:textId="1622997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45EE1C82" w14:textId="486650E2" w:rsidTr="00380533">
        <w:trPr>
          <w:trHeight w:val="285"/>
        </w:trPr>
        <w:tc>
          <w:tcPr>
            <w:tcW w:w="715" w:type="pct"/>
            <w:gridSpan w:val="2"/>
            <w:shd w:val="clear" w:color="auto" w:fill="auto"/>
            <w:noWrap/>
            <w:hideMark/>
          </w:tcPr>
          <w:p w14:paraId="2C956FD4" w14:textId="4507EC3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Al-Mutairi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{"citationID":"a1aq14enbpr","properties":{"formattedCitation":"(6)","plainCitation":"(6)","noteIndex":0},"citationItems":[{"id":17037,"uris":["http://zotero.org/groups/2477744/items/EXFPW3JN"],"itemData":{"id":17037,"type":"article-journal","abstract":"Corruption is a relatively neglected topic in studies of regulatory agencies. The label is applied to a wide range of deviations from behavioral standards ultimately derived from Weber's account of the ideals of Prussian bureaucracy. This paper draws on a study of the work of Saudi Food Inspectors to argue that it is unhelpful to reduce a complex phenomenon to simple allegations of malpractice that can be managed by disciplinary sanctions. Our data show that irregular behavior by street-level agents may be deeply embedded in the expectations that members of a society have of one another. It is less a matter of personal gain than of maintaining one's recognition as a fellow citizen. Such behavior is not easily changed through sanctions directed at individual inspectors. Our study does not exclude the possibility that irregular behavior can be motivated by personal gain, and properly managed by criminal or similar penalties. However, it does propose that research should be more sensitive to the contexts within which irregular behavior occurs rather than treating “corruption” as a uniform and homogenous phenomenon.","container-title":"Regulation and Governance","DOI":"10.1111/rego.12247","issue":"4","journalAbbreviation":"Regulation and Governance","page":"507-519","title":"Understanding “corruption” in regulatory agencies: The case of food inspection in Saudi Arabia","volume":"13","author":[{"family":"Al-Mutairi","given":"Saad"},{"family":"Connerton","given":"Ian"},{"family":"Dingwall","given":"Robert"}],"issued":{"date-parts":[["2019"]]}}}],"schema":"https://github.com/citation-style-language/schema/raw/master/csl-citation.json"}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(6)</w:t>
            </w:r>
            <w:r w:rsidRPr="00A61595">
              <w:rPr>
                <w:rFonts w:ascii="Arial" w:eastAsia="Times New Roman" w:hAnsi="Arial" w:cs="Arial"/>
                <w:sz w:val="14"/>
                <w:szCs w:val="14"/>
              </w:rPr>
              <w:fldChar w:fldCharType="end"/>
            </w:r>
          </w:p>
        </w:tc>
        <w:tc>
          <w:tcPr>
            <w:tcW w:w="192" w:type="pct"/>
            <w:shd w:val="clear" w:color="auto" w:fill="auto"/>
            <w:noWrap/>
            <w:hideMark/>
          </w:tcPr>
          <w:p w14:paraId="7BEFE5F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06715C49" w14:textId="708DC76E"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Exploration of corruption</w:t>
            </w:r>
            <w:r w:rsidR="00362BF4">
              <w:rPr>
                <w:rFonts w:ascii="Arial" w:eastAsia="Times New Roman" w:hAnsi="Arial" w:cs="Arial"/>
                <w:color w:val="000000" w:themeColor="text1"/>
                <w:sz w:val="14"/>
                <w:szCs w:val="14"/>
              </w:rPr>
              <w:t>’</w:t>
            </w:r>
            <w:r w:rsidRPr="00A61595">
              <w:rPr>
                <w:rFonts w:ascii="Arial" w:eastAsia="Times New Roman" w:hAnsi="Arial" w:cs="Arial"/>
                <w:color w:val="000000" w:themeColor="text1"/>
                <w:sz w:val="14"/>
                <w:szCs w:val="14"/>
              </w:rPr>
              <w:t>s influence on food inspection</w:t>
            </w:r>
          </w:p>
        </w:tc>
        <w:tc>
          <w:tcPr>
            <w:tcW w:w="318" w:type="pct"/>
          </w:tcPr>
          <w:p w14:paraId="1839C219" w14:textId="3093C28B" w:rsidR="000B21B4" w:rsidRPr="00A61595" w:rsidRDefault="000B21B4" w:rsidP="00380533">
            <w:pPr>
              <w:rPr>
                <w:rFonts w:ascii="Arial" w:hAnsi="Arial" w:cs="Arial"/>
                <w:sz w:val="14"/>
                <w:szCs w:val="14"/>
              </w:rPr>
            </w:pPr>
            <w:r w:rsidRPr="00A61595">
              <w:rPr>
                <w:rFonts w:ascii="Arial" w:hAnsi="Arial" w:cs="Arial"/>
                <w:color w:val="000000"/>
                <w:sz w:val="14"/>
                <w:szCs w:val="14"/>
              </w:rPr>
              <w:t>a, b, e</w:t>
            </w:r>
          </w:p>
        </w:tc>
        <w:tc>
          <w:tcPr>
            <w:tcW w:w="306" w:type="pct"/>
          </w:tcPr>
          <w:p w14:paraId="7AD8044F" w14:textId="2F9B124F"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4C2A32A0" w14:textId="6B1A22EF" w:rsidR="000B21B4" w:rsidRPr="00A61595" w:rsidRDefault="000B21B4" w:rsidP="00380533">
            <w:pPr>
              <w:rPr>
                <w:rFonts w:ascii="Arial" w:hAnsi="Arial" w:cs="Arial"/>
                <w:sz w:val="14"/>
                <w:szCs w:val="14"/>
              </w:rPr>
            </w:pPr>
            <w:r w:rsidRPr="00A61595">
              <w:rPr>
                <w:rFonts w:ascii="Arial" w:hAnsi="Arial" w:cs="Arial"/>
                <w:color w:val="000000"/>
                <w:sz w:val="14"/>
                <w:szCs w:val="14"/>
              </w:rPr>
              <w:t>e, g</w:t>
            </w:r>
          </w:p>
        </w:tc>
        <w:tc>
          <w:tcPr>
            <w:tcW w:w="229" w:type="pct"/>
          </w:tcPr>
          <w:p w14:paraId="09E4FB92" w14:textId="64BB1A8A"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r>
      <w:tr w:rsidR="000B21B4" w:rsidRPr="00A61595" w14:paraId="4787AD9B" w14:textId="78F619BD" w:rsidTr="00380533">
        <w:trPr>
          <w:trHeight w:val="285"/>
        </w:trPr>
        <w:tc>
          <w:tcPr>
            <w:tcW w:w="715" w:type="pct"/>
            <w:gridSpan w:val="2"/>
            <w:shd w:val="clear" w:color="auto" w:fill="auto"/>
            <w:noWrap/>
            <w:hideMark/>
          </w:tcPr>
          <w:p w14:paraId="5AC885B6" w14:textId="579A5B2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Angeles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{"citationID":"ad1283ubnk","properties":{"formattedCitation":"(7)","plainCitation":"(7)","noteIndex":0},"citationItems":[{"id":17135,"uris":["http://zotero.org/groups/2477744/items/P3MXM25T"],"itemData":{"id":17135,"type":"article-journal","abstract":"This paper on the rural political sociology of a Philippine province relates the strategies of political resilience of landed oligarchies to the political dimension of the agrarian question in the Philippines. Bukidnon in Northern Mindanao is used to illustrate how pioneer agrarian families have protected their economic privileges and survived the political challenge posed by migrant politicians. Despite differences in their economic bases and social backgrounds, pioneer families and migrant politicians share strategies of political entrepreneurship and rent-seeking that have maintained oligarchic rule: (1) establishment and maintenance of kinship networks, through intermarriage, and non-kinship, ritual ties; (2) diversification into non-agricultural economic activities; (3) control of political parties and state patronage (primarily electoral) machinery; (4) cooptation or mobilization of political symbols, issues, and movements; (5) use of political power to obstruct progressive legislation, particularly on land reform and taxation; and (6) the strategic management of political violence. Analysis of provincial and national political dynamics, as played out in Bukidnon, shows how the nexus of property, power, and privilege is consolidated, contested, and reconstructed in the ongoing competition among Bukidnon elites. These strategies are integral to the political practices of a landed capitalist class and have serious implications for agrarian transition and industrialization in the Philippines.","container-title":"Rural Sociology","DOI":"10.1111/j.1549-0831.1999.tb00383.x","issue":"4","journalAbbreviation":"Rural Sociology","page":"667-692","title":"The political dimension in the agrarian question: Strategies of resilience and political entrepreneurship of agrarian elite families in a Philippine province","URL":"https://www.scopus.com/inward/record.uri?eid=2-s2.0-0033400514&amp;doi=10.1111%2fj.1549-0831.1999.tb00383.x&amp;partnerID=40&amp;md5=551a117b1759dad22e6862e2788b37b7","volume":"64","author":[{"family":"Angeles","given":"L.C."}],"issued":{"date-parts":[["1999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w:t>
            </w:r>
            <w:r w:rsidRPr="00A61595">
              <w:rPr>
                <w:rFonts w:ascii="Arial" w:eastAsia="Times New Roman" w:hAnsi="Arial" w:cs="Arial"/>
                <w:sz w:val="14"/>
                <w:szCs w:val="14"/>
              </w:rPr>
              <w:fldChar w:fldCharType="end"/>
            </w:r>
          </w:p>
        </w:tc>
        <w:tc>
          <w:tcPr>
            <w:tcW w:w="192" w:type="pct"/>
            <w:shd w:val="clear" w:color="auto" w:fill="auto"/>
            <w:noWrap/>
            <w:hideMark/>
          </w:tcPr>
          <w:p w14:paraId="59BE72D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1999</w:t>
            </w:r>
          </w:p>
        </w:tc>
        <w:tc>
          <w:tcPr>
            <w:tcW w:w="2869" w:type="pct"/>
            <w:gridSpan w:val="4"/>
            <w:shd w:val="clear" w:color="auto" w:fill="auto"/>
            <w:noWrap/>
            <w:hideMark/>
          </w:tcPr>
          <w:p w14:paraId="3A6B758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Political entrepreneurship and rent-seeking activities relating to agricultural taxes</w:t>
            </w:r>
          </w:p>
        </w:tc>
        <w:tc>
          <w:tcPr>
            <w:tcW w:w="318" w:type="pct"/>
          </w:tcPr>
          <w:p w14:paraId="1446604C" w14:textId="0CE26D0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6AE9082B" w14:textId="657C859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08EB3B2E" w14:textId="751D1371"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434A1A5E" w14:textId="777FDB5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702A7D43" w14:textId="7F0EC490" w:rsidTr="00380533">
        <w:trPr>
          <w:trHeight w:val="285"/>
        </w:trPr>
        <w:tc>
          <w:tcPr>
            <w:tcW w:w="715" w:type="pct"/>
            <w:gridSpan w:val="2"/>
            <w:shd w:val="clear" w:color="auto" w:fill="auto"/>
            <w:noWrap/>
            <w:hideMark/>
          </w:tcPr>
          <w:p w14:paraId="3B1BE1AF" w14:textId="6F0306E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lastRenderedPageBreak/>
              <w:t>Anik</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{"citationID":"atpm0bobbo","properties":{"formattedCitation":"(8)","plainCitation":"(8)","noteIndex":0},"citationItems":[{"id":17136,"uris":["http://zotero.org/groups/2477744/items/I5MB8T3G"],"itemData":{"id":17136,"type":"article-journal","abstract":"This article adds to the corruption literature by identifying factors influencing Bangladeshi farm households’ probability of experiencing corruption in different service sectors. The econometric results show that households’ probability of being exposed to corruption can largely be explained through their income and their relationship with different power entities. The direction of the relationship between income and corruption vary across services. Relatively rich households have a higher probability of experiencing corruption in sectors such as education, health and electricity. These households are less likely to experience corruption in local government and agricultural extension services. The results here are contrary to the common trend in corruption research that addresses households’ aggregate corruption experiences. Households with relationships with different power entities have a lower probability of experiencing corruption than their counterparts without these types of relationships. © 2007 University of Finance and Management in Warsaw &amp; Vizja Press&amp;IT.","container-title":"Contemporary Economics","DOI":"10.5709/ce.1897-9254.145","issue":"3","journalAbbreviation":"Contemporary Economics","page":"275-288","title":"Household income and relationships with different power entities as determinants of corruption","URL":"https://www.scopus.com/inward/record.uri?eid=2-s2.0-84907684449&amp;doi=10.5709%2fce.1897-9254.145&amp;partnerID=40&amp;md5=90b85ddad2185b32a0d1e963d6ff3d10","volume":"8","author":[{"family":"Anik","given":"A.R."},{"family":"Bauer","given":"S."}],"issued":{"date-parts":[["2014"]]}}}],"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w:t>
            </w:r>
            <w:r w:rsidRPr="00A61595">
              <w:rPr>
                <w:rFonts w:ascii="Arial" w:eastAsia="Times New Roman" w:hAnsi="Arial" w:cs="Arial"/>
                <w:sz w:val="14"/>
                <w:szCs w:val="14"/>
              </w:rPr>
              <w:fldChar w:fldCharType="end"/>
            </w:r>
          </w:p>
        </w:tc>
        <w:tc>
          <w:tcPr>
            <w:tcW w:w="192" w:type="pct"/>
            <w:shd w:val="clear" w:color="auto" w:fill="auto"/>
            <w:noWrap/>
            <w:hideMark/>
          </w:tcPr>
          <w:p w14:paraId="37ADD04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2014</w:t>
            </w:r>
          </w:p>
        </w:tc>
        <w:tc>
          <w:tcPr>
            <w:tcW w:w="2869" w:type="pct"/>
            <w:gridSpan w:val="4"/>
            <w:shd w:val="clear" w:color="auto" w:fill="auto"/>
            <w:noWrap/>
            <w:hideMark/>
          </w:tcPr>
          <w:p w14:paraId="14B49E5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Determinants of experiencing corruption in farming households</w:t>
            </w:r>
          </w:p>
        </w:tc>
        <w:tc>
          <w:tcPr>
            <w:tcW w:w="318" w:type="pct"/>
          </w:tcPr>
          <w:p w14:paraId="7497C36B" w14:textId="43488356"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7D30CA7E" w14:textId="4FE35308"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53D52FE5" w14:textId="5EF53D1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f, g, </w:t>
            </w:r>
            <w:proofErr w:type="spellStart"/>
            <w:r w:rsidRPr="00A61595">
              <w:rPr>
                <w:rFonts w:ascii="Arial" w:hAnsi="Arial" w:cs="Arial"/>
                <w:color w:val="000000"/>
                <w:sz w:val="14"/>
                <w:szCs w:val="14"/>
              </w:rPr>
              <w:t>i</w:t>
            </w:r>
            <w:proofErr w:type="spellEnd"/>
          </w:p>
        </w:tc>
        <w:tc>
          <w:tcPr>
            <w:tcW w:w="229" w:type="pct"/>
          </w:tcPr>
          <w:p w14:paraId="349B423A" w14:textId="013647E6"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7A0CBB2" w14:textId="1A70E52D" w:rsidTr="00380533">
        <w:trPr>
          <w:trHeight w:val="285"/>
        </w:trPr>
        <w:tc>
          <w:tcPr>
            <w:tcW w:w="715" w:type="pct"/>
            <w:gridSpan w:val="2"/>
            <w:shd w:val="clear" w:color="auto" w:fill="auto"/>
            <w:noWrap/>
            <w:hideMark/>
          </w:tcPr>
          <w:p w14:paraId="29146C80" w14:textId="3B06C91D"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Anik</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{"citationID":"adqc60n4iv","properties":{"formattedCitation":"(9)","plainCitation":"(9)","noteIndex":0},"citationItems":[{"id":17063,"uris":["http://zotero.org/groups/2477744/items/SS3XC6DC"],"itemData":{"id":17063,"type":"article-journal","abstract":"In this article, we have analyzed the impact of farm level corruption on households' food security using survey data collected from 210 Bangladeshi rice farmers. Econometric results confirm that the cost of corruption adversely affects households' calorie consumption. The marginal effect of corruption is higher for the low expenditure households relative to the high expenditure households. This happens because the high expenditure households exhibit more flexibility in terms of adjusting their budgets and hence, are able to cover the cost of corruption without affecting their food consumption, whereas for the low expenditure households such flexibility is limited and hence are forced to compromise on their food budget. Variables such as the better education of women and land holding also positively contribute to food security.","container-title":"FOOD SECURITY","DOI":"10.1007/s12571-013-0282-8","issue":"4","journalAbbreviation":"FOOD SECURITY","page":"565-574","title":"Impact of farm level corruption on the food security of households in Bangladesh","volume":"5","author":[{"family":"Anik","given":"Asif Reza"},{"family":"Manjunatha","given":"A V"},{"family":"Bauer","given":"Siegfried"}],"issued":{"date-parts":[["2013"]]}}}],"schema":"https://github.com/citation-style-language/schema/raw/master/csl-citation.json"}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w:t>
            </w:r>
            <w:r w:rsidRPr="00A61595">
              <w:rPr>
                <w:rFonts w:ascii="Arial" w:eastAsia="Times New Roman" w:hAnsi="Arial" w:cs="Arial"/>
                <w:sz w:val="14"/>
                <w:szCs w:val="14"/>
              </w:rPr>
              <w:fldChar w:fldCharType="end"/>
            </w:r>
          </w:p>
        </w:tc>
        <w:tc>
          <w:tcPr>
            <w:tcW w:w="192" w:type="pct"/>
            <w:shd w:val="clear" w:color="auto" w:fill="auto"/>
            <w:noWrap/>
            <w:hideMark/>
          </w:tcPr>
          <w:p w14:paraId="0F93396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2013</w:t>
            </w:r>
          </w:p>
        </w:tc>
        <w:tc>
          <w:tcPr>
            <w:tcW w:w="2869" w:type="pct"/>
            <w:gridSpan w:val="4"/>
            <w:shd w:val="clear" w:color="auto" w:fill="auto"/>
            <w:noWrap/>
            <w:hideMark/>
          </w:tcPr>
          <w:p w14:paraId="15AA0C2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Impact of corruption on the food security of rice farming households</w:t>
            </w:r>
          </w:p>
        </w:tc>
        <w:tc>
          <w:tcPr>
            <w:tcW w:w="318" w:type="pct"/>
          </w:tcPr>
          <w:p w14:paraId="78149FAD" w14:textId="5D921888"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306" w:type="pct"/>
          </w:tcPr>
          <w:p w14:paraId="4A3E9B42" w14:textId="48C3F797"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5ED70851" w14:textId="20FE420F" w:rsidR="000B21B4" w:rsidRPr="00A61595" w:rsidRDefault="000B21B4" w:rsidP="00380533">
            <w:pPr>
              <w:rPr>
                <w:rFonts w:ascii="Arial" w:hAnsi="Arial" w:cs="Arial"/>
                <w:sz w:val="14"/>
                <w:szCs w:val="14"/>
              </w:rPr>
            </w:pPr>
            <w:r w:rsidRPr="00A61595">
              <w:rPr>
                <w:rFonts w:ascii="Arial" w:hAnsi="Arial" w:cs="Arial"/>
                <w:color w:val="000000"/>
                <w:sz w:val="14"/>
                <w:szCs w:val="14"/>
              </w:rPr>
              <w:t>a, f, g</w:t>
            </w:r>
          </w:p>
        </w:tc>
        <w:tc>
          <w:tcPr>
            <w:tcW w:w="229" w:type="pct"/>
          </w:tcPr>
          <w:p w14:paraId="7A67075B" w14:textId="553909FF" w:rsidR="000B21B4" w:rsidRPr="00A61595" w:rsidRDefault="000B21B4" w:rsidP="00380533">
            <w:pPr>
              <w:rPr>
                <w:rFonts w:ascii="Arial" w:hAnsi="Arial" w:cs="Arial"/>
                <w:sz w:val="14"/>
                <w:szCs w:val="14"/>
              </w:rPr>
            </w:pPr>
            <w:r w:rsidRPr="00A61595">
              <w:rPr>
                <w:rFonts w:ascii="Arial" w:hAnsi="Arial" w:cs="Arial"/>
                <w:color w:val="000000"/>
                <w:sz w:val="14"/>
                <w:szCs w:val="14"/>
              </w:rPr>
              <w:t>d, f</w:t>
            </w:r>
          </w:p>
        </w:tc>
      </w:tr>
      <w:tr w:rsidR="000B21B4" w:rsidRPr="00A61595" w14:paraId="619618CE" w14:textId="08415F98" w:rsidTr="00380533">
        <w:trPr>
          <w:trHeight w:val="285"/>
        </w:trPr>
        <w:tc>
          <w:tcPr>
            <w:tcW w:w="715" w:type="pct"/>
            <w:gridSpan w:val="2"/>
            <w:shd w:val="clear" w:color="auto" w:fill="auto"/>
            <w:noWrap/>
            <w:hideMark/>
          </w:tcPr>
          <w:p w14:paraId="2EB346DA" w14:textId="221E0E47"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Anik</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{"citationID":"a1r2asj8u31","properties":{"formattedCitation":"(10)","plainCitation":"(10)","noteIndex":0},"citationItems":[{"id":17053,"uris":["http://zotero.org/groups/2477744/items/Z2XIP6N2"],"itemData":{"id":17053,"type":"article-journal","abstract":"The article explores the household-level determinants of corruption and its different forms in Bangladesh. It also identifies the micro-level factors for which households pay different amount of bribe. To attain these objectives, experiences of 210 Bangladeshi farm households belonging to six different districts of the country are analyzed. The econometric analyses show that the households with higher expenditure are more likely to face corruption and bribery, and also pay a higher amount of bribe. However, these households are less likely to face the negligence of duty and nepotism or favouritism. Such differences in the impact of the expenditure variable can be argued to be the outcome of a situation where corruption is pervasive and the officials have the bribe maximizing objective. Relationships with different power entities reduce the households' probability to face corruption and its different forms, and can avoid a higher bribe payment. The results argue for several policy actions for combating corruption in the country.","container-title":"Agricultural Economics (Czech Republic)","DOI":"10.17221/41/2013-agricecon","issue":"10","journalAbbreviation":"Agricultural Economics (Czech Republic)","page":"478-488","title":"Why farm households have differences in corruption experiences? Evidences from Bangladesh","volume":"59","author":[{"family":"Anik","given":"Asif Reza"},{"family":"Bauer","given":"Siegfried"},{"family":"Alam","given":"Mohammad Jahangir"}],"issued":{"date-parts":[["2013"]]}}}],"schema":"https://github.com/citation-style-language/schema/raw/master/csl-citation.json"}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w:t>
            </w:r>
            <w:r w:rsidRPr="00A61595">
              <w:rPr>
                <w:rFonts w:ascii="Arial" w:eastAsia="Times New Roman" w:hAnsi="Arial" w:cs="Arial"/>
                <w:sz w:val="14"/>
                <w:szCs w:val="14"/>
              </w:rPr>
              <w:fldChar w:fldCharType="end"/>
            </w:r>
          </w:p>
        </w:tc>
        <w:tc>
          <w:tcPr>
            <w:tcW w:w="192" w:type="pct"/>
            <w:shd w:val="clear" w:color="auto" w:fill="auto"/>
            <w:noWrap/>
            <w:hideMark/>
          </w:tcPr>
          <w:p w14:paraId="2EB1F535"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2013</w:t>
            </w:r>
          </w:p>
        </w:tc>
        <w:tc>
          <w:tcPr>
            <w:tcW w:w="2869" w:type="pct"/>
            <w:gridSpan w:val="4"/>
            <w:shd w:val="clear" w:color="auto" w:fill="auto"/>
            <w:noWrap/>
            <w:hideMark/>
          </w:tcPr>
          <w:p w14:paraId="5EAB02C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Household-level determinants of corruption and its different forms</w:t>
            </w:r>
          </w:p>
        </w:tc>
        <w:tc>
          <w:tcPr>
            <w:tcW w:w="318" w:type="pct"/>
          </w:tcPr>
          <w:p w14:paraId="4EFD0988" w14:textId="3D76F778"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5C6392E7" w14:textId="180095C2"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7307825B" w14:textId="697DF1D1" w:rsidR="000B21B4" w:rsidRPr="00A61595" w:rsidRDefault="000B21B4" w:rsidP="00380533">
            <w:pPr>
              <w:rPr>
                <w:rFonts w:ascii="Arial" w:hAnsi="Arial" w:cs="Arial"/>
                <w:sz w:val="14"/>
                <w:szCs w:val="14"/>
              </w:rPr>
            </w:pPr>
            <w:r w:rsidRPr="00A61595">
              <w:rPr>
                <w:rFonts w:ascii="Arial" w:hAnsi="Arial" w:cs="Arial"/>
                <w:color w:val="000000"/>
                <w:sz w:val="14"/>
                <w:szCs w:val="14"/>
              </w:rPr>
              <w:t>a, g</w:t>
            </w:r>
          </w:p>
        </w:tc>
        <w:tc>
          <w:tcPr>
            <w:tcW w:w="229" w:type="pct"/>
          </w:tcPr>
          <w:p w14:paraId="0220C01E" w14:textId="1FB2BD90"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977C308" w14:textId="271F009A" w:rsidTr="00380533">
        <w:trPr>
          <w:trHeight w:val="285"/>
        </w:trPr>
        <w:tc>
          <w:tcPr>
            <w:tcW w:w="715" w:type="pct"/>
            <w:gridSpan w:val="2"/>
            <w:shd w:val="clear" w:color="auto" w:fill="auto"/>
            <w:noWrap/>
            <w:hideMark/>
          </w:tcPr>
          <w:p w14:paraId="56427D7D" w14:textId="5C2F5065"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Ariabod</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{"citationID":"a1fl8ku73is","properties":{"formattedCitation":"(11)","plainCitation":"(11)","noteIndex":0},"citationItems":[{"id":18624,"uris":["http://zotero.org/groups/2477744/items/MPF6D3LI"],"itemData":{"id":18624,"type":"article-journal","abstract":"Agriculture is a key sector for almost all developing countries. One of the factors influencing agricultural production improvement is government intervention and its important role in improving good governance indicators. This study examines the impact of governance on total agricultural output in developing nations. To address these issues, this paper estimates the panel data regression model. The data of Governance Indicators (GI) is provided by the World Bank. Findings/Originality: The main results suggest a reverse association between overall GI and agricultural growth. In addition, among the six individual GI, control of corruption has the highest impact. It implies that the governance has not addressed the problems in the agricultural sector. On the other hands, the development of agriculture sector is still mainly supported by the economic inputs. It is explained by the evidence that the inputs have positive and significant effect on the value of agricultural production.","container-title":"ECONOMIC JOURNAL OF EMERGING MARKETS","DOI":"10.20885/ejem.vol11.iss1.art7","issue":"1","journalAbbreviation":"ECONOMIC JOURNAL OF EMERGING MARKETS","page":"73-80","title":"Governance and agricultural growth: Evidence from selected developing countries","volume":"11","author":[{"family":"Ariabod","given":"Aida"},{"family":"Moghaddasi","given":"Reza"},{"family":"Zeraatkish","given":"Yaa'ghoub"},{"family":"Nejad","given":"Amir Mohammadi"}],"issued":{"date-parts":[["2019"]]}}}],"schema":"https://github.com/citation-style-language/schema/raw/master/csl-citation.json"}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w:t>
            </w:r>
            <w:r w:rsidRPr="00A61595">
              <w:rPr>
                <w:rFonts w:ascii="Arial" w:eastAsia="Times New Roman" w:hAnsi="Arial" w:cs="Arial"/>
                <w:sz w:val="14"/>
                <w:szCs w:val="14"/>
              </w:rPr>
              <w:fldChar w:fldCharType="end"/>
            </w:r>
          </w:p>
        </w:tc>
        <w:tc>
          <w:tcPr>
            <w:tcW w:w="192" w:type="pct"/>
            <w:shd w:val="clear" w:color="auto" w:fill="auto"/>
            <w:noWrap/>
            <w:hideMark/>
          </w:tcPr>
          <w:p w14:paraId="4FD4F86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1C1129A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impact of governance on total agricultural output</w:t>
            </w:r>
          </w:p>
        </w:tc>
        <w:tc>
          <w:tcPr>
            <w:tcW w:w="318" w:type="pct"/>
          </w:tcPr>
          <w:p w14:paraId="6B66CBC4" w14:textId="6D6A5D6B"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61A40467" w14:textId="248ECC4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6C49DA54" w14:textId="15409EAF" w:rsidR="000B21B4" w:rsidRPr="00A61595" w:rsidRDefault="000B21B4" w:rsidP="00380533">
            <w:pPr>
              <w:rPr>
                <w:rFonts w:ascii="Arial" w:hAnsi="Arial" w:cs="Arial"/>
                <w:sz w:val="14"/>
                <w:szCs w:val="14"/>
              </w:rPr>
            </w:pPr>
            <w:r w:rsidRPr="00A61595">
              <w:rPr>
                <w:rFonts w:ascii="Arial" w:hAnsi="Arial" w:cs="Arial"/>
                <w:color w:val="000000"/>
                <w:sz w:val="14"/>
                <w:szCs w:val="14"/>
              </w:rPr>
              <w:t>a, f, j</w:t>
            </w:r>
          </w:p>
        </w:tc>
        <w:tc>
          <w:tcPr>
            <w:tcW w:w="229" w:type="pct"/>
          </w:tcPr>
          <w:p w14:paraId="6849AC78" w14:textId="6B146AF3"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176A672" w14:textId="0957E225" w:rsidTr="00380533">
        <w:trPr>
          <w:trHeight w:val="285"/>
        </w:trPr>
        <w:tc>
          <w:tcPr>
            <w:tcW w:w="715" w:type="pct"/>
            <w:gridSpan w:val="2"/>
            <w:shd w:val="clear" w:color="auto" w:fill="auto"/>
            <w:noWrap/>
            <w:hideMark/>
          </w:tcPr>
          <w:p w14:paraId="6282022A" w14:textId="126EF7D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Ashby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{"citationID":"a7jc2hs0bv","properties":{"formattedCitation":"(12)","plainCitation":"(12)","noteIndex":0},"citationItems":[{"id":17061,"uris":["http://zotero.org/groups/2477744/items/IU7GM49I"],"itemData":{"id":17061,"type":"article-journal","abstract":"Organized crime is a disincentive for investment and business activity. We use murders as a proxy for presence of regional organized crime and study the relation between direct foreign investment and organized crime for different industries in Mexico. Our contribution is the focus on sectoral differences. The data is for net foreign direct investment from 116 countries into the 32 Mexican states from 2004 to 2010. Imputing causality, we find that organized crime deters foreign investment in financial services, commerce, and agriculture, but not oil and mining sectors for which we find increased crime associated with increased investment. There is no effect of organized crime on foreign investment in manufacturing. (C) 2013 Elsevier B.V. All rights reserved.","container-title":"EUROPEAN JOURNAL OF POLITICAL ECONOMY","DOI":"10.1016/j.ejpoleco.2013.01.006","journalAbbreviation":"EUROPEAN JOURNAL OF POLITICAL ECONOMY","page":"80-91","title":"Foreign direct investment and industry response to organized crime: The Mexican case","volume":"30","author":[{"family":"Ashby","given":"Nathan J"},{"family":"Ramos","given":"Miguel A"}],"issued":{"date-parts":[["2013"]]}}}],"schema":"https://github.com/citation-style-language/schema/raw/master/csl-citation.json"}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w:t>
            </w:r>
            <w:r w:rsidRPr="00A61595">
              <w:rPr>
                <w:rFonts w:ascii="Arial" w:eastAsia="Times New Roman" w:hAnsi="Arial" w:cs="Arial"/>
                <w:sz w:val="14"/>
                <w:szCs w:val="14"/>
              </w:rPr>
              <w:fldChar w:fldCharType="end"/>
            </w:r>
          </w:p>
        </w:tc>
        <w:tc>
          <w:tcPr>
            <w:tcW w:w="192" w:type="pct"/>
            <w:shd w:val="clear" w:color="auto" w:fill="auto"/>
            <w:noWrap/>
            <w:hideMark/>
          </w:tcPr>
          <w:p w14:paraId="3099F38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2013</w:t>
            </w:r>
          </w:p>
        </w:tc>
        <w:tc>
          <w:tcPr>
            <w:tcW w:w="2869" w:type="pct"/>
            <w:gridSpan w:val="4"/>
            <w:shd w:val="clear" w:color="auto" w:fill="auto"/>
            <w:noWrap/>
            <w:hideMark/>
          </w:tcPr>
          <w:p w14:paraId="221818A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Effects of organized crime on foreign direct investment and business activity</w:t>
            </w:r>
          </w:p>
        </w:tc>
        <w:tc>
          <w:tcPr>
            <w:tcW w:w="318" w:type="pct"/>
          </w:tcPr>
          <w:p w14:paraId="0B8B4E48" w14:textId="0B89DD0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7A46D367" w14:textId="42F127BD"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0A291FEA" w14:textId="388E6177" w:rsidR="000B21B4" w:rsidRPr="00A61595" w:rsidRDefault="000B21B4" w:rsidP="00380533">
            <w:pPr>
              <w:rPr>
                <w:rFonts w:ascii="Arial" w:hAnsi="Arial" w:cs="Arial"/>
                <w:sz w:val="14"/>
                <w:szCs w:val="14"/>
              </w:rPr>
            </w:pPr>
            <w:r w:rsidRPr="00A61595">
              <w:rPr>
                <w:rFonts w:ascii="Arial" w:hAnsi="Arial" w:cs="Arial"/>
                <w:color w:val="000000"/>
                <w:sz w:val="14"/>
                <w:szCs w:val="14"/>
              </w:rPr>
              <w:t>d, f, h, j</w:t>
            </w:r>
          </w:p>
        </w:tc>
        <w:tc>
          <w:tcPr>
            <w:tcW w:w="229" w:type="pct"/>
          </w:tcPr>
          <w:p w14:paraId="66BA1378" w14:textId="493DE9F9"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r>
      <w:tr w:rsidR="000B21B4" w:rsidRPr="00A61595" w14:paraId="64CF39F4" w14:textId="6745C3D4" w:rsidTr="00380533">
        <w:trPr>
          <w:trHeight w:val="285"/>
        </w:trPr>
        <w:tc>
          <w:tcPr>
            <w:tcW w:w="715" w:type="pct"/>
            <w:gridSpan w:val="2"/>
            <w:shd w:val="clear" w:color="auto" w:fill="auto"/>
            <w:noWrap/>
            <w:hideMark/>
          </w:tcPr>
          <w:p w14:paraId="0FDC2CD9" w14:textId="7ECB80F1"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Asiedu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{"citationID":"asonu2mgp1","properties":{"formattedCitation":"(13)","plainCitation":"(13)","noteIndex":0},"citationItems":[{"id":17138,"uris":["http://zotero.org/groups/2477744/items/2FJ62JGA"],"itemData":{"id":17138,"type":"article-journal","abstract":"The formation of physical capital in Sub-Saharan Africa (SSA) in agriculture is imperative to help the continent (1) overcome the effect of the COVID-19 pandemic on food insecurity and (2) still be on track towards achieving the Sustainable Development Goals (SDGs) of “No poverty” and “Zero hunger” in the midst of the COVID-19 pandemic. Using country-level data on 40 SSA countries from 1996 to 2014 and rainfall deviations as an instrument for agricultural official development assistance (ODA) in fixed-effect estimation settings, this paper examines the ‘instantaneous’ impact of agricultural ODA on agricultural fixed capital formation in SSA. The question here is whether aid to agriculture does translate instantaneously to building fixed capital urgently needed to address the effect of any potential crisis on food insecurity. Measuring agricultural fixed capital as fixed investments in farm machinery, dams, industrial buildings for agricultural and agro-processing, fences, ditches, drains, etc., we find that capital formation in SSA agriculture improves instantaneously with agricultural ODA inflows. Second, we find that even though rainfall deviations are associated with agricultural ODA inflows to SSA, institutions particularly those designed to control corruption and strengthen rule of law, do matter for agricultural aid inflows to SSA. These results suggest that agricultural ODA is necessary to accelerate agricultural investments and achieve food security. Our results are robust to sensitivity analysis on the specification of the instantaneous model. © 2020 Elsevier Ltd","container-title":"World Development Perspectives","DOI":"10.1016/j.wdp.2020.100269","journalAbbreviation":"World Development Perspectives","title":"Aid to Africa's agriculture towards building physical capital: Empirical evidence and implications for post-COVID-19 food insecurity","URL":"https://www.scopus.com/inward/record.uri?eid=2-s2.0-85092170404&amp;doi=10.1016%2fj.wdp.2020.100269&amp;partnerID=40&amp;md5=dba85c7c325fa7e47a4c625e141025b7","volume":"20","author":[{"family":"Asiedu","given":"E."},{"family":"Sadekla","given":"S.S."},{"family":"Bokpin","given":"G.A."}],"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w:t>
            </w:r>
            <w:r w:rsidRPr="00A61595">
              <w:rPr>
                <w:rFonts w:ascii="Arial" w:eastAsia="Times New Roman" w:hAnsi="Arial" w:cs="Arial"/>
                <w:sz w:val="14"/>
                <w:szCs w:val="14"/>
              </w:rPr>
              <w:fldChar w:fldCharType="end"/>
            </w:r>
          </w:p>
        </w:tc>
        <w:tc>
          <w:tcPr>
            <w:tcW w:w="192" w:type="pct"/>
            <w:shd w:val="clear" w:color="auto" w:fill="auto"/>
            <w:noWrap/>
            <w:hideMark/>
          </w:tcPr>
          <w:p w14:paraId="0CB1349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6B9F997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Impact of Official Development Assistance on agricultural fixed capital formation</w:t>
            </w:r>
          </w:p>
        </w:tc>
        <w:tc>
          <w:tcPr>
            <w:tcW w:w="318" w:type="pct"/>
          </w:tcPr>
          <w:p w14:paraId="7A769C11" w14:textId="29C2B1A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334E2246" w14:textId="2D272F0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5785B90F" w14:textId="53444968"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229" w:type="pct"/>
          </w:tcPr>
          <w:p w14:paraId="4019684A" w14:textId="7DC0EC26"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r>
      <w:tr w:rsidR="000B21B4" w:rsidRPr="00A61595" w14:paraId="6C199D06" w14:textId="6D30780C" w:rsidTr="00380533">
        <w:trPr>
          <w:trHeight w:val="285"/>
        </w:trPr>
        <w:tc>
          <w:tcPr>
            <w:tcW w:w="715" w:type="pct"/>
            <w:gridSpan w:val="2"/>
            <w:shd w:val="clear" w:color="auto" w:fill="auto"/>
            <w:noWrap/>
            <w:hideMark/>
          </w:tcPr>
          <w:p w14:paraId="7CEF29AB" w14:textId="4D9CC3D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Atwood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{"citationID":"a14t91ep4nn","properties":{"formattedCitation":"(14)","plainCitation":"(14)","noteIndex":0},"citationItems":[{"id":18668,"uris":["http://zotero.org/groups/2477744/items/UWEYXQ42"],"itemData":{"id":18668,"type":"article-journal","abstract":"Producers who manipulate and switch their reported crop-yields between separately insured units can increase their insurance indemnities substantially. A statistical model that identifies potential yield switching is developed. The unrestricted statistical model is singular and is identified by imposing a mixture of system-estimable and system-nonestimable restrictions. Lower bound estimates of yield-switching fraud incidence and costs are obtained by applying the model to 207,067 multiple unit producers who purchased crop insurance in 1998. Copyright 2006 American Agricultural Economics Association.","container-title":"American Journal of Agricultural Economics","DOI":"10.1111/j.1467-8276.2006.00864.x","issue":"2","journalAbbreviation":"American Journal of Agricultural Economics","page":"365-381","title":"Estimating the prevalence and cost of yield-switching fraud in the federal crop insurance program","URL":"https://www.scopus.com/inward/record.uri?eid=2-s2.0-33645749245&amp;doi=10.1111%2fj.1467-8276.2006.00864.x&amp;partnerID=40&amp;md5=9bed545bbe90b07a880261d489b8b411","volume":"88","author":[{"family":"Atwood","given":"J.A."},{"family":"Robison-Cox","given":"J.F."},{"family":"Shaik","given":"S."}],"issued":{"date-parts":[["2006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w:t>
            </w:r>
            <w:r w:rsidRPr="00A61595">
              <w:rPr>
                <w:rFonts w:ascii="Arial" w:eastAsia="Times New Roman" w:hAnsi="Arial" w:cs="Arial"/>
                <w:sz w:val="14"/>
                <w:szCs w:val="14"/>
              </w:rPr>
              <w:fldChar w:fldCharType="end"/>
            </w:r>
          </w:p>
        </w:tc>
        <w:tc>
          <w:tcPr>
            <w:tcW w:w="192" w:type="pct"/>
            <w:shd w:val="clear" w:color="auto" w:fill="auto"/>
            <w:noWrap/>
            <w:hideMark/>
          </w:tcPr>
          <w:p w14:paraId="7E1E71C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2006</w:t>
            </w:r>
          </w:p>
        </w:tc>
        <w:tc>
          <w:tcPr>
            <w:tcW w:w="2869" w:type="pct"/>
            <w:gridSpan w:val="4"/>
            <w:shd w:val="clear" w:color="auto" w:fill="auto"/>
            <w:noWrap/>
            <w:hideMark/>
          </w:tcPr>
          <w:p w14:paraId="0E624C6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Fraud in the federal crop insurance program</w:t>
            </w:r>
          </w:p>
        </w:tc>
        <w:tc>
          <w:tcPr>
            <w:tcW w:w="318" w:type="pct"/>
          </w:tcPr>
          <w:p w14:paraId="777A4324" w14:textId="2911DBC9"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286EB3BE" w14:textId="2D29659E"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9F236A6" w14:textId="282C2FB3"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c>
          <w:tcPr>
            <w:tcW w:w="229" w:type="pct"/>
          </w:tcPr>
          <w:p w14:paraId="1C2741BE" w14:textId="422E9C93"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701259B3" w14:textId="1139963C" w:rsidTr="00380533">
        <w:trPr>
          <w:trHeight w:val="285"/>
        </w:trPr>
        <w:tc>
          <w:tcPr>
            <w:tcW w:w="715" w:type="pct"/>
            <w:gridSpan w:val="2"/>
            <w:shd w:val="clear" w:color="auto" w:fill="auto"/>
            <w:noWrap/>
            <w:hideMark/>
          </w:tcPr>
          <w:p w14:paraId="2DA9E352" w14:textId="2775901E"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Azzam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{"citationID":"a2cfhhki9ee","properties":{"formattedCitation":"(15)","plainCitation":"(15)","noteIndex":0},"citationItems":[{"id":18669,"uris":["http://zotero.org/groups/2477744/items/KJST9FJT"],"itemData":{"id":18669,"type":"article-journal","abstract":"The paper adapts and empirically implements the squared sales test developed by Jin [Inf. Econom. Policy 8 (1996) 75] to determine if the information pooling arrangement mandated by The Livestock Mandatory Reporting Act of 1999 in the US is collusive. Using cattle slaughter data from the five regions (Texas-Oklahoma, Kansas, Nebraska, Colorado, and Iowa-Minnesota) used by the US Department of Agriculture to report the information, we find information pooling to be non-collusive in Nebraska and neutral in the rest of the regions. One plausible explanation for the result is the linkage between the structure of the cattle-feeding industry, frequency of cattle marketing, and availability of information before and after the Act. © 2003 Elsevier B.V. All rights reserved.","container-title":"Information Economics and Policy","DOI":"10.1016/j.infoecopol.2003.10.003","issue":"2","journalAbbreviation":"Information Economics and Policy","page":"275-286","title":"Information pooling and collusion: An empirical analysis","URL":"https://www.scopus.com/inward/record.uri?eid=2-s2.0-2642517841&amp;doi=10.1016%2fj.infoecopol.2003.10.003&amp;partnerID=40&amp;md5=a98f5f7160e7faa4ba14daf360062ea6","volume":"16","author":[{"family":"Azzam","given":"A.M."},{"family":"Salvador","given":"S."}],"issued":{"date-parts":[["2004"]]}}}],"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w:t>
            </w:r>
            <w:r w:rsidRPr="00A61595">
              <w:rPr>
                <w:rFonts w:ascii="Arial" w:eastAsia="Times New Roman" w:hAnsi="Arial" w:cs="Arial"/>
                <w:sz w:val="14"/>
                <w:szCs w:val="14"/>
              </w:rPr>
              <w:fldChar w:fldCharType="end"/>
            </w:r>
          </w:p>
        </w:tc>
        <w:tc>
          <w:tcPr>
            <w:tcW w:w="192" w:type="pct"/>
            <w:shd w:val="clear" w:color="auto" w:fill="auto"/>
            <w:noWrap/>
            <w:hideMark/>
          </w:tcPr>
          <w:p w14:paraId="6982893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2004</w:t>
            </w:r>
          </w:p>
        </w:tc>
        <w:tc>
          <w:tcPr>
            <w:tcW w:w="2869" w:type="pct"/>
            <w:gridSpan w:val="4"/>
            <w:shd w:val="clear" w:color="auto" w:fill="auto"/>
            <w:noWrap/>
            <w:hideMark/>
          </w:tcPr>
          <w:p w14:paraId="2CD7DBA7"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Involvement of collusion in information pooling mandated by Livestock Mandatory Reporting Act</w:t>
            </w:r>
          </w:p>
        </w:tc>
        <w:tc>
          <w:tcPr>
            <w:tcW w:w="318" w:type="pct"/>
          </w:tcPr>
          <w:p w14:paraId="694545AD" w14:textId="41709C2D"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218EDB6F" w14:textId="18245157" w:rsidR="000B21B4" w:rsidRPr="00A61595" w:rsidRDefault="000B21B4" w:rsidP="00380533">
            <w:pPr>
              <w:rPr>
                <w:rFonts w:ascii="Arial" w:hAnsi="Arial" w:cs="Arial"/>
                <w:sz w:val="14"/>
                <w:szCs w:val="14"/>
              </w:rPr>
            </w:pPr>
            <w:r w:rsidRPr="00A61595">
              <w:rPr>
                <w:rFonts w:ascii="Arial" w:hAnsi="Arial" w:cs="Arial"/>
                <w:sz w:val="14"/>
                <w:szCs w:val="14"/>
              </w:rPr>
              <w:t>c</w:t>
            </w:r>
          </w:p>
        </w:tc>
        <w:tc>
          <w:tcPr>
            <w:tcW w:w="371" w:type="pct"/>
          </w:tcPr>
          <w:p w14:paraId="00850626" w14:textId="44513073"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229" w:type="pct"/>
          </w:tcPr>
          <w:p w14:paraId="0A498499" w14:textId="79BC8E4E"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BBAEAC9" w14:textId="51AC4111" w:rsidTr="00380533">
        <w:trPr>
          <w:trHeight w:val="285"/>
        </w:trPr>
        <w:tc>
          <w:tcPr>
            <w:tcW w:w="715" w:type="pct"/>
            <w:gridSpan w:val="2"/>
            <w:shd w:val="clear" w:color="auto" w:fill="auto"/>
            <w:noWrap/>
            <w:hideMark/>
          </w:tcPr>
          <w:p w14:paraId="0B082589" w14:textId="5033893F"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Badiru</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{"citationID":"avcjsrktbr","properties":{"formattedCitation":"(16)","plainCitation":"(16)","noteIndex":0},"citationItems":[{"id":18670,"uris":["http://zotero.org/groups/2477744/items/EJAZ9V3P"],"itemData":{"id":18670,"type":"article-journal","abstract":"This study assessed consumers' inclination to utilize online marketing portals in Lagos, Nigeria. Data were elicited from 120 consumers using questionnaires. Descriptive and inferential analyses showed that many consumers (53.3%) had a low inclination to utilize online marketing portals for purchasing agricultural produce. They, however, had a higher inclination ((Formula presented.) ≥ 0.5000) for yam flour and certain livestock products. Consumers were mainly motivated by convenience and comfort ((Formula presented.) = 1.8000) but constrained by risk of fraud ((Formula presented.) = 1.2750) in utilizing e-marketing for agricultural purchases. Products with a higher consumer inclination can be tried on a pilot scale. © 2016, Published with license by Taylor &amp; Francis. © Idris Olabode Badiru and Odunayo Ebenezer Afolabi.","container-title":"Journal of Agricultural and Food Information","DOI":"10.1080/10496505.2016.1211015","issue":"4","journalAbbreviation":"Journal of Agricultural and Food Information","page":"290-299","title":"Consumers' Inclination to Utilize Online Marketing Portals for Agricultural Purchases in Lagos, Nigeria","URL":"https://www.scopus.com/inward/record.uri?eid=2-s2.0-84981719201&amp;doi=10.1080%2f10496505.2016.1211015&amp;partnerID=40&amp;md5=fdf7a070240676463d661ab17c105860","volume":"17","author":[{"family":"Badiru","given":"I.O."},{"family":"Afolabi","given":"O.E."}],"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w:t>
            </w:r>
            <w:r w:rsidRPr="00A61595">
              <w:rPr>
                <w:rFonts w:ascii="Arial" w:eastAsia="Times New Roman" w:hAnsi="Arial" w:cs="Arial"/>
                <w:sz w:val="14"/>
                <w:szCs w:val="14"/>
              </w:rPr>
              <w:fldChar w:fldCharType="end"/>
            </w:r>
          </w:p>
        </w:tc>
        <w:tc>
          <w:tcPr>
            <w:tcW w:w="192" w:type="pct"/>
            <w:shd w:val="clear" w:color="auto" w:fill="auto"/>
            <w:noWrap/>
            <w:hideMark/>
          </w:tcPr>
          <w:p w14:paraId="5294B5D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50F03F5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Consumer perceptions-of using online marketing portals for purchasing agricultural produce</w:t>
            </w:r>
          </w:p>
        </w:tc>
        <w:tc>
          <w:tcPr>
            <w:tcW w:w="318" w:type="pct"/>
          </w:tcPr>
          <w:p w14:paraId="58491765" w14:textId="618B3554"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07135EF4" w14:textId="3489C643"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0D2E6147" w14:textId="2487BDA7"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w:t>
            </w:r>
            <w:proofErr w:type="spellStart"/>
            <w:r w:rsidRPr="00A61595">
              <w:rPr>
                <w:rFonts w:ascii="Arial" w:hAnsi="Arial" w:cs="Arial"/>
                <w:color w:val="000000"/>
                <w:sz w:val="14"/>
                <w:szCs w:val="14"/>
              </w:rPr>
              <w:t>i</w:t>
            </w:r>
            <w:proofErr w:type="spellEnd"/>
          </w:p>
        </w:tc>
        <w:tc>
          <w:tcPr>
            <w:tcW w:w="229" w:type="pct"/>
          </w:tcPr>
          <w:p w14:paraId="4756A1D5" w14:textId="068363D2"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03A262C" w14:textId="799932F2" w:rsidTr="00380533">
        <w:trPr>
          <w:trHeight w:val="285"/>
        </w:trPr>
        <w:tc>
          <w:tcPr>
            <w:tcW w:w="715" w:type="pct"/>
            <w:gridSpan w:val="2"/>
            <w:shd w:val="clear" w:color="auto" w:fill="auto"/>
            <w:noWrap/>
            <w:hideMark/>
          </w:tcPr>
          <w:p w14:paraId="3CCDF65D" w14:textId="12E9DCDA"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Bahn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{"citationID":"a136uh0f3rv","properties":{"formattedCitation":"(17)","plainCitation":"(17)","noteIndex":0},"citationItems":[{"id":17046,"uris":["http://zotero.org/groups/2477744/items/MSFD5C97"],"itemData":{"id":17046,"type":"article-journal","abstract":"Food retail transformation in developing countries continues to receive attention due to its implications for business expansion and food system development. We assess the dynamism of supermarketization in two relatively understudied regions—Sub-Saharan Africa and the Middle East and North Africa—applying the institution-based view and econometric analysis of a pooled cross-sectional dataset of over 700 country-year observations. While modern food retail has shown rapid growth, the traditional food retail segment is still dominant in both regions. The observed food retail patterns may be attributed to economic factors (income levels), sociodemographic (female labor force participation, urbanization, and religion), and institutional factors (control of corruption, ease of starting a business, time to enforce a contract, and World Trade Organization membership). However, while economic and sociodemographic variables exhibit similar effects in both regions, results are mixed regarding the institutional factors; potential explanations are suggested [EconLit citations: O100, L100].","container-title":"Agribusiness","DOI":"10.1002/agr.21634","journalAbbreviation":"Agribusiness","title":"Food retail expansion patterns in Sub-Saharan Africa and the Middle East and North Africa: Institutional and regional perspectives","author":[{"family":"Bahn","given":"Rachel A."},{"family":"Abebe","given":"Gumataw K."}],"issued":{"date-parts":[["2019"]]}}}],"schema":"https://github.com/citation-style-language/schema/raw/master/csl-citation.json"}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w:t>
            </w:r>
            <w:r w:rsidRPr="00A61595">
              <w:rPr>
                <w:rFonts w:ascii="Arial" w:eastAsia="Times New Roman" w:hAnsi="Arial" w:cs="Arial"/>
                <w:sz w:val="14"/>
                <w:szCs w:val="14"/>
              </w:rPr>
              <w:fldChar w:fldCharType="end"/>
            </w:r>
          </w:p>
        </w:tc>
        <w:tc>
          <w:tcPr>
            <w:tcW w:w="192" w:type="pct"/>
            <w:shd w:val="clear" w:color="auto" w:fill="auto"/>
            <w:noWrap/>
            <w:hideMark/>
          </w:tcPr>
          <w:p w14:paraId="4471235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3FA035B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Effect of institutional environment on food retail transformation</w:t>
            </w:r>
          </w:p>
        </w:tc>
        <w:tc>
          <w:tcPr>
            <w:tcW w:w="318" w:type="pct"/>
          </w:tcPr>
          <w:p w14:paraId="05446EF2" w14:textId="67C228B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2D60E54D" w14:textId="1EA15D5C"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94974F7" w14:textId="2F875A94" w:rsidR="000B21B4" w:rsidRPr="00A61595" w:rsidRDefault="000B21B4" w:rsidP="00380533">
            <w:pPr>
              <w:rPr>
                <w:rFonts w:ascii="Arial" w:hAnsi="Arial" w:cs="Arial"/>
                <w:sz w:val="14"/>
                <w:szCs w:val="14"/>
              </w:rPr>
            </w:pPr>
            <w:r w:rsidRPr="00A61595">
              <w:rPr>
                <w:rFonts w:ascii="Arial" w:hAnsi="Arial" w:cs="Arial"/>
                <w:color w:val="000000"/>
                <w:sz w:val="14"/>
                <w:szCs w:val="14"/>
              </w:rPr>
              <w:t>e, f</w:t>
            </w:r>
          </w:p>
        </w:tc>
        <w:tc>
          <w:tcPr>
            <w:tcW w:w="229" w:type="pct"/>
          </w:tcPr>
          <w:p w14:paraId="12191833" w14:textId="76AAB68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6163F0A7" w14:textId="0E296649" w:rsidTr="00380533">
        <w:trPr>
          <w:trHeight w:val="285"/>
        </w:trPr>
        <w:tc>
          <w:tcPr>
            <w:tcW w:w="715" w:type="pct"/>
            <w:gridSpan w:val="2"/>
            <w:shd w:val="clear" w:color="auto" w:fill="auto"/>
            <w:noWrap/>
            <w:hideMark/>
          </w:tcPr>
          <w:p w14:paraId="51D7144A" w14:textId="686AD5FE"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Banerjee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{"citationID":"a195q55q131","properties":{"formattedCitation":"(18)","plainCitation":"(18)","noteIndex":0},"citationItems":[{"id":17087,"uris":["http://zotero.org/groups/2477744/items/QL5ZNQWP"],"itemData":{"id":17087,"type":"article-journal","abstract":"Redistribution programs in developing countries often leak because local officials do not implement programs as the central government intends. We study one approach to reducing leakage. In an experiment in over 550 villages, we test whether mailing cards with program information to targeted beneficiaries increases the subsidy they receive from a subsidized rice program. On net, beneficiaries received 26 percent more subsidy in card villages. Ineligible households received no less, so this represents substantially lower leakage.","container-title":"JOURNAL OF POLITICAL ECONOMY","issue":"2","journalAbbreviation":"JOURNAL OF POLITICAL ECONOMY","page":"451-491","title":"Tangible Information and Citizen Empowerment: Identification Cards and Food Subsidy Programs in Indonesia","volume":"126","author":[{"family":"Banerjee","given":"Abhijit"},{"family":"Hanna","given":"Rema"},{"family":"Kyle","given":"Jordan"},{"family":"Olken","given":"Benjamin A"},{"family":"Sumarto","given":"Sudarno"}],"issued":{"date-parts":[["2018"]]}}}],"schema":"https://github.com/citation-style-language/schema/raw/master/csl-citation.json"}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w:t>
            </w:r>
            <w:r w:rsidRPr="00A61595">
              <w:rPr>
                <w:rFonts w:ascii="Arial" w:eastAsia="Times New Roman" w:hAnsi="Arial" w:cs="Arial"/>
                <w:sz w:val="14"/>
                <w:szCs w:val="14"/>
              </w:rPr>
              <w:fldChar w:fldCharType="end"/>
            </w:r>
          </w:p>
        </w:tc>
        <w:tc>
          <w:tcPr>
            <w:tcW w:w="192" w:type="pct"/>
            <w:shd w:val="clear" w:color="auto" w:fill="auto"/>
            <w:noWrap/>
            <w:hideMark/>
          </w:tcPr>
          <w:p w14:paraId="43323E7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1E1D341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Subsidy leakage in a rice public distribution program</w:t>
            </w:r>
          </w:p>
        </w:tc>
        <w:tc>
          <w:tcPr>
            <w:tcW w:w="318" w:type="pct"/>
          </w:tcPr>
          <w:p w14:paraId="6545C121" w14:textId="3B22296B"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06" w:type="pct"/>
          </w:tcPr>
          <w:p w14:paraId="400EFB2F" w14:textId="289BCD2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9C71F01" w14:textId="7C1B3958"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g, </w:t>
            </w:r>
            <w:proofErr w:type="spellStart"/>
            <w:r w:rsidRPr="00A61595">
              <w:rPr>
                <w:rFonts w:ascii="Arial" w:hAnsi="Arial" w:cs="Arial"/>
                <w:color w:val="000000"/>
                <w:sz w:val="14"/>
                <w:szCs w:val="14"/>
              </w:rPr>
              <w:t>i</w:t>
            </w:r>
            <w:proofErr w:type="spellEnd"/>
          </w:p>
        </w:tc>
        <w:tc>
          <w:tcPr>
            <w:tcW w:w="229" w:type="pct"/>
          </w:tcPr>
          <w:p w14:paraId="06FD368B" w14:textId="3B73EACB"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BBFAAA2" w14:textId="6903311B" w:rsidTr="00380533">
        <w:trPr>
          <w:trHeight w:val="285"/>
        </w:trPr>
        <w:tc>
          <w:tcPr>
            <w:tcW w:w="715" w:type="pct"/>
            <w:gridSpan w:val="2"/>
            <w:shd w:val="clear" w:color="auto" w:fill="auto"/>
            <w:noWrap/>
            <w:hideMark/>
          </w:tcPr>
          <w:p w14:paraId="52142D81" w14:textId="60C49AD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Banerji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{"citationID":"a2put2g8424","properties":{"formattedCitation":"(19)","plainCitation":"(19)","noteIndex":0},"citationItems":[{"id":17139,"uris":["http://zotero.org/groups/2477744/items/2VAB9DGB"],"itemData":{"id":17139,"type":"article-journal","abstract":"This article uses auction theory to analyze wholesale markets for wheat in Northern India. This approach enables us to characterize the market in terms of buyer asymmetries, to detect the existence of collusion, and to quantify its impact on market prices. We show that buyer asymmetries exacerbate the downward impact of collusion on prices. The article also considers whether the government paid too much for the wheat it procured at the minimum support price, and shows that for our sample it did not. The article is based on a primary survey of two wholesale markets in North India. Copyright 2004 American Agricultural Economics Association.","container-title":"American Journal of Agricultural Economics","DOI":"10.1111/j.0092-5853.2004.00575.x","issue":"1","journalAbbreviation":"American Journal of Agricultural Economics","page":"236-253","title":"Buyer collusion and efficiency of government intervention in wheat markets in northern India: An asymmetric structural auctions analysis","URL":"https://www.scopus.com/inward/record.uri?eid=2-s2.0-1342289971&amp;doi=10.1111%2fj.0092-5853.2004.00575.x&amp;partnerID=40&amp;md5=5f839b0df7da0dbc19cc19beda43ad0f","volume":"86","author":[{"family":"Banerji","given":"A."},{"family":"Meenakshi","given":"J.V."}],"issued":{"date-parts":[["2004"]]}}}],"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w:t>
            </w:r>
            <w:r w:rsidRPr="00A61595">
              <w:rPr>
                <w:rFonts w:ascii="Arial" w:eastAsia="Times New Roman" w:hAnsi="Arial" w:cs="Arial"/>
                <w:sz w:val="14"/>
                <w:szCs w:val="14"/>
              </w:rPr>
              <w:fldChar w:fldCharType="end"/>
            </w:r>
          </w:p>
        </w:tc>
        <w:tc>
          <w:tcPr>
            <w:tcW w:w="192" w:type="pct"/>
            <w:shd w:val="clear" w:color="auto" w:fill="auto"/>
            <w:noWrap/>
            <w:hideMark/>
          </w:tcPr>
          <w:p w14:paraId="6B228AD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2004</w:t>
            </w:r>
          </w:p>
        </w:tc>
        <w:tc>
          <w:tcPr>
            <w:tcW w:w="2869" w:type="pct"/>
            <w:gridSpan w:val="4"/>
            <w:shd w:val="clear" w:color="auto" w:fill="auto"/>
            <w:noWrap/>
            <w:hideMark/>
          </w:tcPr>
          <w:p w14:paraId="4CFA5C9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Impact of collusion on grain market prices and efficiency of government procurement</w:t>
            </w:r>
          </w:p>
        </w:tc>
        <w:tc>
          <w:tcPr>
            <w:tcW w:w="318" w:type="pct"/>
          </w:tcPr>
          <w:p w14:paraId="3A7FBDF6" w14:textId="6414FAF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51A76873" w14:textId="13EBB78F"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E5ED4B4" w14:textId="54EDB1C7" w:rsidR="000B21B4" w:rsidRPr="00A61595" w:rsidRDefault="000B21B4" w:rsidP="00380533">
            <w:pPr>
              <w:rPr>
                <w:rFonts w:ascii="Arial" w:hAnsi="Arial" w:cs="Arial"/>
                <w:sz w:val="14"/>
                <w:szCs w:val="14"/>
              </w:rPr>
            </w:pPr>
            <w:r w:rsidRPr="00A61595">
              <w:rPr>
                <w:rFonts w:ascii="Arial" w:hAnsi="Arial" w:cs="Arial"/>
                <w:color w:val="000000"/>
                <w:sz w:val="14"/>
                <w:szCs w:val="14"/>
              </w:rPr>
              <w:t>b, e</w:t>
            </w:r>
          </w:p>
        </w:tc>
        <w:tc>
          <w:tcPr>
            <w:tcW w:w="229" w:type="pct"/>
          </w:tcPr>
          <w:p w14:paraId="3712B776" w14:textId="3DCA0E69"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r>
      <w:tr w:rsidR="000B21B4" w:rsidRPr="00A61595" w14:paraId="6A13B022" w14:textId="0B97BA4C" w:rsidTr="00380533">
        <w:trPr>
          <w:trHeight w:val="285"/>
        </w:trPr>
        <w:tc>
          <w:tcPr>
            <w:tcW w:w="715" w:type="pct"/>
            <w:gridSpan w:val="2"/>
            <w:shd w:val="clear" w:color="auto" w:fill="auto"/>
            <w:noWrap/>
            <w:hideMark/>
          </w:tcPr>
          <w:p w14:paraId="4301DA26" w14:textId="13A03BED"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Barbier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{"citationID":"ag68irvoqs","properties":{"formattedCitation":"(20)","plainCitation":"(20)","noteIndex":0},"citationItems":[{"id":18672,"uris":["http://zotero.org/groups/2477744/items/9WTTXY9C"],"itemData":{"id":18672,"type":"article-journal","abstract":"Growth in crop production in many developing economies continues to require new land to be converted and brought into production. In addition, \"marginal\" land expansion appears to serve as an outlet for the rural poor. Evidence shows that the rural poor are increasingly concentrated in low productivity and fragile environments. Cross-country analysis of tropical agricultural land expansion supports these links between agricultural development and land conversion. In addition, corruption appears to be an important factor in affecting tropical land conversion, both directly and through interaction with the terms of trade. An increase in agricultural land expansion in the long run is also associated with a lower level of per capita income across developing economies. Those economies who have expanded agricultural land area have not achieved greater economy-wide gains compared to economies with little agricultural land expansion. Rent-seeking and corruption, reinforced by policies, contribute both to excessive land conversion and the concentration of the poor in low-productive, marginal lands. The result is the tendency for the gains from converting highly valuable land resources to benefit mainly wealthy elites, thus exacerbating problems of inequality and rural poverty while at the same time impeding economy-wide development. © 2012 Copyright Taylor and Francis Group, LLC.","container-title":"Journal of Sustainable Forestry","DOI":"10.1080/10549811.2011.588455","issue":"4-5","journalAbbreviation":"Journal of Sustainable Forestry","page":"319-339","title":"Corruption, Poverty and Tropical Land Use","URL":"https://www.scopus.com/inward/record.uri?eid=2-s2.0-84861940928&amp;doi=10.1080%2f10549811.2011.588455&amp;partnerID=40&amp;md5=f00360cdb7e34076e2df8f843426284d","volume":"31","author":[{"family":"Barbier","given":"E.B."}],"issued":{"date-parts":[["2012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w:t>
            </w:r>
            <w:r w:rsidRPr="00A61595">
              <w:rPr>
                <w:rFonts w:ascii="Arial" w:eastAsia="Times New Roman" w:hAnsi="Arial" w:cs="Arial"/>
                <w:sz w:val="14"/>
                <w:szCs w:val="14"/>
              </w:rPr>
              <w:fldChar w:fldCharType="end"/>
            </w:r>
          </w:p>
        </w:tc>
        <w:tc>
          <w:tcPr>
            <w:tcW w:w="192" w:type="pct"/>
            <w:shd w:val="clear" w:color="auto" w:fill="auto"/>
            <w:noWrap/>
            <w:hideMark/>
          </w:tcPr>
          <w:p w14:paraId="391AC0B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2012</w:t>
            </w:r>
          </w:p>
        </w:tc>
        <w:tc>
          <w:tcPr>
            <w:tcW w:w="2869" w:type="pct"/>
            <w:gridSpan w:val="4"/>
            <w:shd w:val="clear" w:color="auto" w:fill="auto"/>
            <w:noWrap/>
            <w:hideMark/>
          </w:tcPr>
          <w:p w14:paraId="4A3839F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linkages between corruption, rural poverty, and tropical land use trends</w:t>
            </w:r>
          </w:p>
        </w:tc>
        <w:tc>
          <w:tcPr>
            <w:tcW w:w="318" w:type="pct"/>
          </w:tcPr>
          <w:p w14:paraId="56D2BB84" w14:textId="60AA084D"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6D70A2D9" w14:textId="760D5B3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5244E41" w14:textId="79726197"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229" w:type="pct"/>
          </w:tcPr>
          <w:p w14:paraId="2CDACAFD" w14:textId="3416D8AA"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r>
      <w:tr w:rsidR="000B21B4" w:rsidRPr="00A61595" w14:paraId="381D0EE8" w14:textId="6B82C081" w:rsidTr="00380533">
        <w:trPr>
          <w:trHeight w:val="285"/>
        </w:trPr>
        <w:tc>
          <w:tcPr>
            <w:tcW w:w="715" w:type="pct"/>
            <w:gridSpan w:val="2"/>
            <w:shd w:val="clear" w:color="auto" w:fill="auto"/>
            <w:noWrap/>
            <w:hideMark/>
          </w:tcPr>
          <w:p w14:paraId="10590389" w14:textId="614850ED"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Barclay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{"citationID":"a133dsfbu8p","properties":{"formattedCitation":"(21)","plainCitation":"(21)","noteIndex":0},"citationItems":[{"id":17119,"uris":["http://zotero.org/groups/2477744/items/A6DE8J4S"],"itemData":{"id":17119,"type":"article-journal","container-title":"MARINE POLICY","DOI":"10.1016/j.marpol.2006.09.007","issue":"3","journalAbbreviation":"MARINE POLICY","page":"348-358","title":"Governance of tuna industries: The key to economic viability and sustainability in the Western and Central Pacific Ocean","volume":"31","author":[{"family":"Barclay","given":"Kate"},{"family":"Cartwright","given":"Ian"}],"issued":{"date-parts":[["2007"]]}}}],"schema":"https://github.com/citation-style-language/schema/raw/master/csl-citation.json"}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w:t>
            </w:r>
            <w:r w:rsidRPr="00A61595">
              <w:rPr>
                <w:rFonts w:ascii="Arial" w:eastAsia="Times New Roman" w:hAnsi="Arial" w:cs="Arial"/>
                <w:sz w:val="14"/>
                <w:szCs w:val="14"/>
              </w:rPr>
              <w:fldChar w:fldCharType="end"/>
            </w:r>
          </w:p>
        </w:tc>
        <w:tc>
          <w:tcPr>
            <w:tcW w:w="192" w:type="pct"/>
            <w:shd w:val="clear" w:color="auto" w:fill="auto"/>
            <w:noWrap/>
            <w:hideMark/>
          </w:tcPr>
          <w:p w14:paraId="41E969E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2007</w:t>
            </w:r>
          </w:p>
        </w:tc>
        <w:tc>
          <w:tcPr>
            <w:tcW w:w="2869" w:type="pct"/>
            <w:gridSpan w:val="4"/>
            <w:shd w:val="clear" w:color="auto" w:fill="auto"/>
            <w:noWrap/>
            <w:hideMark/>
          </w:tcPr>
          <w:p w14:paraId="0EAA58C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Governments influencing profitability and sustainability of tuna industries</w:t>
            </w:r>
          </w:p>
        </w:tc>
        <w:tc>
          <w:tcPr>
            <w:tcW w:w="318" w:type="pct"/>
          </w:tcPr>
          <w:p w14:paraId="12201166" w14:textId="59747FA4"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306" w:type="pct"/>
          </w:tcPr>
          <w:p w14:paraId="73482555" w14:textId="6551A5D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31CD1F52" w14:textId="0854458F"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229" w:type="pct"/>
          </w:tcPr>
          <w:p w14:paraId="253766EE" w14:textId="23FD3C9E"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AC22E09" w14:textId="450B3FAE" w:rsidTr="00380533">
        <w:trPr>
          <w:trHeight w:val="285"/>
        </w:trPr>
        <w:tc>
          <w:tcPr>
            <w:tcW w:w="715" w:type="pct"/>
            <w:gridSpan w:val="2"/>
            <w:shd w:val="clear" w:color="auto" w:fill="auto"/>
            <w:noWrap/>
            <w:hideMark/>
          </w:tcPr>
          <w:p w14:paraId="4DD1A5BC" w14:textId="15FF1A9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Barnard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{"citationID":"ar2l4e7c0r","properties":{"formattedCitation":"(22)","plainCitation":"(22)","noteIndex":0},"citationItems":[{"id":17142,"uris":["http://zotero.org/groups/2477744/items/ZAQSGLVX"],"itemData":{"id":17142,"type":"article-journal","abstract":"The 2013 horsemeat scandal shone a bright light on some of the darkest corners of supply-chain governance across the EU, revealing a blind spot in current EU food law. \"Beef\" frozen-food products were found to contain up to 100% horse. The British and Irish are squeamish about eating horse. Even for those countries where horsemeat is seen as a delicacy, the horse getting into the frozen \"beef\" was often of poor quality and possibly contaminated with \"bute\", a veterinary drug not permitted in food for human consumption. The ability of the EU's regulatory regime to prevent fraud on such a scale was shown to be inadequate. EU food law, with its (over) emphasis on food safety, failed to prevent the occurrence of fraud and may even have played an (unintentional) role in facilitating or enhancing it. Domestic law offered little better protection, thus showing the difficulties associated with the implementation of a multi-level and multi-agency regulatory regime. Beyond the regulatory system, the EU's core Treaty commitment to the free movement of goods may also have laid the ground for complex and opaque supply chains into which unscrupulous traders and middlemen could slip unnoticed. Copyright © 2017 Cambridge Law Journal and Contributors.","container-title":"Cambridge Law Journal","DOI":"10.1017/S000819731700006X","issue":"1","journalAbbreviation":"Cambridge Law Journal","page":"116-144","title":"RUNNERS and RIDERS: The HORSEMEAT SCANDAL, EU LAW and MULTI-LEVEL ENFORCEMENT","URL":"https://www.scopus.com/inward/record.uri?eid=2-s2.0-85017179993&amp;doi=10.1017%2fS000819731700006X&amp;partnerID=40&amp;md5=8fb00a6d955bbb88e2f2c35b29654829","volume":"76","author":[{"family":"Barnard","given":"C."},{"family":"O'Connor","given":"N."}],"issued":{"date-parts":[["2017"]]}},"locator":"201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w:t>
            </w:r>
            <w:r w:rsidRPr="00A61595">
              <w:rPr>
                <w:rFonts w:ascii="Arial" w:eastAsia="Times New Roman" w:hAnsi="Arial" w:cs="Arial"/>
                <w:sz w:val="14"/>
                <w:szCs w:val="14"/>
              </w:rPr>
              <w:fldChar w:fldCharType="end"/>
            </w:r>
          </w:p>
        </w:tc>
        <w:tc>
          <w:tcPr>
            <w:tcW w:w="192" w:type="pct"/>
            <w:shd w:val="clear" w:color="auto" w:fill="auto"/>
            <w:noWrap/>
            <w:hideMark/>
          </w:tcPr>
          <w:p w14:paraId="7ECFF3C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204ED15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Understanding what happened in the EU horsemeat scandal</w:t>
            </w:r>
          </w:p>
        </w:tc>
        <w:tc>
          <w:tcPr>
            <w:tcW w:w="318" w:type="pct"/>
          </w:tcPr>
          <w:p w14:paraId="5B96DE96" w14:textId="5A2C99E5"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45E5FB4E" w14:textId="7C18D0E3"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2E6BEDF" w14:textId="5F12877A"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e, </w:t>
            </w:r>
            <w:proofErr w:type="spellStart"/>
            <w:r w:rsidRPr="00A61595">
              <w:rPr>
                <w:rFonts w:ascii="Arial" w:hAnsi="Arial" w:cs="Arial"/>
                <w:color w:val="000000"/>
                <w:sz w:val="14"/>
                <w:szCs w:val="14"/>
              </w:rPr>
              <w:t>i</w:t>
            </w:r>
            <w:proofErr w:type="spellEnd"/>
          </w:p>
        </w:tc>
        <w:tc>
          <w:tcPr>
            <w:tcW w:w="229" w:type="pct"/>
          </w:tcPr>
          <w:p w14:paraId="09353B32" w14:textId="64E44CA1"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24614B1" w14:textId="255C9940" w:rsidTr="00380533">
        <w:trPr>
          <w:trHeight w:val="285"/>
        </w:trPr>
        <w:tc>
          <w:tcPr>
            <w:tcW w:w="715" w:type="pct"/>
            <w:gridSpan w:val="2"/>
            <w:shd w:val="clear" w:color="auto" w:fill="auto"/>
            <w:noWrap/>
            <w:hideMark/>
          </w:tcPr>
          <w:p w14:paraId="566CB58F" w14:textId="3066B52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Barnett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{"citationID":"a1fr0s9i46r","properties":{"formattedCitation":"(23)","plainCitation":"(23)","noteIndex":0},"citationItems":[{"id":17143,"uris":["http://zotero.org/groups/2477744/items/U29KVKHG"],"itemData":{"id":17143,"type":"article-journal","abstract":"Following the discovery of horsemeat in beef products in Europe in 2013, restoring consumers' confidence in processed meat products as well as in all the agencies involved - producers, food safety authorities, retailers - soon became a key priority. However, the European public's confidence in processed meat products and their views about government and industry actions to manage fraudulent practices in the wake of this incident are poorly understood. The objective of this study was to identify the core issues affecting consumers' confidence in the food industry, particularly in the meat processing sector, and to explore the impact of the horsemeat incident on consumers' purchasing and eating behaviour. It involved the use of an online deliberation tool VIZZATA™ to collect detailed views of 61 consumers in the UK and the Republic of Ireland. Many participants reported buying fewer products containing processed meat as a result of the horsemeat incident. These respondents also claimed that their confidence in processed foods containing meat was lower than before the incident. Participants suggested restoring consumer confidence through improved traceability, sourcing local ingredients, providing clearer and correct labelling and stating the origin of meat on pack. Overall, findings indicate that rebuilding consumer confidence in processed meat products following a food adulteration episode is a multifaceted and difficult process. Food authorities and the food industry can benefit from the insights provided by this study to address issues affecting consumer confidence and to improve their communication strategies during future food adulteration incidents. © 2015 Elsevier Ltd.","container-title":"Food Control","DOI":"10.1016/j.foodcont.2015.06.021","journalAbbreviation":"Food Control","page":"721-730","title":"Consumers' confidence, reflections and response strategies following the horsemeat incident","URL":"https://www.scopus.com/inward/record.uri?eid=2-s2.0-84936133682&amp;doi=10.1016%2fj.foodcont.2015.06.021&amp;partnerID=40&amp;md5=9452954a0c17e85030be19be3d3719a1","volume":"59","author":[{"family":"Barnett","given":"J."},{"family":"Begen","given":"F."},{"family":"Howes","given":"S."},{"family":"Regan","given":"A."},{"family":"McConnon","given":"A."},{"family":"Marcu","given":"A."},{"family":"Rowntree","given":"S."},{"family":"Verbeke","given":"W."}],"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(23)</w:t>
            </w:r>
            <w:r w:rsidRPr="00A61595">
              <w:rPr>
                <w:rFonts w:ascii="Arial" w:eastAsia="Times New Roman" w:hAnsi="Arial" w:cs="Arial"/>
                <w:sz w:val="14"/>
                <w:szCs w:val="14"/>
              </w:rPr>
              <w:fldChar w:fldCharType="end"/>
            </w:r>
          </w:p>
        </w:tc>
        <w:tc>
          <w:tcPr>
            <w:tcW w:w="192" w:type="pct"/>
            <w:shd w:val="clear" w:color="auto" w:fill="auto"/>
            <w:noWrap/>
            <w:hideMark/>
          </w:tcPr>
          <w:p w14:paraId="237E01D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31681DA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Impact of EU horsemeat incident on consumers’ attitudes and behaviors</w:t>
            </w:r>
          </w:p>
        </w:tc>
        <w:tc>
          <w:tcPr>
            <w:tcW w:w="318" w:type="pct"/>
          </w:tcPr>
          <w:p w14:paraId="6C700124" w14:textId="7B25021E"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1FE8BA91" w14:textId="55CF3C79"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E4A0326" w14:textId="0A4FC64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3867A4AB" w14:textId="3177315E"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00A43CB4" w14:textId="44ADC23C" w:rsidTr="00380533">
        <w:trPr>
          <w:trHeight w:val="285"/>
        </w:trPr>
        <w:tc>
          <w:tcPr>
            <w:tcW w:w="715" w:type="pct"/>
            <w:gridSpan w:val="2"/>
            <w:shd w:val="clear" w:color="auto" w:fill="auto"/>
            <w:noWrap/>
            <w:hideMark/>
          </w:tcPr>
          <w:p w14:paraId="5594844B" w14:textId="3886A0A2"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Baudoin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{"citationID":"a22u7mmeacl","properties":{"formattedCitation":"(24)","plainCitation":"(24)","noteIndex":0},"citationItems":[{"id":18577,"uris":["http://zotero.org/groups/2477744/items/H4EJ93DG"],"itemData":{"id":18577,"type":"article-journal","abstract":"Farmers in rural Africa use a number of adaptive strategies to cope with observed climatic changes and their impacts on agriculture. Most studies on adaptive capacity focus on socio-economic parameters (such as poverty or education), and few provide detailed analysis on the role played by different institutions at local level, and the effects of how these institutions are perceived on farmers' adaptation. Semi-structured interviews were conducted among 46 households from seven villages in southern Benin (West Africa), and among representatives of several institutions at the local level. Half the participants were involved in Non Governmental Organizations (NGOs) development projects and half were independent farmers. Results indicate that independent farmers mostly use non-agricultural coping strategies (loans, work in town) while project farmers mainly use agricultural adaptive strategies (improved seed varieties). Lack of adaptive capacity of independent farmers is linked to weak State institutions at the local level. Due to their lack of efficiency and high corruption rates, local State representatives are mistrusted. NGOs are trusted and seek for help, even by independent farmers. Even if NGOs do not have climate change adaptation in their agendas, they promote activities, which help reduce farmers' vulnerability. Although our results are limited to south-western Benin, they question the way adaptation is promoted today, for instance through the United Nations Framework Convention for Climate Change (through the National Adaptation Programmes of Action).","container-title":"MITIGATION AND ADAPTATION STRATEGIES FOR GLOBAL CHANGE","DOI":"10.1007/s11027-013-9468-9","issue":"8","journalAbbreviation":"MITIGATION AND ADAPTATION STRATEGIES FOR GLOBAL CHANGE","page":"1195-1207","title":"Small scale farmers' vulnerability to climatic changes in southern Benin: the importance of farmers' perceptions of existing institutions","volume":"19","author":[{"family":"Baudoin","given":"Marie-Ange"},{"family":"Sanchez","given":"Aida Cuni"},{"family":"Fandohan","given":"Belarmain"}],"issued":{"date-parts":[["2014"]]}}}],"schema":"https://github.com/citation-style-language/schema/raw/master/csl-citation.json"}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(24)</w:t>
            </w:r>
            <w:r w:rsidRPr="00A61595">
              <w:rPr>
                <w:rFonts w:ascii="Arial" w:eastAsia="Times New Roman" w:hAnsi="Arial" w:cs="Arial"/>
                <w:sz w:val="14"/>
                <w:szCs w:val="14"/>
              </w:rPr>
              <w:fldChar w:fldCharType="end"/>
            </w:r>
          </w:p>
        </w:tc>
        <w:tc>
          <w:tcPr>
            <w:tcW w:w="192" w:type="pct"/>
            <w:shd w:val="clear" w:color="auto" w:fill="auto"/>
            <w:noWrap/>
            <w:hideMark/>
          </w:tcPr>
          <w:p w14:paraId="3DA421B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2014</w:t>
            </w:r>
          </w:p>
        </w:tc>
        <w:tc>
          <w:tcPr>
            <w:tcW w:w="2869" w:type="pct"/>
            <w:gridSpan w:val="4"/>
            <w:shd w:val="clear" w:color="auto" w:fill="auto"/>
            <w:noWrap/>
            <w:hideMark/>
          </w:tcPr>
          <w:p w14:paraId="25BDE26D" w14:textId="0A28B4F6"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Smallholder farmers</w:t>
            </w:r>
            <w:r w:rsidR="00362BF4">
              <w:rPr>
                <w:rFonts w:ascii="Arial" w:eastAsia="Times New Roman" w:hAnsi="Arial" w:cs="Arial"/>
                <w:color w:val="000000" w:themeColor="text1"/>
                <w:sz w:val="14"/>
                <w:szCs w:val="14"/>
              </w:rPr>
              <w:t>’</w:t>
            </w:r>
            <w:r w:rsidRPr="00A61595">
              <w:rPr>
                <w:rFonts w:ascii="Arial" w:eastAsia="Times New Roman" w:hAnsi="Arial" w:cs="Arial"/>
                <w:color w:val="000000" w:themeColor="text1"/>
                <w:sz w:val="14"/>
                <w:szCs w:val="14"/>
              </w:rPr>
              <w:t xml:space="preserve"> insights on local and national support to climate change adaptation</w:t>
            </w:r>
          </w:p>
        </w:tc>
        <w:tc>
          <w:tcPr>
            <w:tcW w:w="318" w:type="pct"/>
          </w:tcPr>
          <w:p w14:paraId="59013E87" w14:textId="05EA02C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1FC8ACDE" w14:textId="7D7877A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09C82BC" w14:textId="119273AC"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c>
          <w:tcPr>
            <w:tcW w:w="229" w:type="pct"/>
          </w:tcPr>
          <w:p w14:paraId="3F504814" w14:textId="3A6C3DAA"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49AF0CDE" w14:textId="658674BA" w:rsidTr="00380533">
        <w:trPr>
          <w:trHeight w:val="285"/>
        </w:trPr>
        <w:tc>
          <w:tcPr>
            <w:tcW w:w="715" w:type="pct"/>
            <w:gridSpan w:val="2"/>
            <w:shd w:val="clear" w:color="auto" w:fill="auto"/>
            <w:noWrap/>
            <w:hideMark/>
          </w:tcPr>
          <w:p w14:paraId="37B97558" w14:textId="0AD8BF9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Beekman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{"citationID":"a183mrsbear","properties":{"formattedCitation":"(25)","plainCitation":"(25)","noteIndex":0},"citationItems":[{"id":17062,"uris":["http://zotero.org/groups/2477744/items/USEF5VAH"],"itemData":{"id":17062,"type":"article-journal","abstract":"We study how corruption affects economic activities of households in rural Liberia. A proxy of corruption of community leaders is obtained by directly monitoring the diversion of inputs associated with a development project. We measure quantities of these inputs twice; before and after the chief stored them, and interpret any `gaps' between these measurements as indicative of diversion by the chief (or corruption). We use this `gap' proxy to explain variation in economic behaviour across respondents, and find that corrupt community leaders cause reduced levels of income generating activities that are economically important: corruption leads to a 50% reduction in rice planted and to nearly equally large reductions in trade activity. (C) 2013 Elsevier B.V. All rights reserved.","container-title":"EUROPEAN JOURNAL OF POLITICAL ECONOMY","DOI":"10.1016/j.ejpoleco.2013.01.005","journalAbbreviation":"EUROPEAN JOURNAL OF POLITICAL ECONOMY","page":"70-79","title":"Corruption and economic activity: Micro level evidence from rural Liberia","volume":"30","author":[{"family":"Beekman","given":"Gonne"},{"family":"Bulte","given":"Erwin H"},{"family":"Nillesen","given":"Eleonora E M"}],"issued":{"date-parts":[["2013"]]}}}],"schema":"https://github.com/citation-style-language/schema/raw/master/csl-citation.json"}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(25)</w:t>
            </w:r>
            <w:r w:rsidRPr="00A61595">
              <w:rPr>
                <w:rFonts w:ascii="Arial" w:eastAsia="Times New Roman" w:hAnsi="Arial" w:cs="Arial"/>
                <w:sz w:val="14"/>
                <w:szCs w:val="14"/>
              </w:rPr>
              <w:fldChar w:fldCharType="end"/>
            </w:r>
          </w:p>
        </w:tc>
        <w:tc>
          <w:tcPr>
            <w:tcW w:w="192" w:type="pct"/>
            <w:shd w:val="clear" w:color="auto" w:fill="auto"/>
            <w:noWrap/>
            <w:hideMark/>
          </w:tcPr>
          <w:p w14:paraId="60D7946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2013</w:t>
            </w:r>
          </w:p>
        </w:tc>
        <w:tc>
          <w:tcPr>
            <w:tcW w:w="2869" w:type="pct"/>
            <w:gridSpan w:val="4"/>
            <w:shd w:val="clear" w:color="auto" w:fill="auto"/>
            <w:noWrap/>
            <w:hideMark/>
          </w:tcPr>
          <w:p w14:paraId="40E91A9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Corruption in rural agricultural economies </w:t>
            </w:r>
          </w:p>
        </w:tc>
        <w:tc>
          <w:tcPr>
            <w:tcW w:w="318" w:type="pct"/>
          </w:tcPr>
          <w:p w14:paraId="7238F8D5" w14:textId="756A397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0EAEE77D" w14:textId="072BB2F9"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66F34D4C" w14:textId="327DB008"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h, </w:t>
            </w:r>
            <w:proofErr w:type="spellStart"/>
            <w:r w:rsidRPr="00A61595">
              <w:rPr>
                <w:rFonts w:ascii="Arial" w:hAnsi="Arial" w:cs="Arial"/>
                <w:color w:val="000000"/>
                <w:sz w:val="14"/>
                <w:szCs w:val="14"/>
              </w:rPr>
              <w:t>i</w:t>
            </w:r>
            <w:proofErr w:type="spellEnd"/>
          </w:p>
        </w:tc>
        <w:tc>
          <w:tcPr>
            <w:tcW w:w="229" w:type="pct"/>
          </w:tcPr>
          <w:p w14:paraId="1EE940DE" w14:textId="1AD6F7E1" w:rsidR="000B21B4" w:rsidRPr="00A61595" w:rsidRDefault="000B21B4" w:rsidP="00380533">
            <w:pPr>
              <w:rPr>
                <w:rFonts w:ascii="Arial" w:hAnsi="Arial" w:cs="Arial"/>
                <w:sz w:val="14"/>
                <w:szCs w:val="14"/>
              </w:rPr>
            </w:pPr>
            <w:r w:rsidRPr="00A61595">
              <w:rPr>
                <w:rFonts w:ascii="Arial" w:hAnsi="Arial" w:cs="Arial"/>
                <w:color w:val="000000"/>
                <w:sz w:val="14"/>
                <w:szCs w:val="14"/>
              </w:rPr>
              <w:t>a, c, e</w:t>
            </w:r>
          </w:p>
        </w:tc>
      </w:tr>
      <w:tr w:rsidR="000B21B4" w:rsidRPr="00A61595" w14:paraId="107FF7F8" w14:textId="43F02577" w:rsidTr="00380533">
        <w:trPr>
          <w:trHeight w:val="285"/>
        </w:trPr>
        <w:tc>
          <w:tcPr>
            <w:tcW w:w="715" w:type="pct"/>
            <w:gridSpan w:val="2"/>
            <w:shd w:val="clear" w:color="auto" w:fill="auto"/>
            <w:noWrap/>
            <w:hideMark/>
          </w:tcPr>
          <w:p w14:paraId="5B8D88F2" w14:textId="73BAB93A"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Beg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{"citationID":"a2f013ndf4r","properties":{"formattedCitation":"(26)","plainCitation":"(26)","noteIndex":0},"citationItems":[{"id":17126,"uris":["http://zotero.org/groups/2477744/items/C8EXFLV2"],"itemData":{"id":17126,"type":"article-journal","abstract":"Elites persist in developing countries despite democratization and development. I demonstrate that landed elites maintain political power through entrenched clientelist networks and economic dependency of rural agricultural tenants and sharecroppers. Exploiting elections during a non-democratic regime and household-level panel data from Pakistan, I show that the political transition resulted in higher sharecropping and private transfers for incumbents’ clients. I argue that sharecropping facilitates patronage and that economic transitions can affect prospects for political capture. I demonstrate that an agricultural technology change that increases the efficiency cost of sharecropping can diminish the persistence of landed elites by reducing the likelihood of landlords’ electoral success in historically landlord-dominated areas. (PsycInfo Database Record (c) 2021 APA, all rights reserved)","container-title":"Journal of Economic Behavior &amp; Organization","DOI":"10.1016/j.jebo.2021.03.006","journalAbbreviation":"Journal of Economic Behavior &amp; Organization","note":"publisher-place: Netherlands\npublisher: Elsevier Science","page":"201-226","title":"Tenancy and clientelism.","volume":"186","author":[{"family":"Beg","given":"Sabrin"}],"issued":{"date-parts":[["2021"]]}}}],"schema":"https://github.com/citation-style-language/schema/raw/master/csl-citation.json"}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(26)</w:t>
            </w:r>
            <w:r w:rsidRPr="00A61595">
              <w:rPr>
                <w:rFonts w:ascii="Arial" w:eastAsia="Times New Roman" w:hAnsi="Arial" w:cs="Arial"/>
                <w:sz w:val="14"/>
                <w:szCs w:val="14"/>
              </w:rPr>
              <w:fldChar w:fldCharType="end"/>
            </w:r>
          </w:p>
        </w:tc>
        <w:tc>
          <w:tcPr>
            <w:tcW w:w="192" w:type="pct"/>
            <w:shd w:val="clear" w:color="auto" w:fill="auto"/>
            <w:noWrap/>
            <w:hideMark/>
          </w:tcPr>
          <w:p w14:paraId="5FCBA61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7531BF2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Relationship between tenancy and political success of landlords</w:t>
            </w:r>
          </w:p>
        </w:tc>
        <w:tc>
          <w:tcPr>
            <w:tcW w:w="318" w:type="pct"/>
          </w:tcPr>
          <w:p w14:paraId="6EDA1EF1" w14:textId="296986C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0E20627" w14:textId="50634259"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3A12D0B9" w14:textId="0AF53EEE"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h, </w:t>
            </w:r>
            <w:proofErr w:type="spellStart"/>
            <w:r w:rsidRPr="00A61595">
              <w:rPr>
                <w:rFonts w:ascii="Arial" w:hAnsi="Arial" w:cs="Arial"/>
                <w:color w:val="000000"/>
                <w:sz w:val="14"/>
                <w:szCs w:val="14"/>
              </w:rPr>
              <w:t>i</w:t>
            </w:r>
            <w:proofErr w:type="spellEnd"/>
          </w:p>
        </w:tc>
        <w:tc>
          <w:tcPr>
            <w:tcW w:w="229" w:type="pct"/>
          </w:tcPr>
          <w:p w14:paraId="7EDE18C7" w14:textId="7D7BE7D4"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61C18377" w14:textId="1579B923" w:rsidTr="00380533">
        <w:trPr>
          <w:trHeight w:val="285"/>
        </w:trPr>
        <w:tc>
          <w:tcPr>
            <w:tcW w:w="715" w:type="pct"/>
            <w:gridSpan w:val="2"/>
            <w:shd w:val="clear" w:color="auto" w:fill="auto"/>
            <w:noWrap/>
            <w:hideMark/>
          </w:tcPr>
          <w:p w14:paraId="185897AC" w14:textId="4F65F46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Bélair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{"citationID":"a140tf3pf07","properties":{"formattedCitation":"(27)","plainCitation":"(27)","noteIndex":0},"citationItems":[{"id":17144,"uris":["http://zotero.org/groups/2477744/items/8H5Z27NF"],"itemData":{"id":17144,"type":"article-journal","abstract":"Since the global land rush began in 2008, an abundance of studies have either documented the international and domestic drivers of the phenomenon or assessed the local impact of new land acquisition dynamics. However, beyond acquisition processes, the effect of farmland investments on economic growth in developing countries remains highly uncertain. In particular, the implementation gap remains substantial. Meanwhile, little is known about how global processes and national politics shape the socio-economic impact of such projects once they are operational, or why some investors are more successful than others in operationalizing their investment. This article explores these issues through a case study analysis of a large-scale land deal involving Kagera Sugar, a Tanzanian firm operating within a protected national market. Focusing on the company's contract farming scheme and the politicization of land formalization, I argue that Kagera Sugar's impact on the agrarian political economy reflects its ability to cultivate patronage relations at the national and local level. My findings support the argument that, from a socio-economic perspective, farmland investments tend to consolidate existing local processes of differentiation. Furthermore, the article sheds new light on the role played by patronage relations in shaping production models, practices, and outcomes at the local level. Finally, I underscore the importance of viewing operationalization through a political lens, insofar as political patronage plays a key role in ensuring operational profitability. © 2020 Elsevier Ltd","container-title":"World Development","DOI":"10.1016/j.worlddev.2020.105298","journalAbbreviation":"World Development","title":"Farmland investments in Tanzania: The impact of protected domestic markets and patronage relations","URL":"https://www.scopus.com/inward/record.uri?eid=2-s2.0-85097126273&amp;doi=10.1016%2fj.worlddev.2020.105298&amp;partnerID=40&amp;md5=01e98056b293fa9aa5de176f3bd41a6e","volume":"139","author":[{"family":"Bélair","given":"J."}],"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(27)</w:t>
            </w:r>
            <w:r w:rsidRPr="00A61595">
              <w:rPr>
                <w:rFonts w:ascii="Arial" w:eastAsia="Times New Roman" w:hAnsi="Arial" w:cs="Arial"/>
                <w:sz w:val="14"/>
                <w:szCs w:val="14"/>
              </w:rPr>
              <w:fldChar w:fldCharType="end"/>
            </w:r>
          </w:p>
        </w:tc>
        <w:tc>
          <w:tcPr>
            <w:tcW w:w="192" w:type="pct"/>
            <w:shd w:val="clear" w:color="auto" w:fill="auto"/>
            <w:noWrap/>
            <w:hideMark/>
          </w:tcPr>
          <w:p w14:paraId="19BF6C4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77DC840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Politization of land formalization for farmland investments </w:t>
            </w:r>
          </w:p>
        </w:tc>
        <w:tc>
          <w:tcPr>
            <w:tcW w:w="318" w:type="pct"/>
          </w:tcPr>
          <w:p w14:paraId="79C036C6" w14:textId="2BD4D53C"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5E023992" w14:textId="1F05365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66788C2" w14:textId="26017AE6"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1CF6317A" w14:textId="21D4893F" w:rsidR="000B21B4" w:rsidRPr="00A61595" w:rsidRDefault="000B21B4" w:rsidP="00380533">
            <w:pPr>
              <w:rPr>
                <w:rFonts w:ascii="Arial" w:hAnsi="Arial" w:cs="Arial"/>
                <w:sz w:val="14"/>
                <w:szCs w:val="14"/>
              </w:rPr>
            </w:pPr>
            <w:r w:rsidRPr="00A61595">
              <w:rPr>
                <w:rFonts w:ascii="Arial" w:hAnsi="Arial" w:cs="Arial"/>
                <w:color w:val="000000"/>
                <w:sz w:val="14"/>
                <w:szCs w:val="14"/>
              </w:rPr>
              <w:t>a, g</w:t>
            </w:r>
          </w:p>
        </w:tc>
      </w:tr>
      <w:tr w:rsidR="000B21B4" w:rsidRPr="00A61595" w14:paraId="0210C5A2" w14:textId="71A1F87F" w:rsidTr="00380533">
        <w:trPr>
          <w:trHeight w:val="285"/>
        </w:trPr>
        <w:tc>
          <w:tcPr>
            <w:tcW w:w="715" w:type="pct"/>
            <w:gridSpan w:val="2"/>
            <w:shd w:val="clear" w:color="auto" w:fill="auto"/>
            <w:noWrap/>
            <w:hideMark/>
          </w:tcPr>
          <w:p w14:paraId="57DD495D" w14:textId="423DC78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Bellemare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{"citationID":"acr15o595a","properties":{"formattedCitation":"(28)","plainCitation":"(28)","noteIndex":0},"citationItems":[{"id":17145,"uris":["http://zotero.org/groups/2477744/items/2RUSTDZM"],"itemData":{"id":17145,"type":"article-journal","abstract":"It seems paradoxical that until recently, developed countries have continued subsidizing agriculture even though their agricultural sectors had been declining in relative importance since the middle of the 20th century. What drives support for agricultural protection-the broad array of subsidies to farmers and taxes and quotas imposed on agricultural imports-in developed countries? We answer this question by testing three competing hypotheses about what drives support for agricultural protection in the US: (i) legislator preferences, (ii) electoral incentives, or (iii) lobbying. Using data on the roll call votes of the members of the 106th through the 110th Congresses (1999-2009) and the scores given to each legislator by the Farm Bureau, our findings suggest that electoral incentives explain a great deal of the variation in support for agricultural protection, but that legislator preferences and lobbying might play a role, too. Moreover, legislator preferences and electoral incentives appear to be substitutes for one another. Why does Congress support agricultural protection? Because many members have electoral incentives to-and because many of those who do not still have other personal or strategic interests at stake. © 2014 Elsevier Ltd.","container-title":"Food Policy","DOI":"10.1016/j.foodpol.2014.10.010","journalAbbreviation":"Food Policy","page":"20-34","title":"Why do members of congress support agricultural protection?","URL":"https://www.scopus.com/inward/record.uri?eid=2-s2.0-84909619819&amp;doi=10.1016%2fj.foodpol.2014.10.010&amp;partnerID=40&amp;md5=24c55587cab66688ee2c639409e60a28","volume":"50","author":[{"family":"Bellemare","given":"M.F."},{"family":"Carnes","given":"N."}],"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(28)</w:t>
            </w:r>
            <w:r w:rsidRPr="00A61595">
              <w:rPr>
                <w:rFonts w:ascii="Arial" w:eastAsia="Times New Roman" w:hAnsi="Arial" w:cs="Arial"/>
                <w:sz w:val="14"/>
                <w:szCs w:val="14"/>
              </w:rPr>
              <w:fldChar w:fldCharType="end"/>
            </w:r>
          </w:p>
        </w:tc>
        <w:tc>
          <w:tcPr>
            <w:tcW w:w="192" w:type="pct"/>
            <w:shd w:val="clear" w:color="auto" w:fill="auto"/>
            <w:noWrap/>
            <w:hideMark/>
          </w:tcPr>
          <w:p w14:paraId="5F546C85"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163172E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Corporate influences on legislative action on agricultural policy in US Congress</w:t>
            </w:r>
          </w:p>
        </w:tc>
        <w:tc>
          <w:tcPr>
            <w:tcW w:w="318" w:type="pct"/>
          </w:tcPr>
          <w:p w14:paraId="6DC70C55" w14:textId="40CE8118"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0830FDD0" w14:textId="4D3B51BB"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5A85BB73" w14:textId="77BB4EDE"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229" w:type="pct"/>
          </w:tcPr>
          <w:p w14:paraId="57750F08" w14:textId="67CD95F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71453CAF" w14:textId="54FF976C" w:rsidTr="00380533">
        <w:trPr>
          <w:trHeight w:val="285"/>
        </w:trPr>
        <w:tc>
          <w:tcPr>
            <w:tcW w:w="715" w:type="pct"/>
            <w:gridSpan w:val="2"/>
            <w:shd w:val="clear" w:color="auto" w:fill="auto"/>
            <w:noWrap/>
            <w:hideMark/>
          </w:tcPr>
          <w:p w14:paraId="587A8B8D" w14:textId="163A4632"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Benbrook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{"citationID":"a2f4no9d5p0","properties":{"formattedCitation":"(29)","plainCitation":"(29)","noteIndex":0},"citationItems":[{"id":17146,"uris":["http://zotero.org/groups/2477744/items/AVAF8IJ8"],"itemData":{"id":17146,"type":"article-journal","abstract":"Previous studies have shown that organically produced food has lower risks of pesticide contamination than food that is not organically produced. However, organically produced food is not entirely free of pesticide residues. A large, high-quality U.S. Department of Agriculture database reports pesticide residues in several dozen organic and conventionally grown foods on an annual basis, and supports detailed analyses of the frequency of residues in conventional and organic food, the number of residues found in an average sample of food, residue levels, and potential dietary risk. These data are used to estimate pesticide dietary exposures and relative risk levels, and to assess the impacts of the current pesticide-related provisions of the National Organic Program (NOP) rule. Fraud appears to be rare based on the available data. Most prohibited residues found in organic produce are detected at levels far below the residues typically found in food grown with pesticides. Relatively high-risk residues are more common in imported foods-both organic and conventional-compared to domestically grown food. The authors conclude that incorporating relative dietary risk into the organic standard would be a more precautionary, risk-based approach than targeting enforcement to organic foods found to contain 5% or more of the applicable Environmental Protection Agency (EPA) tolerance. © 2014 by the authors.","container-title":"Sustainability (Switzerland)","DOI":"10.3390/su6063552","issue":"6","journalAbbreviation":"Sustainability (Switzerland)","page":"3552-3570","title":"Perspective on dietary risk assessment of pesticide residues in organic food","URL":"https://www.scopus.com/inward/record.uri?eid=2-s2.0-84904299743&amp;doi=10.3390%2fsu6063552&amp;partnerID=40&amp;md5=5cd3ac4e7acbe38aea1aacfb2b6f6dbe","volume":"6","author":[{"family":"Benbrook","given":"C.M."},{"family":"Baker","given":"B.P."}],"issued":{"date-parts":[["2014"]]}}}],"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(29)</w:t>
            </w:r>
            <w:r w:rsidRPr="00A61595">
              <w:rPr>
                <w:rFonts w:ascii="Arial" w:eastAsia="Times New Roman" w:hAnsi="Arial" w:cs="Arial"/>
                <w:sz w:val="14"/>
                <w:szCs w:val="14"/>
              </w:rPr>
              <w:fldChar w:fldCharType="end"/>
            </w:r>
            <w:r w:rsidRPr="00A61595">
              <w:rPr>
                <w:rFonts w:ascii="Arial" w:eastAsia="Times New Roman" w:hAnsi="Arial" w:cs="Arial"/>
                <w:sz w:val="14"/>
                <w:szCs w:val="14"/>
              </w:rPr>
              <w:t xml:space="preserve"> </w:t>
            </w:r>
          </w:p>
        </w:tc>
        <w:tc>
          <w:tcPr>
            <w:tcW w:w="192" w:type="pct"/>
            <w:shd w:val="clear" w:color="auto" w:fill="auto"/>
            <w:noWrap/>
            <w:hideMark/>
          </w:tcPr>
          <w:p w14:paraId="704886C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2014</w:t>
            </w:r>
          </w:p>
        </w:tc>
        <w:tc>
          <w:tcPr>
            <w:tcW w:w="2869" w:type="pct"/>
            <w:gridSpan w:val="4"/>
            <w:shd w:val="clear" w:color="auto" w:fill="auto"/>
            <w:noWrap/>
            <w:hideMark/>
          </w:tcPr>
          <w:p w14:paraId="20FEFD3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Tracking contamination in crop pesticides </w:t>
            </w:r>
          </w:p>
        </w:tc>
        <w:tc>
          <w:tcPr>
            <w:tcW w:w="318" w:type="pct"/>
          </w:tcPr>
          <w:p w14:paraId="6C60F0E2" w14:textId="46C86D33"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5E060875" w14:textId="12120FCD" w:rsidR="000B21B4" w:rsidRPr="00A61595" w:rsidRDefault="000B21B4" w:rsidP="00380533">
            <w:pPr>
              <w:rPr>
                <w:rFonts w:ascii="Arial" w:hAnsi="Arial" w:cs="Arial"/>
                <w:sz w:val="14"/>
                <w:szCs w:val="14"/>
              </w:rPr>
            </w:pPr>
            <w:r w:rsidRPr="00A61595">
              <w:rPr>
                <w:rFonts w:ascii="Arial" w:hAnsi="Arial" w:cs="Arial"/>
                <w:color w:val="000000"/>
                <w:sz w:val="14"/>
                <w:szCs w:val="14"/>
              </w:rPr>
              <w:t>NA</w:t>
            </w:r>
          </w:p>
        </w:tc>
        <w:tc>
          <w:tcPr>
            <w:tcW w:w="371" w:type="pct"/>
          </w:tcPr>
          <w:p w14:paraId="287F622C" w14:textId="59F4EFE2"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c>
          <w:tcPr>
            <w:tcW w:w="229" w:type="pct"/>
          </w:tcPr>
          <w:p w14:paraId="39E5FA84" w14:textId="24A384B9"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420B11DE" w14:textId="30277BF5" w:rsidTr="00380533">
        <w:trPr>
          <w:trHeight w:val="285"/>
        </w:trPr>
        <w:tc>
          <w:tcPr>
            <w:tcW w:w="715" w:type="pct"/>
            <w:gridSpan w:val="2"/>
            <w:shd w:val="clear" w:color="auto" w:fill="auto"/>
            <w:noWrap/>
            <w:hideMark/>
          </w:tcPr>
          <w:p w14:paraId="083602A2" w14:textId="0B2E0E98"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Benjaminsen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{"citationID":"ardsb6vpq","properties":{"formattedCitation":"(30)","plainCitation":"(30)","noteIndex":0},"citationItems":[{"id":18678,"uris":["http://zotero.org/groups/2477744/items/G696ZVK9"],"itemData":{"id":18678,"type":"article-journal","abstract":"While climate change scenarios for the Sahel vary and are uncertain, the most popularized prediction says there will progressively be drier conditions with more erratic rainfall. According to some, an increase in violent conflicts over scarce resources should also be expected. This article investigates the climate-conflict nexus in detail, focusing on a distinct area at the heart of the Sahel, the inland delta of the Niger river in the Mopti region of Mali. Two complementary analytical approaches are applied. The first consists of collection and analysis of court data on land-use conflicts, 1992-2009, from the regional Court of Appeal in Mopti. A comparison of the conflict data with statistics on contemporaneous climatic conditions gives little substance to claims that climate variability is an important driver of these conflicts. Second, we carried out a qualitative analysis of one of the many land-use conflicts in the region. Again, we find that factors other than those directly related to environmental conditions and resource scarcity dominate as plausible explanations of the violent conflict. We argue that three structural factors are the main drivers behind these conflicts: agricultural encroachment that obstructed the mobility of herders and livestock, opportunistic behavior of rural actors as a consequence of an increasing political vacuum, and corruption and rent seeking among government officials. © The Author(s) 2012.","container-title":"Journal of Peace Research","DOI":"10.1177/0022343311427343","issue":"1","journalAbbreviation":"Journal of Peace Research","page":"97-111","title":"Does climate change drive land-use conflicts in the sahel?","URL":"https://www.scopus.com/inward/record.uri?eid=2-s2.0-84856443719&amp;doi=10.1177%2f0022343311427343&amp;partnerID=40&amp;md5=c411c77f0ee8ec85e93a122f2f023216","volume":"49","author":[{"family":"Benjaminsen","given":"T.A."},{"family":"Alinon","given":"K."},{"family":"Buhaug","given":"H."},{"family":"Buseth","given":"J.T."}],"issued":{"date-parts":[["2012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(30)</w:t>
            </w:r>
            <w:r w:rsidRPr="00A61595">
              <w:rPr>
                <w:rFonts w:ascii="Arial" w:eastAsia="Times New Roman" w:hAnsi="Arial" w:cs="Arial"/>
                <w:sz w:val="14"/>
                <w:szCs w:val="14"/>
              </w:rPr>
              <w:fldChar w:fldCharType="end"/>
            </w:r>
          </w:p>
        </w:tc>
        <w:tc>
          <w:tcPr>
            <w:tcW w:w="192" w:type="pct"/>
            <w:shd w:val="clear" w:color="auto" w:fill="auto"/>
            <w:noWrap/>
            <w:hideMark/>
          </w:tcPr>
          <w:p w14:paraId="1B0FBA7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2012</w:t>
            </w:r>
          </w:p>
        </w:tc>
        <w:tc>
          <w:tcPr>
            <w:tcW w:w="2869" w:type="pct"/>
            <w:gridSpan w:val="4"/>
            <w:shd w:val="clear" w:color="auto" w:fill="auto"/>
            <w:noWrap/>
            <w:hideMark/>
          </w:tcPr>
          <w:p w14:paraId="2E8511D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Influence of climate variability and environmental conditions on land-use conflicts</w:t>
            </w:r>
          </w:p>
        </w:tc>
        <w:tc>
          <w:tcPr>
            <w:tcW w:w="318" w:type="pct"/>
          </w:tcPr>
          <w:p w14:paraId="75CB3C2B" w14:textId="627086DA"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10D0397B" w14:textId="11F231C4"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F39E0E7" w14:textId="136BD425"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0A75C0C2" w14:textId="2AB63BCD"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r>
      <w:tr w:rsidR="000B21B4" w:rsidRPr="00A61595" w14:paraId="5E07A8AC" w14:textId="2C20EF55" w:rsidTr="00380533">
        <w:trPr>
          <w:trHeight w:val="285"/>
        </w:trPr>
        <w:tc>
          <w:tcPr>
            <w:tcW w:w="715" w:type="pct"/>
            <w:gridSpan w:val="2"/>
            <w:shd w:val="clear" w:color="auto" w:fill="auto"/>
            <w:noWrap/>
            <w:hideMark/>
          </w:tcPr>
          <w:p w14:paraId="3DB94F89" w14:textId="69FEE88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Benjaminsen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{"citationID":"a13sl1loj2j","properties":{"formattedCitation":"(31)","plainCitation":"(31)","noteIndex":0},"citationItems":[{"id":18622,"uris":["http://zotero.org/groups/2477744/items/3YJBPK7T"],"itemData":{"id":18622,"type":"article-journal","abstract":"Farmer-herder conflicts in Africa are often presented as being driven by `environmental scarcity'. Political ecologists, however, argue that these conflicts should be analysed within a broader historical and policy context. This article presents a case study of a local conflict in the Kilosa District in Tanzania that tragically culminated in the killing of thirty-eight farmers on 8 December 2000. To understand the conflict, the authors argue that it is necessary to study the history of villagization and land use in the District, as well as national land tenure and pastoral policies. Attempts at agricultural modernization have fostered an anti-pastoral environment in Tanzania. The government aim is to confine livestock keeping to `pastoral villages', but these villages lack sufficient pastures and water supplies, leading herders to search for such resources elsewhere. Pastoral access to wetlands is decreasing due to expansion of cultivated areas and the promotion of agriculture. The main tool that pastoralists still possess to counteract this trend is their ability to bribe officials. But corruption further undermines people's trust in authorities and in the willingness of these authorities to prevent conflicts. This leads actors to try to solve problems through other means, notably violence.","container-title":"DEVELOPMENT AND CHANGE","DOI":"10.1111/j.1467-7660.2009.01558.x","issue":"3","journalAbbreviation":"DEVELOPMENT AND CHANGE","page":"423-445","title":"The Kilosa Killings: Political Ecology of a Farmer-Herder Conflict in Tanzania","volume":"40","author":[{"family":"Benjaminsen","given":"Tor A"},{"family":"Maganga","given":"Faustin P"},{"family":"Abdallah","given":"Jumanne Moshi"}],"issued":{"date-parts":[["2009"]]}}}],"schema":"https://github.com/citation-style-language/schema/raw/master/csl-citation.json"}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(31)</w:t>
            </w:r>
            <w:r w:rsidRPr="00A61595">
              <w:rPr>
                <w:rFonts w:ascii="Arial" w:eastAsia="Times New Roman" w:hAnsi="Arial" w:cs="Arial"/>
                <w:sz w:val="14"/>
                <w:szCs w:val="14"/>
              </w:rPr>
              <w:fldChar w:fldCharType="end"/>
            </w:r>
          </w:p>
        </w:tc>
        <w:tc>
          <w:tcPr>
            <w:tcW w:w="192" w:type="pct"/>
            <w:shd w:val="clear" w:color="auto" w:fill="auto"/>
            <w:noWrap/>
            <w:hideMark/>
          </w:tcPr>
          <w:p w14:paraId="092D051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2009</w:t>
            </w:r>
          </w:p>
        </w:tc>
        <w:tc>
          <w:tcPr>
            <w:tcW w:w="2869" w:type="pct"/>
            <w:gridSpan w:val="4"/>
            <w:shd w:val="clear" w:color="auto" w:fill="auto"/>
            <w:noWrap/>
            <w:hideMark/>
          </w:tcPr>
          <w:p w14:paraId="13E547FE"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Factors leading to a farmer-herder conflict</w:t>
            </w:r>
          </w:p>
        </w:tc>
        <w:tc>
          <w:tcPr>
            <w:tcW w:w="318" w:type="pct"/>
          </w:tcPr>
          <w:p w14:paraId="068A4AC7" w14:textId="49624986"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e </w:t>
            </w:r>
          </w:p>
        </w:tc>
        <w:tc>
          <w:tcPr>
            <w:tcW w:w="306" w:type="pct"/>
          </w:tcPr>
          <w:p w14:paraId="02635EEE" w14:textId="5AAB7C49"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393D9180" w14:textId="7FCBD7DB"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f, </w:t>
            </w:r>
            <w:proofErr w:type="spellStart"/>
            <w:r w:rsidRPr="00A61595">
              <w:rPr>
                <w:rFonts w:ascii="Arial" w:hAnsi="Arial" w:cs="Arial"/>
                <w:color w:val="000000"/>
                <w:sz w:val="14"/>
                <w:szCs w:val="14"/>
              </w:rPr>
              <w:t>i</w:t>
            </w:r>
            <w:proofErr w:type="spellEnd"/>
          </w:p>
        </w:tc>
        <w:tc>
          <w:tcPr>
            <w:tcW w:w="229" w:type="pct"/>
          </w:tcPr>
          <w:p w14:paraId="0A03A875" w14:textId="4A24D682"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r>
      <w:tr w:rsidR="000B21B4" w:rsidRPr="00A61595" w14:paraId="17E68A63" w14:textId="02460D13" w:rsidTr="00380533">
        <w:trPr>
          <w:trHeight w:val="285"/>
        </w:trPr>
        <w:tc>
          <w:tcPr>
            <w:tcW w:w="715" w:type="pct"/>
            <w:gridSpan w:val="2"/>
            <w:shd w:val="clear" w:color="auto" w:fill="auto"/>
            <w:noWrap/>
            <w:hideMark/>
          </w:tcPr>
          <w:p w14:paraId="66DEC0AC" w14:textId="31AB8F6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Bergeron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{"citationID":"a1suhjm8otm","properties":{"formattedCitation":"(32)","plainCitation":"(32)","noteIndex":0},"citationItems":[{"id":17147,"uris":["http://zotero.org/groups/2477744/items/9ICILQLH"],"itemData":{"id":17147,"type":"article-journal","abstract":"The French news media has framed \"obesity\" largely as a product of corporate greed and social inequality. Yet, France has-like other nations including the United States-adopted policies that focus on changing individual-level behavior. This article identifies several factors-including food industry lobbying, the Ministry of Agriculture's rivalry with the Ministry of Health and alliance with the food industry, and competition with other policy goals-that favored the development of individual-level policy approaches to obesity in France at the expense of social-structural ones. This case points to the need to more systematically document inconsistencies and consistencies between social problem framing and policies. It also shows that national culture is multivalent and internally contradictory, fueling political and social struggles over which version of national culture will prevail at any given moment. © The Institute of French Studies.","container-title":"French Politics, Culture and Society","DOI":"10.3167/fpcs.2019.370205","issue":"2","journalAbbreviation":"French Politics, Culture and Society","page":"110-130","title":"A french paradox? Toward an Explanation of inconsistencies between Framing and Policies","URL":"https://www.scopus.com/inward/record.uri?eid=2-s2.0-85077693808&amp;doi=10.3167%2ffpcs.2019.370205&amp;partnerID=40&amp;md5=a277ad0178deb852cebc684e56906849","volume":"37","author":[{"family":"Bergeron","given":"H."},{"family":"Castel","given":"P."},{"family":"Saguy","given":"A.C."}],"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(32)</w:t>
            </w:r>
            <w:r w:rsidRPr="00A61595">
              <w:rPr>
                <w:rFonts w:ascii="Arial" w:eastAsia="Times New Roman" w:hAnsi="Arial" w:cs="Arial"/>
                <w:sz w:val="14"/>
                <w:szCs w:val="14"/>
              </w:rPr>
              <w:fldChar w:fldCharType="end"/>
            </w:r>
          </w:p>
        </w:tc>
        <w:tc>
          <w:tcPr>
            <w:tcW w:w="192" w:type="pct"/>
            <w:shd w:val="clear" w:color="auto" w:fill="auto"/>
            <w:noWrap/>
            <w:hideMark/>
          </w:tcPr>
          <w:p w14:paraId="0A927FC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1C522F1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Corporate influence on obesity policy</w:t>
            </w:r>
          </w:p>
        </w:tc>
        <w:tc>
          <w:tcPr>
            <w:tcW w:w="318" w:type="pct"/>
          </w:tcPr>
          <w:p w14:paraId="54704F31" w14:textId="53490B88"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739AFAF8" w14:textId="344C40B1"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71" w:type="pct"/>
          </w:tcPr>
          <w:p w14:paraId="1B9AE9B7" w14:textId="6C5A896F"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2104E16E" w14:textId="68575DEF"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1B15DC03" w14:textId="7ABB8857" w:rsidTr="00380533">
        <w:trPr>
          <w:trHeight w:val="285"/>
        </w:trPr>
        <w:tc>
          <w:tcPr>
            <w:tcW w:w="715" w:type="pct"/>
            <w:gridSpan w:val="2"/>
            <w:shd w:val="clear" w:color="auto" w:fill="auto"/>
            <w:noWrap/>
            <w:hideMark/>
          </w:tcPr>
          <w:p w14:paraId="0257AE71" w14:textId="58CA5A4A"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Beseng</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{"citationID":"a24vpgve8oa","properties":{"formattedCitation":"(33)","plainCitation":"(33)","noteIndex":0},"citationItems":[{"id":18680,"uris":["http://zotero.org/groups/2477744/items/PKNH7XYE"],"itemData":{"id":18680,"type":"article-journal","abstract":"This article removes the lid on fisheries crime in Cameroon by providing empirical evidence of criminal practices along the maritime fisheries value chain. To achieve this, the study relied on both primary and secondary data. Primary data was collected from direct observation, informal group discussions and semi-structured interviews involving state officials, coastal community groups and other civil society organisations in the west maritime district of Southwest Cameroon. The article reveals a plethora of fisheries-related crimes encompassing corruption (i.e. bribery and abuse of office), document and identity fraud, illegal exploitation of fish maws and endangered marine mammals. Other crimes associated to the fisheries sector included: smuggling of contraband goods, arms smuggling, illegal migration, illegal recruitment and abuse of workers' rights. Through these examples, this research empirically demonstrates the interrelationship of the different criminal practices and their organised and transnational dimension. The study also paints a complex picture of criminality perpetuated by a sophisticated network of both local and foreign industrial fisheries stakeholders. Consequently, addressing illicit activities in the maritime fisheries sector requires cooperation from a wide range of both state and non-state actors in investigating and analysing the nature of fisheries crime practices, the agents involved and their modes of operation. This approach is necessary to gain a better understanding of the problem and enable actors design appropriate and targeted management responses. © 2019","container-title":"Marine Policy","DOI":"10.1016/j.marpol.2019.103669","journalAbbreviation":"Marine Policy","title":"Cameroon's choppy waters: The anatomy of fisheries crime in the maritime fisheries sector","URL":"https://www.scopus.com/inward/record.uri?eid=2-s2.0-85071402500&amp;doi=10.1016%2fj.marpol.2019.103669&amp;partnerID=40&amp;md5=70194c1c7b40d6813e12c7146c9d5d75","volume":"108","author":[{"family":"Beseng","given":"M."}],"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(33)</w:t>
            </w:r>
            <w:r w:rsidRPr="00A61595">
              <w:rPr>
                <w:rFonts w:ascii="Arial" w:eastAsia="Times New Roman" w:hAnsi="Arial" w:cs="Arial"/>
                <w:sz w:val="14"/>
                <w:szCs w:val="14"/>
              </w:rPr>
              <w:fldChar w:fldCharType="end"/>
            </w:r>
          </w:p>
        </w:tc>
        <w:tc>
          <w:tcPr>
            <w:tcW w:w="192" w:type="pct"/>
            <w:shd w:val="clear" w:color="auto" w:fill="auto"/>
            <w:noWrap/>
            <w:hideMark/>
          </w:tcPr>
          <w:p w14:paraId="78CBDA8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7DE37BE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Interrelationship of the different criminal practices in fisheries</w:t>
            </w:r>
          </w:p>
        </w:tc>
        <w:tc>
          <w:tcPr>
            <w:tcW w:w="318" w:type="pct"/>
          </w:tcPr>
          <w:p w14:paraId="076A6EBD" w14:textId="023BA3FA" w:rsidR="000B21B4" w:rsidRPr="00A61595" w:rsidRDefault="000B21B4" w:rsidP="00380533">
            <w:pPr>
              <w:rPr>
                <w:rFonts w:ascii="Arial" w:hAnsi="Arial" w:cs="Arial"/>
                <w:sz w:val="14"/>
                <w:szCs w:val="14"/>
              </w:rPr>
            </w:pPr>
            <w:r w:rsidRPr="00A61595">
              <w:rPr>
                <w:rFonts w:ascii="Arial" w:hAnsi="Arial" w:cs="Arial"/>
                <w:color w:val="000000"/>
                <w:sz w:val="14"/>
                <w:szCs w:val="14"/>
              </w:rPr>
              <w:t>a, b, c, e</w:t>
            </w:r>
          </w:p>
        </w:tc>
        <w:tc>
          <w:tcPr>
            <w:tcW w:w="306" w:type="pct"/>
          </w:tcPr>
          <w:p w14:paraId="19270953" w14:textId="450E4D37"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371" w:type="pct"/>
          </w:tcPr>
          <w:p w14:paraId="099D85A1" w14:textId="50B514F1" w:rsidR="000B21B4" w:rsidRPr="00A61595" w:rsidRDefault="000B21B4" w:rsidP="00380533">
            <w:pPr>
              <w:rPr>
                <w:rFonts w:ascii="Arial" w:hAnsi="Arial" w:cs="Arial"/>
                <w:sz w:val="14"/>
                <w:szCs w:val="14"/>
              </w:rPr>
            </w:pPr>
            <w:r w:rsidRPr="00A61595">
              <w:rPr>
                <w:rFonts w:ascii="Arial" w:hAnsi="Arial" w:cs="Arial"/>
                <w:color w:val="000000"/>
                <w:sz w:val="14"/>
                <w:szCs w:val="14"/>
              </w:rPr>
              <w:t>f, j, k</w:t>
            </w:r>
          </w:p>
        </w:tc>
        <w:tc>
          <w:tcPr>
            <w:tcW w:w="229" w:type="pct"/>
          </w:tcPr>
          <w:p w14:paraId="7B1C281C" w14:textId="4DF149D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3DD213F8" w14:textId="3CAB040A" w:rsidTr="00380533">
        <w:trPr>
          <w:trHeight w:val="285"/>
        </w:trPr>
        <w:tc>
          <w:tcPr>
            <w:tcW w:w="715" w:type="pct"/>
            <w:gridSpan w:val="2"/>
            <w:shd w:val="clear" w:color="auto" w:fill="auto"/>
            <w:noWrap/>
            <w:hideMark/>
          </w:tcPr>
          <w:p w14:paraId="30A61976" w14:textId="1C5AE0E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lastRenderedPageBreak/>
              <w:t>Bhuyan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{"citationID":"a9rcqqt1rd","properties":{"formattedCitation":"(34)","plainCitation":"(34)","noteIndex":0},"citationItems":[{"id":18681,"uris":["http://zotero.org/groups/2477744/items/TS36M87R"],"itemData":{"id":18681,"type":"article-journal","abstract":"Businesses participate in political activities, such as campaign contributions and lobbying, to influence public policy formulation and implementation. Using a sample of U.S. food manufacturing industries, this study measures the welfare impact of corporate political activities in those industries. Empirical analysis shows that rent seeking was imperfect and corporate political activities were higher in those industries that were highly concentrated, large in employee size and sales, and deeper in debt.","container-title":"Review of Industrial Organization","DOI":"10.1023/A:1007843812053","issue":"4","journalAbbreviation":"Review of Industrial Organization","page":"411-426","title":"Corporate political activities and oligopoly welfare loss","URL":"https://www.scopus.com/inward/record.uri?eid=2-s2.0-0033677250&amp;doi=10.1023%2fA%3a1007843812053&amp;partnerID=40&amp;md5=d08003fb4713238c0fca2af4f4e062f1","volume":"17","author":[{"family":"Bhuyan","given":"S."}],"issued":{"date-parts":[["2000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(34)</w:t>
            </w:r>
            <w:r w:rsidRPr="00A61595">
              <w:rPr>
                <w:rFonts w:ascii="Arial" w:eastAsia="Times New Roman" w:hAnsi="Arial" w:cs="Arial"/>
                <w:sz w:val="14"/>
                <w:szCs w:val="14"/>
              </w:rPr>
              <w:fldChar w:fldCharType="end"/>
            </w:r>
          </w:p>
        </w:tc>
        <w:tc>
          <w:tcPr>
            <w:tcW w:w="192" w:type="pct"/>
            <w:shd w:val="clear" w:color="auto" w:fill="auto"/>
            <w:noWrap/>
            <w:hideMark/>
          </w:tcPr>
          <w:p w14:paraId="6F2B8A7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2000</w:t>
            </w:r>
          </w:p>
        </w:tc>
        <w:tc>
          <w:tcPr>
            <w:tcW w:w="2869" w:type="pct"/>
            <w:gridSpan w:val="4"/>
            <w:shd w:val="clear" w:color="auto" w:fill="auto"/>
            <w:noWrap/>
            <w:hideMark/>
          </w:tcPr>
          <w:p w14:paraId="50DCB32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Welfare impact of corporate political activities in US food manufacturing industries</w:t>
            </w:r>
          </w:p>
        </w:tc>
        <w:tc>
          <w:tcPr>
            <w:tcW w:w="318" w:type="pct"/>
          </w:tcPr>
          <w:p w14:paraId="07C6D74B" w14:textId="1E3BF2D3"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723DFBAF" w14:textId="7CDF46C4"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EED658E" w14:textId="1CAABD4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b, f, </w:t>
            </w:r>
            <w:proofErr w:type="spellStart"/>
            <w:r w:rsidRPr="00A61595">
              <w:rPr>
                <w:rFonts w:ascii="Arial" w:hAnsi="Arial" w:cs="Arial"/>
                <w:color w:val="000000"/>
                <w:sz w:val="14"/>
                <w:szCs w:val="14"/>
              </w:rPr>
              <w:t>i</w:t>
            </w:r>
            <w:proofErr w:type="spellEnd"/>
          </w:p>
        </w:tc>
        <w:tc>
          <w:tcPr>
            <w:tcW w:w="229" w:type="pct"/>
          </w:tcPr>
          <w:p w14:paraId="045DD188" w14:textId="5D2CDC4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32AEFC47" w14:textId="1D0AAD0A" w:rsidTr="00380533">
        <w:trPr>
          <w:trHeight w:val="285"/>
        </w:trPr>
        <w:tc>
          <w:tcPr>
            <w:tcW w:w="715" w:type="pct"/>
            <w:gridSpan w:val="2"/>
            <w:shd w:val="clear" w:color="auto" w:fill="auto"/>
            <w:noWrap/>
            <w:hideMark/>
          </w:tcPr>
          <w:p w14:paraId="3F54F666" w14:textId="41C07CB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Bimbo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{"citationID":"agdepdnd5a","properties":{"formattedCitation":"(35)","plainCitation":"(35)","noteIndex":0},"citationItems":[{"id":18808,"uris":["http://zotero.org/groups/2477744/items/PCTV3D4X"],"itemData":{"id":18808,"type":"article-journal","abstract":"The mislabelling of agricultural and food products is one of the most common types of food fraud. Despite the frequency with which labelling fraud occurs, there is no empirical framework to study its welfare implications, the probability that it may occur, and the measures that can limit its occurrence. We present an empirical framework to study the economic consequences of food labelling fraud in a differentiated products food market. Such framework requires the availability of sales data and the use of an 'attribute-space' demand model. The model is applied to the Italian extra-virgin olive oil market to simulate the occurrence of fraudulent '100 per cent Italian' claims. Our results indicate that potential consumer losses due to overpayments for a false claim are higher than manufacturer gains, suggesting that labelling fraud results in welfare losses and not just in welfare transfers. Simulation results indicate that the level of the current administrative fines is not likely to be effective to discourage '100 per cent Italian' labelling fraud. Imposing larger fines or other measures negatively affecting a firm's image could be more effective in deterring labelling fraud.","archive_location":"WOS:000479665600001","container-title":"AUSTRALIAN JOURNAL OF AGRICULTURAL AND RESOURCE ECONOMICS","DOI":"10.1111/1467-8489.12318","issue":"4","journalAbbreviation":"AUSTRALIAN JOURNAL OF AGRICULTURAL AND RESOURCE ECONOMICS","page":"701-725","title":"An empirical framework to study food labelling fraud: an application to the Italian extra-virgin olive oil market","volume":"63","author":[{"family":"Bimbo","given":"F"},{"family":"Bonanno","given":"A"},{"family":"Viscecchia","given":"R"}],"issued":{"date-parts":[["2019"]]}}}],"schema":"https://github.com/citation-style-language/schema/raw/master/csl-citation.json"}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(35)</w:t>
            </w:r>
            <w:r w:rsidRPr="00A61595">
              <w:rPr>
                <w:rFonts w:ascii="Arial" w:eastAsia="Times New Roman" w:hAnsi="Arial" w:cs="Arial"/>
                <w:sz w:val="14"/>
                <w:szCs w:val="14"/>
              </w:rPr>
              <w:fldChar w:fldCharType="end"/>
            </w:r>
          </w:p>
        </w:tc>
        <w:tc>
          <w:tcPr>
            <w:tcW w:w="192" w:type="pct"/>
            <w:shd w:val="clear" w:color="auto" w:fill="auto"/>
            <w:noWrap/>
            <w:hideMark/>
          </w:tcPr>
          <w:p w14:paraId="397D70B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39F9794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Simulating fraud related to untruthful Extra Virgin Olive Oil claims</w:t>
            </w:r>
          </w:p>
        </w:tc>
        <w:tc>
          <w:tcPr>
            <w:tcW w:w="318" w:type="pct"/>
          </w:tcPr>
          <w:p w14:paraId="3D9D2309" w14:textId="3B2BE478"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5055F845" w14:textId="1DE8B46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0D224D68" w14:textId="035C861E"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b, </w:t>
            </w:r>
            <w:proofErr w:type="spellStart"/>
            <w:r w:rsidRPr="00A61595">
              <w:rPr>
                <w:rFonts w:ascii="Arial" w:hAnsi="Arial" w:cs="Arial"/>
                <w:color w:val="000000"/>
                <w:sz w:val="14"/>
                <w:szCs w:val="14"/>
              </w:rPr>
              <w:t>i</w:t>
            </w:r>
            <w:proofErr w:type="spellEnd"/>
          </w:p>
        </w:tc>
        <w:tc>
          <w:tcPr>
            <w:tcW w:w="229" w:type="pct"/>
          </w:tcPr>
          <w:p w14:paraId="78003631" w14:textId="0F91EC11" w:rsidR="000B21B4" w:rsidRPr="00A61595" w:rsidRDefault="000B21B4" w:rsidP="00380533">
            <w:pPr>
              <w:rPr>
                <w:rFonts w:ascii="Arial" w:hAnsi="Arial" w:cs="Arial"/>
                <w:sz w:val="14"/>
                <w:szCs w:val="14"/>
              </w:rPr>
            </w:pPr>
            <w:r w:rsidRPr="00A61595">
              <w:rPr>
                <w:rFonts w:ascii="Arial" w:hAnsi="Arial" w:cs="Arial"/>
                <w:color w:val="000000"/>
                <w:sz w:val="14"/>
                <w:szCs w:val="14"/>
              </w:rPr>
              <w:t>e, f</w:t>
            </w:r>
          </w:p>
        </w:tc>
      </w:tr>
      <w:tr w:rsidR="000B21B4" w:rsidRPr="00A61595" w14:paraId="5384DBC4" w14:textId="6C1A005F" w:rsidTr="00380533">
        <w:trPr>
          <w:trHeight w:val="285"/>
        </w:trPr>
        <w:tc>
          <w:tcPr>
            <w:tcW w:w="715" w:type="pct"/>
            <w:gridSpan w:val="2"/>
            <w:shd w:val="clear" w:color="auto" w:fill="auto"/>
            <w:noWrap/>
            <w:hideMark/>
          </w:tcPr>
          <w:p w14:paraId="7E10F4F3" w14:textId="52F442F9"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Bødker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{"citationID":"a1f1uglcivm","properties":{"formattedCitation":"(36)","plainCitation":"(36)","noteIndex":0},"citationItems":[{"id":18651,"uris":["http://zotero.org/groups/2477744/items/3BUTDITF"],"itemData":{"id":18651,"type":"article-journal","abstract":"In 2011, Denmark introduced the world’s first tax on saturated fat, but only 15 months later the fat tax was abolished. The aim of this article is to investigate the political processes surrounding the implementation and rapid abolition of the fat tax. Our findings suggest that industry and trade associations were heavily involved in the political process of formulating the fat tax. Industry representatives used certain tactics to oppose the fat tax: threatening lawsuits, predicting welfare losses, casting doubt on evidence, diverting focus and requesting postponement. After the fat tax was implemented, the food industry continued their opposition through intensified lobbyism and juridical actions at EU level. However, other factors seem to have contributed to the fall of the fat tax. The tax received criticism for being poorly designed and gradually lost popularity among health professionals, politicians and the public. In the end, the fat tax was abolished for financial reasons. This study demonstrates how politicians considered the fat tax as a funding source rather than a public health initiative, which resulted in significant shortcomings. Furthermore, we demonstrate that the massive influence by industry stakeholders was not balanced with inputs from public health professionals, who should assume a more proactive role in policy-making. (PsycINFO Database Record (c) 2016 APA, all rights reserved)","container-title":"Health Policy","DOI":"10.1016/j.healthpol.2015.03.003","issue":"6","journalAbbreviation":"Health Policy","note":"publisher-place: Netherlands\npublisher: Elsevier Science","page":"737-742","title":"The rise and fall of the world's first fat tax.","volume":"119","author":[{"family":"Bødker","given":"Malene"},{"family":"Pisinger","given":"Charlotta"},{"family":"Toft","given":"Ulla"},{"family":"Jørgensen","given":"Torben"}],"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(36)</w:t>
            </w:r>
            <w:r w:rsidRPr="00A61595">
              <w:rPr>
                <w:rFonts w:ascii="Arial" w:eastAsia="Times New Roman" w:hAnsi="Arial" w:cs="Arial"/>
                <w:sz w:val="14"/>
                <w:szCs w:val="14"/>
              </w:rPr>
              <w:fldChar w:fldCharType="end"/>
            </w:r>
          </w:p>
        </w:tc>
        <w:tc>
          <w:tcPr>
            <w:tcW w:w="192" w:type="pct"/>
            <w:shd w:val="clear" w:color="auto" w:fill="auto"/>
            <w:noWrap/>
            <w:hideMark/>
          </w:tcPr>
          <w:p w14:paraId="6B92013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164E439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Political processes that led to the introduction and rapid abolition of the fat tax</w:t>
            </w:r>
          </w:p>
        </w:tc>
        <w:tc>
          <w:tcPr>
            <w:tcW w:w="318" w:type="pct"/>
          </w:tcPr>
          <w:p w14:paraId="3C8D1F31" w14:textId="4D3159EB"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0CF27D2F" w14:textId="79536CA7"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DB93A82" w14:textId="107C2C2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h, </w:t>
            </w:r>
            <w:proofErr w:type="spellStart"/>
            <w:r w:rsidRPr="00A61595">
              <w:rPr>
                <w:rFonts w:ascii="Arial" w:hAnsi="Arial" w:cs="Arial"/>
                <w:color w:val="000000"/>
                <w:sz w:val="14"/>
                <w:szCs w:val="14"/>
              </w:rPr>
              <w:t>i</w:t>
            </w:r>
            <w:proofErr w:type="spellEnd"/>
          </w:p>
        </w:tc>
        <w:tc>
          <w:tcPr>
            <w:tcW w:w="229" w:type="pct"/>
          </w:tcPr>
          <w:p w14:paraId="56065D2D" w14:textId="06B73DE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77D9DF90" w14:textId="3ECD5C18" w:rsidTr="00380533">
        <w:trPr>
          <w:trHeight w:val="285"/>
        </w:trPr>
        <w:tc>
          <w:tcPr>
            <w:tcW w:w="715" w:type="pct"/>
            <w:gridSpan w:val="2"/>
            <w:shd w:val="clear" w:color="auto" w:fill="auto"/>
            <w:noWrap/>
            <w:hideMark/>
          </w:tcPr>
          <w:p w14:paraId="2AEFC01A" w14:textId="35A4493B"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Boerder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{"citationID":"abih5nl9jq","properties":{"formattedCitation":"(37)","plainCitation":"(37)","noteIndex":0},"citationItems":[{"id":18682,"uris":["http://zotero.org/groups/2477744/items/MAEYRY9Z"],"itemData":{"id":18682,"type":"article-journal","abstract":"A major challenge in global fisheries is posed by transshipment of catch at sea from fishing vessels to refrigerated cargo vessels, which can obscure the origin of the catch and mask illicit practices. Transshipment remains poorly quantified at a global scale, as much of it is thought to occur outside of national waters. We used Automatic Identification System (AIS) vessel tracking data to quantify spatial patterns of transshipment for major fisheries and gear types. From 2012 to 2017, we observed 10,510 likely transshipment events, with trawlers (53%) and longliners (21%) involved in a majority of cases. Trawlers tended to transship in national waters, whereas longliners did so predominantly on the high seas. Spatial hot spots were seen off the coasts of Russia and West Africa, in the South Indian Ocean, and in the equatorial Pacific Ocean. Our study highlights novel ways to trace seafood supply chains and identifies priority areas for improved trade regulation and fisheries management at the global scale. Copyright © 2018 The Authors, some rights reserved;","container-title":"Science Advances","DOI":"10.1126/sciadv.aat7159","issue":"7","journalAbbreviation":"Science Advances","title":"Global hot spots of transshipment of fish catch at sea","URL":"https://www.scopus.com/inward/record.uri?eid=2-s2.0-85050812321&amp;doi=10.1126%2fsciadv.aat7159&amp;partnerID=40&amp;md5=54ecbdfd9b5056acffba3701c466b43d","volume":"4","author":[{"family":"Boerder","given":"K."},{"family":"Miller","given":"N.A."},{"family":"Worm","given":"B."}],"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(37)</w:t>
            </w:r>
            <w:r w:rsidRPr="00A61595">
              <w:rPr>
                <w:rFonts w:ascii="Arial" w:eastAsia="Times New Roman" w:hAnsi="Arial" w:cs="Arial"/>
                <w:sz w:val="14"/>
                <w:szCs w:val="14"/>
              </w:rPr>
              <w:fldChar w:fldCharType="end"/>
            </w:r>
          </w:p>
        </w:tc>
        <w:tc>
          <w:tcPr>
            <w:tcW w:w="192" w:type="pct"/>
            <w:shd w:val="clear" w:color="auto" w:fill="auto"/>
            <w:noWrap/>
            <w:hideMark/>
          </w:tcPr>
          <w:p w14:paraId="4AA96D6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089C865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Mapping the role of transshipment in transnational fishing industry</w:t>
            </w:r>
          </w:p>
        </w:tc>
        <w:tc>
          <w:tcPr>
            <w:tcW w:w="318" w:type="pct"/>
          </w:tcPr>
          <w:p w14:paraId="6752D484" w14:textId="5BB9AEDE"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6FAFB6F3" w14:textId="7D7667D1"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30A70CD" w14:textId="4279C6B8" w:rsidR="000B21B4" w:rsidRPr="00A61595" w:rsidRDefault="000B21B4" w:rsidP="00380533">
            <w:pPr>
              <w:rPr>
                <w:rFonts w:ascii="Arial" w:hAnsi="Arial" w:cs="Arial"/>
                <w:sz w:val="14"/>
                <w:szCs w:val="14"/>
              </w:rPr>
            </w:pPr>
            <w:r w:rsidRPr="00A61595">
              <w:rPr>
                <w:rFonts w:ascii="Arial" w:hAnsi="Arial" w:cs="Arial"/>
                <w:color w:val="000000"/>
                <w:sz w:val="14"/>
                <w:szCs w:val="14"/>
              </w:rPr>
              <w:t>a, e, h</w:t>
            </w:r>
          </w:p>
        </w:tc>
        <w:tc>
          <w:tcPr>
            <w:tcW w:w="229" w:type="pct"/>
          </w:tcPr>
          <w:p w14:paraId="0296514D" w14:textId="54C95C2E"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CF9296B" w14:textId="4BE23AA9" w:rsidTr="00380533">
        <w:trPr>
          <w:trHeight w:val="285"/>
        </w:trPr>
        <w:tc>
          <w:tcPr>
            <w:tcW w:w="715" w:type="pct"/>
            <w:gridSpan w:val="2"/>
            <w:shd w:val="clear" w:color="auto" w:fill="auto"/>
            <w:noWrap/>
            <w:hideMark/>
          </w:tcPr>
          <w:p w14:paraId="7C62871A" w14:textId="3DEE130E"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Bouzembrak</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{"citationID":"a2ql94biakl","properties":{"formattedCitation":"(38)","plainCitation":"(38)","noteIndex":0},"citationItems":[{"id":17149,"uris":["http://zotero.org/groups/2477744/items/UKSMYUWI"],"itemData":{"id":17149,"type":"article-journal","abstract":"Because food fraud can harm human health and erode consumer trust, it is imperative that it is detected at an early stage. Therefore the aim of this study was to predict the expected food fraud type for imported products for which the product category and country of origin are known in order to target enforcement activities. For this purpose we used a Bayesian Network (BN) model that was developed based on adulteration/fraud notifications as reported in the Rapid Alert System for Food and Feed (RASFF) in the period 2000-2013. In this period 749 food fraud notifications were reported and were categorised in 6 different fraud types (i) improper, fraudulent, missing or absent health certificates, (ii) illegal importation, (iii) tampering, (iv) improper, expired, fraudulent or missing common entry documents or import declarations, (v) expiration date, (vi) mislabelling. The data were then used to develop a BN model. The constructed BN model was validated using 88 food fraud notifications reported in RASFF in 2014. The proposed model predicted 80% of food fraud types correctly when food fraud type, country and food category had been reported previously in RASFF. The model predicted 52% of all 88 food fraud types correctly when the country of origin or the product-country combination had not been recorded before in the RASFF database. The presented model can aid the risk manager/controller in border inspection posts in deciding which fraud type to check when importing products. © 2015 Elsevier Ltd.","container-title":"Food Control","DOI":"10.1016/j.foodcont.2015.09.026","journalAbbreviation":"Food Control","page":"180-187","title":"Prediction of food fraud type using data from Rapid Alert System for Food and Feed (RASFF) and Bayesian network modelling","URL":"https://www.scopus.com/inward/record.uri?eid=2-s2.0-84943559851&amp;doi=10.1016%2fj.foodcont.2015.09.026&amp;partnerID=40&amp;md5=82a57397af175cb3ab4350b7e0518a8f","volume":"61","author":[{"family":"Bouzembrak","given":"Y."},{"family":"Marvin","given":"H.J.P."}],"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(38)</w:t>
            </w:r>
            <w:r w:rsidRPr="00A61595">
              <w:rPr>
                <w:rFonts w:ascii="Arial" w:eastAsia="Times New Roman" w:hAnsi="Arial" w:cs="Arial"/>
                <w:sz w:val="14"/>
                <w:szCs w:val="14"/>
              </w:rPr>
              <w:fldChar w:fldCharType="end"/>
            </w:r>
          </w:p>
        </w:tc>
        <w:tc>
          <w:tcPr>
            <w:tcW w:w="192" w:type="pct"/>
            <w:shd w:val="clear" w:color="auto" w:fill="auto"/>
            <w:noWrap/>
            <w:hideMark/>
          </w:tcPr>
          <w:p w14:paraId="6AE5F0F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09FF94B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Assessing and modelling food fraud notifications in a Rapid Alert System for Food and Feed</w:t>
            </w:r>
          </w:p>
        </w:tc>
        <w:tc>
          <w:tcPr>
            <w:tcW w:w="318" w:type="pct"/>
          </w:tcPr>
          <w:p w14:paraId="40F13917" w14:textId="3BB521F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0127FD14" w14:textId="2EE4CD62"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62493F2" w14:textId="1AA7FB7A" w:rsidR="000B21B4" w:rsidRPr="00A61595" w:rsidRDefault="000B21B4" w:rsidP="00380533">
            <w:pPr>
              <w:rPr>
                <w:rFonts w:ascii="Arial" w:hAnsi="Arial" w:cs="Arial"/>
                <w:sz w:val="14"/>
                <w:szCs w:val="14"/>
              </w:rPr>
            </w:pPr>
            <w:r w:rsidRPr="00A61595">
              <w:rPr>
                <w:rFonts w:ascii="Arial" w:hAnsi="Arial" w:cs="Arial"/>
                <w:color w:val="000000"/>
                <w:sz w:val="14"/>
                <w:szCs w:val="14"/>
              </w:rPr>
              <w:t>a, g</w:t>
            </w:r>
          </w:p>
        </w:tc>
        <w:tc>
          <w:tcPr>
            <w:tcW w:w="229" w:type="pct"/>
          </w:tcPr>
          <w:p w14:paraId="744CA725" w14:textId="396726C0"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701313F" w14:textId="45466CC4" w:rsidTr="00380533">
        <w:trPr>
          <w:trHeight w:val="285"/>
        </w:trPr>
        <w:tc>
          <w:tcPr>
            <w:tcW w:w="715" w:type="pct"/>
            <w:gridSpan w:val="2"/>
            <w:shd w:val="clear" w:color="auto" w:fill="auto"/>
            <w:noWrap/>
            <w:hideMark/>
          </w:tcPr>
          <w:p w14:paraId="6DB6A7CA" w14:textId="3355B0A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Brock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{"citationID":"a2joqkb8g8j","properties":{"formattedCitation":"(39)","plainCitation":"(39)","noteIndex":0},"citationItems":[{"id":17150,"uris":["http://zotero.org/groups/2477744/items/69SMZTY3"],"itemData":{"id":17150,"type":"article-journal","abstract":"How do political environment and organization characteristics combine to impact lobbying behavior? I answer this question using a time series analysis of an original dataset comprised of corporate lobbying disclosure reports, made available through the Lobbying Disclosure Act of 1995. I theorize that polarization will drive increases in lobbying efforts toward Congress in particular, due to the increasing challenges of legislating under such conditions. The findings indicate that polarization does appear to increase lobbying in Congress, while firm wealth, combined with constituency-based connections to members of Congress, decreases lobbying efforts, perhaps due to increased efficacy of efforts (quality over quantity). These findings, when paired with recent evidence regarding the relationship between leadership and non-leadership members of Congress, suggest that lobbyists may be becoming an increasingly integral source of information for members of Congress who do not hold leadership positions. © 2021, The Author(s), under exclusive licence to Springer Nature Limited part of Springer Nature.","container-title":"Interest Groups and Advocacy","DOI":"10.1057/s41309-021-00112-5","issue":"2","journalAbbreviation":"Interest Groups and Advocacy","page":"95-113","title":"Partisan polarization and corporate lobbying: information, demand, and conflict","URL":"https://www.scopus.com/inward/record.uri?eid=2-s2.0-85100825724&amp;doi=10.1057%2fs41309-021-00112-5&amp;partnerID=40&amp;md5=74f29de0560e296cd182698dedd3a1a4","volume":"10","author":[{"family":"Brock","given":"C."}],"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(39)</w:t>
            </w:r>
            <w:r w:rsidRPr="00A61595">
              <w:rPr>
                <w:rFonts w:ascii="Arial" w:eastAsia="Times New Roman" w:hAnsi="Arial" w:cs="Arial"/>
                <w:sz w:val="14"/>
                <w:szCs w:val="14"/>
              </w:rPr>
              <w:fldChar w:fldCharType="end"/>
            </w:r>
          </w:p>
        </w:tc>
        <w:tc>
          <w:tcPr>
            <w:tcW w:w="192" w:type="pct"/>
            <w:shd w:val="clear" w:color="auto" w:fill="auto"/>
            <w:noWrap/>
            <w:hideMark/>
          </w:tcPr>
          <w:p w14:paraId="134FD9E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6CC9DBC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Corporate agricultural lobbying in US institutions</w:t>
            </w:r>
          </w:p>
        </w:tc>
        <w:tc>
          <w:tcPr>
            <w:tcW w:w="318" w:type="pct"/>
          </w:tcPr>
          <w:p w14:paraId="39C76CF3" w14:textId="6F476DD3"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32AB86A3" w14:textId="224D2A4B"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958E551" w14:textId="055C55CB" w:rsidR="000B21B4" w:rsidRPr="00A61595" w:rsidRDefault="000B21B4" w:rsidP="00380533">
            <w:pPr>
              <w:rPr>
                <w:rFonts w:ascii="Arial" w:hAnsi="Arial" w:cs="Arial"/>
                <w:sz w:val="14"/>
                <w:szCs w:val="14"/>
              </w:rPr>
            </w:pPr>
            <w:r w:rsidRPr="00A61595">
              <w:rPr>
                <w:rFonts w:ascii="Arial" w:hAnsi="Arial" w:cs="Arial"/>
                <w:color w:val="000000"/>
                <w:sz w:val="14"/>
                <w:szCs w:val="14"/>
              </w:rPr>
              <w:t>d, f</w:t>
            </w:r>
          </w:p>
        </w:tc>
        <w:tc>
          <w:tcPr>
            <w:tcW w:w="229" w:type="pct"/>
          </w:tcPr>
          <w:p w14:paraId="626246EA" w14:textId="4253F85B"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5EF0334" w14:textId="2A6B89F6" w:rsidTr="00380533">
        <w:trPr>
          <w:trHeight w:val="285"/>
        </w:trPr>
        <w:tc>
          <w:tcPr>
            <w:tcW w:w="715" w:type="pct"/>
            <w:gridSpan w:val="2"/>
            <w:shd w:val="clear" w:color="auto" w:fill="auto"/>
            <w:noWrap/>
            <w:hideMark/>
          </w:tcPr>
          <w:p w14:paraId="23CAEA2C" w14:textId="0CA0633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Bromley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{"citationID":"ai5cs34e84","properties":{"formattedCitation":"(40)","plainCitation":"(40)","noteIndex":0},"citationItems":[{"id":17151,"uris":["http://zotero.org/groups/2477744/items/CLE9VBY8"],"itemData":{"id":17151,"type":"article-journal","abstract":"We use recent data on transport costs in West Africa, including the added burden of bribes and enforced delays, to show how such costs represent a deterrent to investment in - and therefore the sustainability of - agricultural assets. We focus on data for two important tree crops in West Africa, cashew and shea. We also have data for the transport of onions between Niger and the urban market in Accra, Ghana. Our data allow us to predict plausible increases in farm-gate prices from a reduction in transport costs and bribes. A 10% reduction in the total transport costs (actual costs plus corruption costs) of onions from Niger could result in a 12-13% price increase to onion farmers. Similar elasticities are 2% for cashew in Ghana and 7% for shea in Mali. These feasible price increases would encourage farmers to improve onion production, and to protect and improve production from cashew and shea trees, thereby enhancing the sustainability of agro-forestry in West Africa. We call these price increases the \"sustainability dividend\". © 2011 The Authors. Natural Resources Forum © 2011 United Nations.","container-title":"Natural Resources Forum","DOI":"10.1111/j.1477-8947.2011.01342.x","issue":"1","journalAbbreviation":"Natural Resources Forum","page":"32-48","title":"Sustainability under siege: Transport costs and corruption on West Africa's trade corridors","URL":"https://www.scopus.com/inward/record.uri?eid=2-s2.0-79951766643&amp;doi=10.1111%2fj.1477-8947.2011.01342.x&amp;partnerID=40&amp;md5=544de2b8977c7571bbe07ec2ab5306eb","volume":"35","author":[{"family":"Bromley","given":"D."},{"family":"Foltz","given":"J."}],"issued":{"date-parts":[["2011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(40)</w:t>
            </w:r>
            <w:r w:rsidRPr="00A61595">
              <w:rPr>
                <w:rFonts w:ascii="Arial" w:eastAsia="Times New Roman" w:hAnsi="Arial" w:cs="Arial"/>
                <w:sz w:val="14"/>
                <w:szCs w:val="14"/>
              </w:rPr>
              <w:fldChar w:fldCharType="end"/>
            </w:r>
          </w:p>
        </w:tc>
        <w:tc>
          <w:tcPr>
            <w:tcW w:w="192" w:type="pct"/>
            <w:shd w:val="clear" w:color="auto" w:fill="auto"/>
            <w:noWrap/>
            <w:hideMark/>
          </w:tcPr>
          <w:p w14:paraId="3A865AD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2011</w:t>
            </w:r>
          </w:p>
        </w:tc>
        <w:tc>
          <w:tcPr>
            <w:tcW w:w="2869" w:type="pct"/>
            <w:gridSpan w:val="4"/>
            <w:shd w:val="clear" w:color="auto" w:fill="auto"/>
            <w:noWrap/>
            <w:hideMark/>
          </w:tcPr>
          <w:p w14:paraId="24BD86F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Implications of bribes and transit delays on the movement of agricultural commodities </w:t>
            </w:r>
          </w:p>
        </w:tc>
        <w:tc>
          <w:tcPr>
            <w:tcW w:w="318" w:type="pct"/>
          </w:tcPr>
          <w:p w14:paraId="7A98601B" w14:textId="6295F77C"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306" w:type="pct"/>
          </w:tcPr>
          <w:p w14:paraId="42ABDF6C" w14:textId="2E442C5C"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56A71690" w14:textId="086696DF" w:rsidR="000B21B4" w:rsidRPr="00A61595" w:rsidRDefault="000B21B4" w:rsidP="00380533">
            <w:pPr>
              <w:rPr>
                <w:rFonts w:ascii="Arial" w:hAnsi="Arial" w:cs="Arial"/>
                <w:sz w:val="14"/>
                <w:szCs w:val="14"/>
              </w:rPr>
            </w:pPr>
            <w:r w:rsidRPr="00A61595">
              <w:rPr>
                <w:rFonts w:ascii="Arial" w:hAnsi="Arial" w:cs="Arial"/>
                <w:color w:val="000000"/>
                <w:sz w:val="14"/>
                <w:szCs w:val="14"/>
              </w:rPr>
              <w:t>a, c, g, h</w:t>
            </w:r>
          </w:p>
        </w:tc>
        <w:tc>
          <w:tcPr>
            <w:tcW w:w="229" w:type="pct"/>
          </w:tcPr>
          <w:p w14:paraId="63197477" w14:textId="62B6AD7F"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r>
      <w:tr w:rsidR="000B21B4" w:rsidRPr="00A61595" w14:paraId="4ED7B972" w14:textId="152ABBBA" w:rsidTr="00380533">
        <w:trPr>
          <w:trHeight w:val="285"/>
        </w:trPr>
        <w:tc>
          <w:tcPr>
            <w:tcW w:w="715" w:type="pct"/>
            <w:gridSpan w:val="2"/>
            <w:shd w:val="clear" w:color="auto" w:fill="auto"/>
            <w:noWrap/>
            <w:hideMark/>
          </w:tcPr>
          <w:p w14:paraId="0D5A9D16" w14:textId="7F07D0E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Brooks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{"citationID":"a23ndc184mo","properties":{"formattedCitation":"(41)","plainCitation":"(41)","noteIndex":0},"citationItems":[{"id":18810,"uris":["http://zotero.org/groups/2477744/items/SWWSKWCD"],"itemData":{"id":18810,"type":"article-journal","abstract":"Complexities in food supply chains were highlighted by the so called 'horsegate' crisis in 2013, where beef meat was fraudulently adulterated with horse meat causing widespread recalls and subsequent investigations across both retail and food service markets in the European Union (EU). The beef supply chain is a complex supply chain, with global (EU and Non EU) sourcing strategies in order to secure supply. However, managing these complex supply chains can be difficult and consequentially can expose vulnerabilities similar to that of horsemeat, where horsemeat was found in beef meat within EU supply chains. Six months after the crisis broke, an independent review into the integrity and assurance of food supply networks was commissioned by the UK government and undertaken by Professor Chris Elliott of Queen's University, Belfast. The review recommended eight pillars of food integrity to industry and government: consumers first, zero tolerance, intelligence gathering, laboratory services, audit, government support, leadership and crisis management. This article examines the extent to which these recommendations have been implemented using personal communications from Professor Chris Elliott and relevant industry bodies. Following the review, industry attitudes have changed substantially, testing and surveillance systems have been integrated into normal industry practice and the government is more prepared for future incidents through the establishment of the National Food Crime Unit (NFCU). Horsegate raised the profile of food fraud and crime in supply chains and despite improvements to date, further collaboration between industry and government is required in order to align fully with the recommendations. Food safety: Food fraud prevention is improved after the 'horsegate' scandalIndustry and government have learned their lessons after the incident in 2013 where beef meat was substituted with horsemeat. Using personal communications with representatives of relevant industry bodies, Moira Dean from the Queen's University Belfast in UK and her colleagues examined measures the UK government and food industry have taken in response to the horsemeat scandal. They found significant improvement in the understanding and prevention of food fraud, with well-integrated testing and surveillance systems, along with a new government body to take a leadership role in such crises. Yet, collaboration between industry and government is yet to be enhanced. Given the complexities of international food supply chains, the UK lessons and recommendations to improve the integrity of food supply systems, set out in a review commissioned after the horsemeat crisis are relevant to other countries.","archive_location":"WOS:000598732900001","container-title":"NPJ SCIENCE OF FOOD","DOI":"10.1038/s41538-017-0007-z","issue":"1","journalAbbreviation":"NPJ SCIENCE OF FOOD","title":"Four years post-horsegate: an update of measures and actions put in place following the horsemeat incident of 2013","volume":"1","author":[{"family":"Brooks","given":"S"},{"family":"Elliott","given":"CT"},{"family":"Spence","given":"M"},{"family":"Walsh","given":"C"},{"family":"Dean","given":"M"}],"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(41)</w:t>
            </w:r>
            <w:r w:rsidRPr="00A61595">
              <w:rPr>
                <w:rFonts w:ascii="Arial" w:eastAsia="Times New Roman" w:hAnsi="Arial" w:cs="Arial"/>
                <w:sz w:val="14"/>
                <w:szCs w:val="14"/>
              </w:rPr>
              <w:fldChar w:fldCharType="end"/>
            </w:r>
          </w:p>
        </w:tc>
        <w:tc>
          <w:tcPr>
            <w:tcW w:w="192" w:type="pct"/>
            <w:shd w:val="clear" w:color="auto" w:fill="auto"/>
            <w:noWrap/>
            <w:hideMark/>
          </w:tcPr>
          <w:p w14:paraId="68491B7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35D1DB5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Changes instigated by UK industry and government to address food fraud issues </w:t>
            </w:r>
          </w:p>
        </w:tc>
        <w:tc>
          <w:tcPr>
            <w:tcW w:w="318" w:type="pct"/>
          </w:tcPr>
          <w:p w14:paraId="23709933" w14:textId="3B254384"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31B21012" w14:textId="1F9BEC35"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71F5483" w14:textId="3BC16B25"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w:t>
            </w:r>
            <w:proofErr w:type="spellStart"/>
            <w:r w:rsidRPr="00A61595">
              <w:rPr>
                <w:rFonts w:ascii="Arial" w:hAnsi="Arial" w:cs="Arial"/>
                <w:color w:val="000000"/>
                <w:sz w:val="14"/>
                <w:szCs w:val="14"/>
              </w:rPr>
              <w:t>i</w:t>
            </w:r>
            <w:proofErr w:type="spellEnd"/>
          </w:p>
        </w:tc>
        <w:tc>
          <w:tcPr>
            <w:tcW w:w="229" w:type="pct"/>
          </w:tcPr>
          <w:p w14:paraId="27F9F47E" w14:textId="063845A2"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4902588B" w14:textId="37D40D80" w:rsidTr="00380533">
        <w:trPr>
          <w:trHeight w:val="285"/>
        </w:trPr>
        <w:tc>
          <w:tcPr>
            <w:tcW w:w="715" w:type="pct"/>
            <w:gridSpan w:val="2"/>
            <w:shd w:val="clear" w:color="auto" w:fill="auto"/>
            <w:noWrap/>
            <w:hideMark/>
          </w:tcPr>
          <w:p w14:paraId="44F23064" w14:textId="7F93BBA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Brown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{"citationID":"a1v6hkearp5","properties":{"formattedCitation":"(42)","plainCitation":"(42)","noteIndex":0},"citationItems":[{"id":17044,"uris":["http://zotero.org/groups/2477744/items/N3Y6266H"],"itemData":{"id":17044,"type":"article-journal","abstract":"Contemporary public health literature contains an increasing emphasis on the commercial determinants of health including the influence of unhealthy food, beverage and tobacco industries on government harm prevention policy agendas and global sustainable development goals. Effective capture by the industries of the crucial legislative process associated with the harm prevention initiatives would have a detrimental impact on public health. This article proposes a qualitative multi-spectrum prototype legislative capture test with broad application to a range of industries and jurisdictions at all levels of government where legislative capture may be suspected. It is predicated on a finding of significant encroachment of the public interest (PI) by special interest groups and reciprocating beneficial conduct between the lawmakers and the group. The test is populated from a critical case study of key New South Wales (NSW) alcohol industry statutory amendments within a doctrinal and social inquiry/power framework. It relies upon parliamentary records and secondary data to analyse critically the 2015 \"fit for purpose\" (FFP) reforms to NSW alcohol supply laws and their consistency with the PI and other constitutional safeguards. It aligns the reforms with other research relating to the magnitude of alcohol and gambling industry political donations and the operation of the alcohol outlet post reform approval process. The application of the test to the case study finds that the 2015 FFP amendments are indicative of legislative capture and associated clientele corruption - critical new considerations in the commercial determination of health. It also identifies the commodification of the PI.","container-title":"Journal of law and medicine","issue":"4","journalAbbreviation":"Journal of law and medicine","page":"764-785","title":"Legislative Capture: A Critical Consideration in the Commercial Determinants of Public Health.","URL":"http://www.ncbi.nlm.nih.gov/pubmed/31682356","volume":"26","author":[{"family":"Brown","given":"Tony"}],"issued":{"date-parts":[["2019"]]}}}],"schema":"https://github.com/citation-style-language/schema/raw/master/csl-citation.json"}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(42)</w:t>
            </w:r>
            <w:r w:rsidRPr="00A61595">
              <w:rPr>
                <w:rFonts w:ascii="Arial" w:eastAsia="Times New Roman" w:hAnsi="Arial" w:cs="Arial"/>
                <w:sz w:val="14"/>
                <w:szCs w:val="14"/>
              </w:rPr>
              <w:fldChar w:fldCharType="end"/>
            </w:r>
          </w:p>
        </w:tc>
        <w:tc>
          <w:tcPr>
            <w:tcW w:w="192" w:type="pct"/>
            <w:shd w:val="clear" w:color="auto" w:fill="auto"/>
            <w:noWrap/>
            <w:hideMark/>
          </w:tcPr>
          <w:p w14:paraId="1A374E5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5F1879B7"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Food, </w:t>
            </w:r>
            <w:bookmarkStart w:id="0" w:name="_Int_drifSlCC"/>
            <w:r w:rsidRPr="00A61595">
              <w:rPr>
                <w:rFonts w:ascii="Arial" w:eastAsia="Times New Roman" w:hAnsi="Arial" w:cs="Arial"/>
                <w:color w:val="000000" w:themeColor="text1"/>
                <w:sz w:val="14"/>
                <w:szCs w:val="14"/>
              </w:rPr>
              <w:t>beverage,</w:t>
            </w:r>
            <w:bookmarkEnd w:id="0"/>
            <w:r w:rsidRPr="00A61595">
              <w:rPr>
                <w:rFonts w:ascii="Arial" w:eastAsia="Times New Roman" w:hAnsi="Arial" w:cs="Arial"/>
                <w:color w:val="000000" w:themeColor="text1"/>
                <w:sz w:val="14"/>
                <w:szCs w:val="14"/>
              </w:rPr>
              <w:t xml:space="preserve"> and tobacco industries’ capacity to influence public health policymaking </w:t>
            </w:r>
          </w:p>
        </w:tc>
        <w:tc>
          <w:tcPr>
            <w:tcW w:w="318" w:type="pct"/>
          </w:tcPr>
          <w:p w14:paraId="5D16C370" w14:textId="7FA9B60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D5474A8" w14:textId="2CBA27E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3C0C2A1F" w14:textId="7C9A9E37"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d, </w:t>
            </w:r>
            <w:proofErr w:type="spellStart"/>
            <w:r w:rsidRPr="00A61595">
              <w:rPr>
                <w:rFonts w:ascii="Arial" w:hAnsi="Arial" w:cs="Arial"/>
                <w:color w:val="000000"/>
                <w:sz w:val="14"/>
                <w:szCs w:val="14"/>
              </w:rPr>
              <w:t>i</w:t>
            </w:r>
            <w:proofErr w:type="spellEnd"/>
          </w:p>
        </w:tc>
        <w:tc>
          <w:tcPr>
            <w:tcW w:w="229" w:type="pct"/>
          </w:tcPr>
          <w:p w14:paraId="39B8BFFA" w14:textId="52B48C21"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r>
      <w:tr w:rsidR="000B21B4" w:rsidRPr="00A61595" w14:paraId="75C96F51" w14:textId="7370BA68" w:rsidTr="00380533">
        <w:trPr>
          <w:trHeight w:val="285"/>
        </w:trPr>
        <w:tc>
          <w:tcPr>
            <w:tcW w:w="715" w:type="pct"/>
            <w:gridSpan w:val="2"/>
            <w:shd w:val="clear" w:color="auto" w:fill="auto"/>
            <w:noWrap/>
            <w:hideMark/>
          </w:tcPr>
          <w:p w14:paraId="7A0B9805" w14:textId="62C3FD3D"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Bulte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{"citationID":"a27flg158lm","properties":{"formattedCitation":"(43)","plainCitation":"(43)","noteIndex":0},"citationItems":[{"id":17153,"uris":["http://zotero.org/groups/2477744/items/MJYALTAI"],"itemData":{"id":17153,"type":"article-journal","abstract":"We present a new explanation and empirical evidence showing that rural subsidies to large farmers tend to be associated with low land productivity and excessive deforestation. We develop a lobbying model where wealthy farmers trade bribes or political contributions to government politicians in exchange for subsidies; farmers are able to tilt the terms of the bargaining game with policy makers in their favor by pre-committing to an inefficient choice of semi-fixed inputs. Government proneness to accept political contributions or bribes and its willingness to provide subsidies cause farmers to adopt inefficient modes of production as a mechanism to capture such subsidies. Our predictions are consistent with stylized facts on land use in Latin America, and suggest that subsidy schemes have been counterproductive-distorting and constraining development, and triggering excessive depletion of natural resources. We validate some of the predictions of the model through econometric analyses using a new data set for nine countries in Latin America. © 2007 Elsevier Inc. All rights reserved.","container-title":"Journal of Environmental Economics and Management","DOI":"10.1016/j.jeem.2007.05.002","issue":"3","journalAbbreviation":"Journal of Environmental Economics and Management","page":"277-295","title":"On the gains of committing to inefficiency: Corruption, deforestation and low land productivity in Latin America","URL":"https://www.scopus.com/inward/record.uri?eid=2-s2.0-35549011056&amp;doi=10.1016%2fj.jeem.2007.05.002&amp;partnerID=40&amp;md5=7c76830d31c42bc602b72e76802c8d08","volume":"54","author":[{"family":"Bulte","given":"E.H."},{"family":"Damania","given":"R."},{"family":"López","given":"R."}],"issued":{"date-parts":[["2007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(43)</w:t>
            </w:r>
            <w:r w:rsidRPr="00A61595">
              <w:rPr>
                <w:rFonts w:ascii="Arial" w:eastAsia="Times New Roman" w:hAnsi="Arial" w:cs="Arial"/>
                <w:sz w:val="14"/>
                <w:szCs w:val="14"/>
              </w:rPr>
              <w:fldChar w:fldCharType="end"/>
            </w:r>
          </w:p>
        </w:tc>
        <w:tc>
          <w:tcPr>
            <w:tcW w:w="192" w:type="pct"/>
            <w:shd w:val="clear" w:color="auto" w:fill="auto"/>
            <w:noWrap/>
            <w:hideMark/>
          </w:tcPr>
          <w:p w14:paraId="29D3FB9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2007</w:t>
            </w:r>
          </w:p>
        </w:tc>
        <w:tc>
          <w:tcPr>
            <w:tcW w:w="2869" w:type="pct"/>
            <w:gridSpan w:val="4"/>
            <w:shd w:val="clear" w:color="auto" w:fill="auto"/>
            <w:noWrap/>
            <w:hideMark/>
          </w:tcPr>
          <w:p w14:paraId="7D4FB46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Farmers trading bribes or political contributions to politicians for farming subsidies</w:t>
            </w:r>
          </w:p>
        </w:tc>
        <w:tc>
          <w:tcPr>
            <w:tcW w:w="318" w:type="pct"/>
          </w:tcPr>
          <w:p w14:paraId="46AC219D" w14:textId="07A8757A" w:rsidR="000B21B4" w:rsidRPr="00A61595" w:rsidRDefault="000B21B4" w:rsidP="00380533">
            <w:pPr>
              <w:rPr>
                <w:rFonts w:ascii="Arial" w:hAnsi="Arial" w:cs="Arial"/>
                <w:sz w:val="14"/>
                <w:szCs w:val="14"/>
              </w:rPr>
            </w:pPr>
            <w:r w:rsidRPr="00A61595">
              <w:rPr>
                <w:rFonts w:ascii="Arial" w:hAnsi="Arial" w:cs="Arial"/>
                <w:color w:val="000000"/>
                <w:sz w:val="14"/>
                <w:szCs w:val="14"/>
              </w:rPr>
              <w:t>a, d, e</w:t>
            </w:r>
          </w:p>
        </w:tc>
        <w:tc>
          <w:tcPr>
            <w:tcW w:w="306" w:type="pct"/>
          </w:tcPr>
          <w:p w14:paraId="54926B5C" w14:textId="64AF80FD"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102D94C5" w14:textId="3BF4688A"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c>
          <w:tcPr>
            <w:tcW w:w="229" w:type="pct"/>
          </w:tcPr>
          <w:p w14:paraId="3FB11612" w14:textId="2A5B4EED"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r>
      <w:tr w:rsidR="000B21B4" w:rsidRPr="00A61595" w14:paraId="50C2E25C" w14:textId="0BEF96F1" w:rsidTr="00380533">
        <w:trPr>
          <w:trHeight w:val="285"/>
        </w:trPr>
        <w:tc>
          <w:tcPr>
            <w:tcW w:w="715" w:type="pct"/>
            <w:gridSpan w:val="2"/>
            <w:shd w:val="clear" w:color="auto" w:fill="auto"/>
            <w:noWrap/>
            <w:hideMark/>
          </w:tcPr>
          <w:p w14:paraId="4BC07FC5" w14:textId="218ADC8D"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Bumblauskas</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{"citationID":"am09vf54rt","properties":{"formattedCitation":"(44)","plainCitation":"(44)","noteIndex":0},"citationItems":[{"id":18687,"uris":["http://zotero.org/groups/2477744/items/SPYYZ7PL"],"itemData":{"id":18687,"type":"article-journal","abstract":"This paper aims to explain the implementation of blockchain technology in the production and supply chain delivery system for eggs from farm to consumer by a company based in the Midwestern USA. One of the primary research questions answered is how blockchain can be utilized and applied to more accurately and transparently move goods through global supply chains. This company is at the forefront of developing such systems for use in industry, and a use case for egg distribution is detailed. The goal is to track products from farm to fork using blockchain and internet of things (IoT) enabled technologies. By creating traceable and transparent supply chains for food, consumers can attain the information they need to make informed choices about the food they buy and the companies they support. For stakeholders in the food supply chain, having traceability and transparency builds better relationships with their customers, increases efficiency, and reduces the risk and cost of food recalls, fraud, and product loss. The blockchain technology and this business are creating a case for fixing and transforming the world's food system. © 2019 Elsevier Ltd","container-title":"International Journal of Information Management","DOI":"10.1016/j.ijinfomgt.2019.09.004","journalAbbreviation":"International Journal of Information Management","title":"A blockchain use case in food distribution: Do you know where your food has been?","URL":"https://www.scopus.com/inward/record.uri?eid=2-s2.0-85073210750&amp;doi=10.1016%2fj.ijinfomgt.2019.09.004&amp;partnerID=40&amp;md5=c8a6bbb3ab5b3d6906056184bda70556","volume":"52","author":[{"family":"Bumblauskas","given":"D."},{"family":"Mann","given":"A."},{"family":"Dugan","given":"B."},{"family":"Rittmer","given":"J."}],"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(44)</w:t>
            </w:r>
            <w:r w:rsidRPr="00A61595">
              <w:rPr>
                <w:rFonts w:ascii="Arial" w:eastAsia="Times New Roman" w:hAnsi="Arial" w:cs="Arial"/>
                <w:sz w:val="14"/>
                <w:szCs w:val="14"/>
              </w:rPr>
              <w:fldChar w:fldCharType="end"/>
            </w:r>
          </w:p>
        </w:tc>
        <w:tc>
          <w:tcPr>
            <w:tcW w:w="192" w:type="pct"/>
            <w:shd w:val="clear" w:color="auto" w:fill="auto"/>
            <w:noWrap/>
            <w:hideMark/>
          </w:tcPr>
          <w:p w14:paraId="32F28075"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00F4F76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Using blockchain to move goods through global supply chains</w:t>
            </w:r>
          </w:p>
        </w:tc>
        <w:tc>
          <w:tcPr>
            <w:tcW w:w="318" w:type="pct"/>
          </w:tcPr>
          <w:p w14:paraId="017E61EA" w14:textId="3EAA719D"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687EF09F" w14:textId="2BD5682E"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68E200D1" w14:textId="350A85E0"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41463D4C" w14:textId="6FBEC20E"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3EB201D" w14:textId="04279192" w:rsidTr="00380533">
        <w:trPr>
          <w:trHeight w:val="285"/>
        </w:trPr>
        <w:tc>
          <w:tcPr>
            <w:tcW w:w="715" w:type="pct"/>
            <w:gridSpan w:val="2"/>
            <w:shd w:val="clear" w:color="auto" w:fill="auto"/>
            <w:noWrap/>
            <w:hideMark/>
          </w:tcPr>
          <w:p w14:paraId="5F72BE02" w14:textId="712808E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Burlandy</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{"citationID":"a14nomo8t9k","properties":{"formattedCitation":"(45)","plainCitation":"(45)","noteIndex":0},"citationItems":[{"id":17154,"uris":["http://zotero.org/groups/2477744/items/KJX3YAGU"],"itemData":{"id":17154,"type":"article-journal","abstract":"Obesity is a social and health problem of global dimensions that demands coordinated solutions from different sectors as well as intersectoral efforts to overcome it. However, policies to overcome obesity affect the interests of the commercial private sector. In Brazil, the Intersectoral Strategy for Obesity Prevention and Control (EIPCO) is the result of participative public action and integrates a set of policies in the field of food and nutrition security. Based on the premise that EIPCO expresses public interests to be protected, promoted and guaranteed by the federal government, this article aims to analyze corporate political activity (CPA) and conflict of interest (COI) situations involving the private commercial sector in the food and nutrition field in Brazil, using EIPCO as a reference. The methods include document analysis and identification of cases reported by the Brazilian civil society organizations that are part of the National Council on Food and Nutrition Security. The results highlighted the actors, actions, ideas and interests addressed by EIPCO and also indicated that EIPCO does not question the private commercial sector's practices in regard to obesity and some of its recommended actions reflect disputes about the concept of healthy eating. All cases analyzed involved CPA to promote ultraprocessed food consumption, including lobbying and funding researchers. Those practices and goals are in the opposite direction from the objectives of EIPCO to overcome obesity which indicates potential COI once these representatives of the private sector are directly influencing the governmental political process and policies. © The Author(s) 2020. Published by Oxford University Press. All rights reserved.","container-title":"Health Promotion International","DOI":"10.1093/heapro/daaa085","issue":"4","journalAbbreviation":"Health Promotion International","page":"1186-1197","title":"Obesity agenda in Brazil, conflicts of interest and corporate activity","URL":"https://www.scopus.com/inward/record.uri?eid=2-s2.0-85115005260&amp;doi=10.1093%2fheapro%2fdaaa085&amp;partnerID=40&amp;md5=90cdce5cec08a883b7dfba80f98b21c5","volume":"36","author":[{"family":"Burlandy","given":"L."},{"family":"Prado Alexandre-Weiss","given":"V."},{"family":"Silva Canella","given":"D."},{"family":"Feldenheimer Da Silva","given":"A.C."},{"family":"Maranha Paes De Carvalho","given":"C."},{"family":"Rugani Ribeiro De Castro","given":"I."}],"issued":{"date-parts":[["2021"]]}}}],"schema":"https://github.com/citation-style-language/schema/raw/master/csl-citation.json"}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(45)</w:t>
            </w:r>
            <w:r w:rsidRPr="00A61595">
              <w:rPr>
                <w:rFonts w:ascii="Arial" w:eastAsia="Times New Roman" w:hAnsi="Arial" w:cs="Arial"/>
                <w:sz w:val="14"/>
                <w:szCs w:val="14"/>
              </w:rPr>
              <w:fldChar w:fldCharType="end"/>
            </w:r>
          </w:p>
        </w:tc>
        <w:tc>
          <w:tcPr>
            <w:tcW w:w="192" w:type="pct"/>
            <w:shd w:val="clear" w:color="auto" w:fill="auto"/>
            <w:noWrap/>
            <w:hideMark/>
          </w:tcPr>
          <w:p w14:paraId="4FF04F2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0290B13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Private commercial sector influence on food and nutrition regulations and policy</w:t>
            </w:r>
          </w:p>
        </w:tc>
        <w:tc>
          <w:tcPr>
            <w:tcW w:w="318" w:type="pct"/>
          </w:tcPr>
          <w:p w14:paraId="7D083287" w14:textId="07D27973" w:rsidR="000B21B4" w:rsidRPr="00A61595" w:rsidRDefault="000B21B4" w:rsidP="00380533">
            <w:pPr>
              <w:rPr>
                <w:rFonts w:ascii="Arial" w:hAnsi="Arial" w:cs="Arial"/>
                <w:sz w:val="14"/>
                <w:szCs w:val="14"/>
              </w:rPr>
            </w:pPr>
            <w:r w:rsidRPr="00A61595">
              <w:rPr>
                <w:rFonts w:ascii="Arial" w:hAnsi="Arial" w:cs="Arial"/>
                <w:color w:val="000000"/>
                <w:sz w:val="14"/>
                <w:szCs w:val="14"/>
              </w:rPr>
              <w:t>a, d</w:t>
            </w:r>
          </w:p>
        </w:tc>
        <w:tc>
          <w:tcPr>
            <w:tcW w:w="306" w:type="pct"/>
          </w:tcPr>
          <w:p w14:paraId="3E87507E" w14:textId="3089E754"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6827B788" w14:textId="357C3DF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h, </w:t>
            </w:r>
            <w:proofErr w:type="spellStart"/>
            <w:r w:rsidRPr="00A61595">
              <w:rPr>
                <w:rFonts w:ascii="Arial" w:hAnsi="Arial" w:cs="Arial"/>
                <w:color w:val="000000"/>
                <w:sz w:val="14"/>
                <w:szCs w:val="14"/>
              </w:rPr>
              <w:t>i</w:t>
            </w:r>
            <w:proofErr w:type="spellEnd"/>
          </w:p>
        </w:tc>
        <w:tc>
          <w:tcPr>
            <w:tcW w:w="229" w:type="pct"/>
          </w:tcPr>
          <w:p w14:paraId="56B8BA5E" w14:textId="7A62B66C"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47C780C5" w14:textId="37FD512F" w:rsidTr="00380533">
        <w:trPr>
          <w:trHeight w:val="285"/>
        </w:trPr>
        <w:tc>
          <w:tcPr>
            <w:tcW w:w="715" w:type="pct"/>
            <w:gridSpan w:val="2"/>
            <w:shd w:val="clear" w:color="auto" w:fill="auto"/>
            <w:noWrap/>
            <w:hideMark/>
          </w:tcPr>
          <w:p w14:paraId="6E3BB48D" w14:textId="33D2670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Campbell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{"citationID":"a262262asf5","properties":{"formattedCitation":"(46)","plainCitation":"(46)","noteIndex":0},"citationItems":[{"id":20083,"uris":["http://zotero.org/groups/2477744/items/45CTFHFR"],"itemData":{"id":20083,"type":"article-journal","container-title":"Labour and Industry","DOI":"10.1080/10301763.2018.1558895","ISSN":"1030-1763","issue":"1","journalAbbreviation":"Labour and Industry","note":"publisher: Routledge","page":"98-117","title":"Precarious work and the reluctance to complain: Italian temporary migrant workers in Australia","URL":"https://doi.org/10.1080/10301763.2018.1558895","volume":"29","author":[{"family":"Campbell","given":"Iain"},{"family":"Tranfaglia","given":"Maria Azzurra"},{"family":"Tham","given":"Joo-Cheong"},{"family":"Boese","given":"Martina"}],"issued":{"date-parts":[["2019",1,2]]}}}],"schema":"https://github.com/citation-style-language/schema/raw/master/csl-citation.json"}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(46)</w:t>
            </w:r>
            <w:r w:rsidRPr="00A61595">
              <w:rPr>
                <w:rFonts w:ascii="Arial" w:eastAsia="Times New Roman" w:hAnsi="Arial" w:cs="Arial"/>
                <w:sz w:val="14"/>
                <w:szCs w:val="14"/>
              </w:rPr>
              <w:fldChar w:fldCharType="end"/>
            </w:r>
          </w:p>
        </w:tc>
        <w:tc>
          <w:tcPr>
            <w:tcW w:w="192" w:type="pct"/>
            <w:shd w:val="clear" w:color="auto" w:fill="auto"/>
            <w:noWrap/>
            <w:hideMark/>
          </w:tcPr>
          <w:p w14:paraId="038A890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2ED8A1E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Precarious labor conditions of Italian temporary migrant workers in Australia</w:t>
            </w:r>
          </w:p>
        </w:tc>
        <w:tc>
          <w:tcPr>
            <w:tcW w:w="318" w:type="pct"/>
          </w:tcPr>
          <w:p w14:paraId="0C204CF9" w14:textId="7474CE8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4E359837" w14:textId="402422A1"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91D52D0" w14:textId="455151A1"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w:t>
            </w:r>
            <w:proofErr w:type="spellStart"/>
            <w:r w:rsidRPr="00A61595">
              <w:rPr>
                <w:rFonts w:ascii="Arial" w:hAnsi="Arial" w:cs="Arial"/>
                <w:color w:val="000000"/>
                <w:sz w:val="14"/>
                <w:szCs w:val="14"/>
              </w:rPr>
              <w:t>i</w:t>
            </w:r>
            <w:proofErr w:type="spellEnd"/>
          </w:p>
        </w:tc>
        <w:tc>
          <w:tcPr>
            <w:tcW w:w="229" w:type="pct"/>
          </w:tcPr>
          <w:p w14:paraId="74FEF7C9" w14:textId="5BB570D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CB7716F" w14:textId="5AB6E2C3" w:rsidTr="00380533">
        <w:trPr>
          <w:trHeight w:val="285"/>
        </w:trPr>
        <w:tc>
          <w:tcPr>
            <w:tcW w:w="715" w:type="pct"/>
            <w:gridSpan w:val="2"/>
            <w:shd w:val="clear" w:color="auto" w:fill="auto"/>
            <w:noWrap/>
            <w:hideMark/>
          </w:tcPr>
          <w:p w14:paraId="4BA3D058" w14:textId="78C1677C"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Carey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{"citationID":"anus8m76ul","properties":{"formattedCitation":"(47)","plainCitation":"(47)","noteIndex":0},"citationItems":[{"id":17156,"uris":["http://zotero.org/groups/2477744/items/MF7MVII9"],"itemData":{"id":17156,"type":"article-journal","abstract":"Objective The present article tracks the development of the Australian National Food Plan as a 'whole of government' food policy that aimed to integrate elements of nutrition and sustainability alongside economic objectives. Design The article uses policy analysis to explore the processes of consultation and stakeholder involvement in the development of the National Food Plan, focusing on actors from the sectors of industry, civil society and government. Existing documentation and submissions to the Plan were used as data sources. Models of health policy analysis and policy streams were employed to analyse policy development processes. Setting Australia. Subjects Australian food policy stakeholders. Results The development of the Plan was influenced by powerful industry groups and stakeholder engagement by the lead ministry favoured the involvement of actors representing the food and agriculture industries. Public health nutrition and civil society relied on traditional methods of policy influence, and the public health nutrition movement failed to develop a unified cross-sector alliance, while the private sector engaged in different ways and presented a united front. The National Food Plan failed to deliver an integrated food policy for Australia. Nutrition and sustainability were effectively sidelined due to the focus on global food production and positioning Australia as a food 'superpower' that could take advantage of the anticipated 'dining boom' as incomes rose in the Asia-Pacific region. Conclusions New forms of industry influence are emerging in the food policy arena and public health nutrition will need to adopt new approaches to influencing public policy. © 2015 The Authors.","container-title":"Public Health Nutrition","DOI":"10.1017/S1368980015001834","issue":"1","journalAbbreviation":"Public Health Nutrition","page":"3-14","title":"Opportunities and challenges in developing a whole-of-government national food and nutrition policy: Lessons from Australia's National Food Plan","URL":"https://www.scopus.com/inward/record.uri?eid=2-s2.0-84930986975&amp;doi=10.1017%2fS1368980015001834&amp;partnerID=40&amp;md5=4c4845602329c471eef1ad32f608fbd3","volume":"19","author":[{"family":"Carey","given":"R."},{"family":"Caraher","given":"M."},{"family":"Lawrence","given":"M."},{"family":"Friel","given":"S."}],"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(47)</w:t>
            </w:r>
            <w:r w:rsidRPr="00A61595">
              <w:rPr>
                <w:rFonts w:ascii="Arial" w:eastAsia="Times New Roman" w:hAnsi="Arial" w:cs="Arial"/>
                <w:sz w:val="14"/>
                <w:szCs w:val="14"/>
              </w:rPr>
              <w:fldChar w:fldCharType="end"/>
            </w:r>
          </w:p>
        </w:tc>
        <w:tc>
          <w:tcPr>
            <w:tcW w:w="192" w:type="pct"/>
            <w:shd w:val="clear" w:color="auto" w:fill="auto"/>
            <w:noWrap/>
            <w:hideMark/>
          </w:tcPr>
          <w:p w14:paraId="667CA47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42B6DFE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Stakeholders and elements involved in development of the Australian National Food Plan</w:t>
            </w:r>
          </w:p>
        </w:tc>
        <w:tc>
          <w:tcPr>
            <w:tcW w:w="318" w:type="pct"/>
          </w:tcPr>
          <w:p w14:paraId="352639F1" w14:textId="326DB311"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1689A9FF" w14:textId="357B5C8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A4B4E24" w14:textId="5899A093" w:rsidR="000B21B4" w:rsidRPr="00A61595" w:rsidRDefault="000B21B4" w:rsidP="00380533">
            <w:pPr>
              <w:rPr>
                <w:rFonts w:ascii="Arial" w:hAnsi="Arial" w:cs="Arial"/>
                <w:sz w:val="14"/>
                <w:szCs w:val="14"/>
              </w:rPr>
            </w:pPr>
            <w:r w:rsidRPr="00A61595">
              <w:rPr>
                <w:rFonts w:ascii="Arial" w:hAnsi="Arial" w:cs="Arial"/>
                <w:color w:val="000000"/>
                <w:sz w:val="14"/>
                <w:szCs w:val="14"/>
              </w:rPr>
              <w:t>d, f</w:t>
            </w:r>
          </w:p>
        </w:tc>
        <w:tc>
          <w:tcPr>
            <w:tcW w:w="229" w:type="pct"/>
          </w:tcPr>
          <w:p w14:paraId="76017EE3" w14:textId="18B2191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14F90619" w14:textId="03789013" w:rsidTr="00380533">
        <w:trPr>
          <w:trHeight w:val="285"/>
        </w:trPr>
        <w:tc>
          <w:tcPr>
            <w:tcW w:w="715" w:type="pct"/>
            <w:gridSpan w:val="2"/>
            <w:shd w:val="clear" w:color="auto" w:fill="auto"/>
            <w:noWrap/>
            <w:hideMark/>
          </w:tcPr>
          <w:p w14:paraId="2487A018" w14:textId="440FF81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Carrero</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{"citationID":"a2qlpspj8vi","properties":{"formattedCitation":"(48)","plainCitation":"(48)","noteIndex":0},"citationItems":[{"id":18691,"uris":["http://zotero.org/groups/2477744/items/RY7LR2RL"],"itemData":{"id":18691,"type":"article-journal","abstract":"We examine deforestation processes in Apuí, a deforestation hotspot in Brazil’s state of Amazonas and present processes of land-use change on this Amazonian development frontier. Settlement projects attract agents whose clearing reflects land accumulation and the economic importance of deforestation. We used a mixed-method approach in the Rio Juma Settlement to examine colonization and deforestation trajectories for 35 years at three scales of analysis: the entire landscape, cohorts of settlement lots divided by occupation periods, and lots grouped by landholding size per household. All sizes of landholdings are deforesting much more than before, and current political and economic forces favoring the agribusiness sector foreshadow increasing rates of forest clearing for pasture establishment in Apuí. The area cleared per year over the 2013–2018 period in Apuí grew by a percentage more than twice the corresponding percentage for the Brazilian Amazon as a whole. With the national congress and presidential administration signaling impunity for illegal deforestation, wealthy actors, and groups are investing resources in land grabbing and land accumulation, with land speculation being a crucial deforestation factor. This paper is unique in providing causal explanations at the decision-maker’s level on how deforestation trajectories are linked to economic and political events (period effects) at the larger scales, adding to the literature by showing that such effects were more important than aging and cohort effects as explanations for deforestation trajectories. Additional research is needed to deepen our understanding of relations between land speculation, illegal possession of public lands, and the expansion of agricultural frontiers in Amazonia. © 2020, Springer Science+Business Media, LLC, part of Springer Nature.","container-title":"Environmental Management","DOI":"10.1007/s00267-020-01354-w","issue":"6","journalAbbreviation":"Environmental Management","page":"966-984","title":"Deforestation Trajectories on a Development Frontier in the Brazilian Amazon: 35 Years of Settlement Colonization, Policy and Economic Shifts, and Land Accumulation","URL":"https://www.scopus.com/inward/record.uri?eid=2-s2.0-85091080983&amp;doi=10.1007%2fs00267-020-01354-w&amp;partnerID=40&amp;md5=83793bd2c7901b5151b805c69968dd1a","volume":"66","author":[{"family":"Carrero","given":"G.C."},{"family":"Fearnside","given":"P.M."},{"family":"Valle","given":"D.R.","non-dropping-particle":"do"},{"family":"Souza Alves","given":"C.","non-dropping-particle":"de"}],"issued":{"date-parts":[["2020"]]}}}],"schema":"https://github.com/citation-style-language/schema/raw/master/csl-citation.json"}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(48)</w:t>
            </w:r>
            <w:r w:rsidRPr="00A61595">
              <w:rPr>
                <w:rFonts w:ascii="Arial" w:eastAsia="Times New Roman" w:hAnsi="Arial" w:cs="Arial"/>
                <w:sz w:val="14"/>
                <w:szCs w:val="14"/>
              </w:rPr>
              <w:fldChar w:fldCharType="end"/>
            </w:r>
          </w:p>
        </w:tc>
        <w:tc>
          <w:tcPr>
            <w:tcW w:w="192" w:type="pct"/>
            <w:shd w:val="clear" w:color="auto" w:fill="auto"/>
            <w:noWrap/>
            <w:hideMark/>
          </w:tcPr>
          <w:p w14:paraId="02157A6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5518015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Analyzing colonization and deforestation trajectories in southern Amazonas</w:t>
            </w:r>
          </w:p>
        </w:tc>
        <w:tc>
          <w:tcPr>
            <w:tcW w:w="318" w:type="pct"/>
          </w:tcPr>
          <w:p w14:paraId="433BD5C9" w14:textId="2734386B"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6985524A" w14:textId="1965371E"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3AB2CBA8" w14:textId="5B002FFF"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d, </w:t>
            </w:r>
            <w:proofErr w:type="spellStart"/>
            <w:r w:rsidRPr="00A61595">
              <w:rPr>
                <w:rFonts w:ascii="Arial" w:hAnsi="Arial" w:cs="Arial"/>
                <w:color w:val="000000"/>
                <w:sz w:val="14"/>
                <w:szCs w:val="14"/>
              </w:rPr>
              <w:t>i</w:t>
            </w:r>
            <w:proofErr w:type="spellEnd"/>
          </w:p>
        </w:tc>
        <w:tc>
          <w:tcPr>
            <w:tcW w:w="229" w:type="pct"/>
          </w:tcPr>
          <w:p w14:paraId="783BBFA6" w14:textId="313E2906"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r>
      <w:tr w:rsidR="000B21B4" w:rsidRPr="00A61595" w14:paraId="183BB09C" w14:textId="38B8876C" w:rsidTr="00380533">
        <w:trPr>
          <w:trHeight w:val="285"/>
        </w:trPr>
        <w:tc>
          <w:tcPr>
            <w:tcW w:w="715" w:type="pct"/>
            <w:gridSpan w:val="2"/>
            <w:shd w:val="clear" w:color="auto" w:fill="auto"/>
            <w:noWrap/>
            <w:hideMark/>
          </w:tcPr>
          <w:p w14:paraId="306BB5EA" w14:textId="353B4171"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Chang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{"citationID":"ae3l4823p6","properties":{"formattedCitation":"(49)","plainCitation":"(49)","noteIndex":0},"citationItems":[{"id":10968,"uris":["http://zotero.org/users/8559175/items/6D3XPJPL"],"itemData":{"id":10968,"type":"article-journal","abstract":"This paper uses a threshold model to estimate the regime-specific marginal effect of trade liberalization and other determinants of environmental degradation in regimes with different levels of corruption. The results show that increasing trade liberalization leads to an increase in carbon dioxide (CO2) emissions in countries with a high level of corruption but to an decrease in countries with low corruption. A U-shaped relationship between CO2 emissions and income exists in low-corruption countries but not in high-corruption countries. Our results also show that an increase in energy use per $1,000 in gross domestic product and fossil-fuel energy consumption will increase CO2 emissions in any country. Moreover, increases in agricultural value and foreign direct investment can decrease environmental degradation in any country. © 2013, Springer Science+Business Media Dordrecht.","container-title":"Quality and Quantity","DOI":"10.1007/s11135-013-9984-4","issue":"1","journalAbbreviation":"Quality and Quantity","page":"235-253","title":"The effects of trade liberalization on environmental degradation","URL":"https://www.scopus.com/inward/record.uri?eid=2-s2.0-84890462409&amp;doi=10.1007%2fs11135-013-9984-4&amp;partnerID=40&amp;md5=91b0cb8c201e4875f02ad2dd68b986a3","volume":"49","author":[{"family":"Chang","given":"S.-C."}],"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(49)</w:t>
            </w:r>
            <w:r w:rsidRPr="00A61595">
              <w:rPr>
                <w:rFonts w:ascii="Arial" w:eastAsia="Times New Roman" w:hAnsi="Arial" w:cs="Arial"/>
                <w:sz w:val="14"/>
                <w:szCs w:val="14"/>
              </w:rPr>
              <w:fldChar w:fldCharType="end"/>
            </w:r>
          </w:p>
        </w:tc>
        <w:tc>
          <w:tcPr>
            <w:tcW w:w="192" w:type="pct"/>
            <w:shd w:val="clear" w:color="auto" w:fill="auto"/>
            <w:noWrap/>
            <w:hideMark/>
          </w:tcPr>
          <w:p w14:paraId="2F2E9AC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1389602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effect of trade liberalization on environmental degradation and the regime-specific relationships involved</w:t>
            </w:r>
          </w:p>
        </w:tc>
        <w:tc>
          <w:tcPr>
            <w:tcW w:w="318" w:type="pct"/>
          </w:tcPr>
          <w:p w14:paraId="1A301593" w14:textId="32192A97"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1B86BFD" w14:textId="0A83B8B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5B139C9B" w14:textId="7A527130"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229" w:type="pct"/>
          </w:tcPr>
          <w:p w14:paraId="1A6BBC07" w14:textId="47CD326D"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r>
      <w:tr w:rsidR="000B21B4" w:rsidRPr="00A61595" w14:paraId="4E1845FE" w14:textId="26146055" w:rsidTr="00380533">
        <w:trPr>
          <w:trHeight w:val="285"/>
        </w:trPr>
        <w:tc>
          <w:tcPr>
            <w:tcW w:w="715" w:type="pct"/>
            <w:gridSpan w:val="2"/>
            <w:shd w:val="clear" w:color="auto" w:fill="auto"/>
            <w:noWrap/>
            <w:hideMark/>
          </w:tcPr>
          <w:p w14:paraId="44F319BA" w14:textId="1B87DE1C"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Chapsos</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{"citationID":"a27e9sd2gum","properties":{"formattedCitation":"(50)","plainCitation":"(50)","noteIndex":0},"citationItems":[{"id":17113,"uris":["http://zotero.org/groups/2477744/items/4L6CD9EZ"],"itemData":{"id":17113,"type":"article-journal","abstract":"Illegal, unreported and unregulated (IUU) fishing is increasingly drawing international attention and coastal states strengthen their efforts to address it as a matter of priority due to its severe implications for food, economic, environmental and social security. As the largest archipelagic country in the world, this is especially problematic for Indonesia. In this already complex geographical and security environment, the authors test the hypothesis that IUU fishing and fisheries crime(s) classify as transnational organized criminal activities. The article argues that IUU fishing is much more than simply a fisheries management issue, since it goes hand in hand with fisheries crime. As a result, although the two concepts are quite distinct, they are so closely interlinked and interrelated throughout the entire value chain of marine fisheries, that they can only be managed effectively collectively by understanding them both within the framework of transnational organized crime. To make this argument, the research utilizes qualitative and quantitative data collected from approximately two thousand trafficked fishers, rescued in 2015 from slavery conditions while stranded in two remote Indonesian locations: Benjina on Aru island and on Ambon island. The article's findings also unveil new trends relating to the inner workings of the illegal fishing industry, in four different, yet interlinked categories: recruitment patterns and target groups; document forgery; forced labor and abuse; and fisheries violations. The paper concludes by confirming the hypothesis and highlights that IUU fishing provides the ideal (illegal) environment for fisheries crimes and other forms of transnational organized crimes to flourish.","container-title":"TRENDS IN ORGANIZED CRIME","DOI":"10.1007/s12117-018-9329-8","issue":"3","journalAbbreviation":"TRENDS IN ORGANIZED CRIME","page":"255-273","title":"Illegal fishing and fisheries crime as a transnational organized crime in Indonesia","volume":"22","author":[{"family":"Chapsos","given":"Ioannis"},{"family":"Hamilton","given":"Steve"}],"issued":{"date-parts":[["2019"]]}}}],"schema":"https://github.com/citation-style-language/schema/raw/master/csl-citation.json"}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(50)</w:t>
            </w:r>
            <w:r w:rsidRPr="00A61595">
              <w:rPr>
                <w:rFonts w:ascii="Arial" w:eastAsia="Times New Roman" w:hAnsi="Arial" w:cs="Arial"/>
                <w:sz w:val="14"/>
                <w:szCs w:val="14"/>
              </w:rPr>
              <w:fldChar w:fldCharType="end"/>
            </w:r>
          </w:p>
        </w:tc>
        <w:tc>
          <w:tcPr>
            <w:tcW w:w="192" w:type="pct"/>
            <w:shd w:val="clear" w:color="auto" w:fill="auto"/>
            <w:noWrap/>
            <w:hideMark/>
          </w:tcPr>
          <w:p w14:paraId="3D2ED23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73563AB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Illegal, </w:t>
            </w:r>
            <w:bookmarkStart w:id="1" w:name="_Int_ssGcZiFf"/>
            <w:r w:rsidRPr="00A61595">
              <w:rPr>
                <w:rFonts w:ascii="Arial" w:eastAsia="Times New Roman" w:hAnsi="Arial" w:cs="Arial"/>
                <w:color w:val="000000" w:themeColor="text1"/>
                <w:sz w:val="14"/>
                <w:szCs w:val="14"/>
              </w:rPr>
              <w:t>unreported,</w:t>
            </w:r>
            <w:bookmarkEnd w:id="1"/>
            <w:r w:rsidRPr="00A61595">
              <w:rPr>
                <w:rFonts w:ascii="Arial" w:eastAsia="Times New Roman" w:hAnsi="Arial" w:cs="Arial"/>
                <w:color w:val="000000" w:themeColor="text1"/>
                <w:sz w:val="14"/>
                <w:szCs w:val="14"/>
              </w:rPr>
              <w:t xml:space="preserve"> and unregulated fishing and transnational organized crime</w:t>
            </w:r>
          </w:p>
        </w:tc>
        <w:tc>
          <w:tcPr>
            <w:tcW w:w="318" w:type="pct"/>
          </w:tcPr>
          <w:p w14:paraId="76C06375" w14:textId="3D0776FA"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4DB483C0" w14:textId="626C2298"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212F4D85" w14:textId="69780FE3" w:rsidR="000B21B4" w:rsidRPr="00A61595" w:rsidRDefault="000B21B4" w:rsidP="00380533">
            <w:pPr>
              <w:rPr>
                <w:rFonts w:ascii="Arial" w:hAnsi="Arial" w:cs="Arial"/>
                <w:sz w:val="14"/>
                <w:szCs w:val="14"/>
              </w:rPr>
            </w:pPr>
            <w:r w:rsidRPr="00A61595">
              <w:rPr>
                <w:rFonts w:ascii="Arial" w:hAnsi="Arial" w:cs="Arial"/>
                <w:color w:val="000000"/>
                <w:sz w:val="14"/>
                <w:szCs w:val="14"/>
              </w:rPr>
              <w:t>d, h, j</w:t>
            </w:r>
          </w:p>
        </w:tc>
        <w:tc>
          <w:tcPr>
            <w:tcW w:w="229" w:type="pct"/>
          </w:tcPr>
          <w:p w14:paraId="2EBDA8F4" w14:textId="3E065C2B"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4146CB85" w14:textId="150ABC42" w:rsidTr="00380533">
        <w:trPr>
          <w:trHeight w:val="285"/>
        </w:trPr>
        <w:tc>
          <w:tcPr>
            <w:tcW w:w="715" w:type="pct"/>
            <w:gridSpan w:val="2"/>
            <w:shd w:val="clear" w:color="auto" w:fill="auto"/>
            <w:noWrap/>
            <w:hideMark/>
          </w:tcPr>
          <w:p w14:paraId="1441F951" w14:textId="7F86E272"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Che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{"citationID":"a1fpbvlnueh","properties":{"formattedCitation":"(51)","plainCitation":"(51)","noteIndex":0},"citationItems":[{"id":17158,"uris":["http://zotero.org/groups/2477744/items/YTISH3YN"],"itemData":{"id":17158,"type":"article-journal","abstract":"Purpose: The purpose of this study is to uncover ground truth insights underlying the agriculture crisis from the perspectives of rural farmers in North-East Nigeria. The needs of individual farmers are otherwise not adequately reflected in national or regional economic development strategies. Design/methodology/approach: A unique sequential mixed-methods research design was adopted for this study. A grounded theory approach was used for the literature review followed by a consensual qualitative research (CQR) technique. Data were collected through a semi-structured sense-making focus group (FG) held at a field site with agricultural extension workers. The CQR technique included brainstorming, the nominal group technique, open discussions, sense-making and consensual agreement on the most important ideas. The FG sense-making was recorded, and discourse analysis was conducted to develop thematic concept maps using NVivo software. Findings: Agriculture crisis ground truth insight themes were consistent with the extant literature but several different issues were also found. Rural farmers in North-East Nigeria have significant challenges with government support in six core areas, namely, farm input quality and dissemination, fair input subsidization, training, market facilitation, corruption and insecurity. Research limitations/implications: The target population of this study was rural farmers in Adamawa State, North-East Nigeria. A relatively small sample of 16 agricultural extension workers – very experienced farmers who also act as mentors and are paid incentives by the government for doing so – was used. Practical implications: In tackling the agriculture crisis in Nigeria, policymakers will do well to recognize the realities that the rural farmers face and their needs, the government must address the areas highlighted in this study where support for farmers lacks and urgently review the current process of farm inputs dissemination. Originality/value: Agriculture crisis problems were explored from the perspectives of rural North-East Nigerian farmers, who have not been previously sampled due to cultural, language, literacy and schedule constraints. The extension workers were better able to communicate agriculture crisis insights in modern economic planning terminology because they are well-educated farmers, knowledgeable about the problems due to their field experience and because they have more flexible work schedules. A unique sequential mixed-methods constructivist research design was used with an embedded CQR technique, which would be of interest to scholars and research institutions. © 2020, Emerald Publishing Limited.","container-title":"International Journal of Development Issues","DOI":"10.1108/IJDI-08-2019-0136","issue":"1","journalAbbreviation":"International Journal of Development Issues","page":"43-61","title":"Voice of farmers in the agriculture crisis in North-East Nigeria: Focus group insights from extension workers","URL":"https://www.scopus.com/inward/record.uri?eid=2-s2.0-85078895967&amp;doi=10.1108%2fIJDI-08-2019-0136&amp;partnerID=40&amp;md5=277b8ea19a07230cf4448fdbbf23b776","volume":"19","author":[{"family":"Che","given":"F.N."},{"family":"Strang","given":"K.D."},{"family":"Vajjhala","given":"N.R."}],"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(51)</w:t>
            </w:r>
            <w:r w:rsidRPr="00A61595">
              <w:rPr>
                <w:rFonts w:ascii="Arial" w:eastAsia="Times New Roman" w:hAnsi="Arial" w:cs="Arial"/>
                <w:sz w:val="14"/>
                <w:szCs w:val="14"/>
              </w:rPr>
              <w:fldChar w:fldCharType="end"/>
            </w:r>
          </w:p>
        </w:tc>
        <w:tc>
          <w:tcPr>
            <w:tcW w:w="192" w:type="pct"/>
            <w:shd w:val="clear" w:color="auto" w:fill="auto"/>
            <w:noWrap/>
            <w:hideMark/>
          </w:tcPr>
          <w:p w14:paraId="42065C5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4D65464D" w14:textId="56B2E75B"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Rural farmers</w:t>
            </w:r>
            <w:r w:rsidR="00362BF4">
              <w:rPr>
                <w:rFonts w:ascii="Arial" w:eastAsia="Times New Roman" w:hAnsi="Arial" w:cs="Arial"/>
                <w:color w:val="000000" w:themeColor="text1"/>
                <w:sz w:val="14"/>
                <w:szCs w:val="14"/>
              </w:rPr>
              <w:t>’</w:t>
            </w:r>
            <w:r w:rsidRPr="00A61595">
              <w:rPr>
                <w:rFonts w:ascii="Arial" w:eastAsia="Times New Roman" w:hAnsi="Arial" w:cs="Arial"/>
                <w:color w:val="000000" w:themeColor="text1"/>
                <w:sz w:val="14"/>
                <w:szCs w:val="14"/>
              </w:rPr>
              <w:t xml:space="preserve"> insights into the agricultural crisis </w:t>
            </w:r>
          </w:p>
        </w:tc>
        <w:tc>
          <w:tcPr>
            <w:tcW w:w="318" w:type="pct"/>
          </w:tcPr>
          <w:p w14:paraId="57E4F343" w14:textId="78C72F42"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06" w:type="pct"/>
          </w:tcPr>
          <w:p w14:paraId="05552F87" w14:textId="0C6CDCCF"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71" w:type="pct"/>
          </w:tcPr>
          <w:p w14:paraId="300D0DE2" w14:textId="475F9EFB" w:rsidR="000B21B4" w:rsidRPr="00A61595" w:rsidRDefault="000B21B4" w:rsidP="00380533">
            <w:pPr>
              <w:rPr>
                <w:rFonts w:ascii="Arial" w:hAnsi="Arial" w:cs="Arial"/>
                <w:sz w:val="14"/>
                <w:szCs w:val="14"/>
              </w:rPr>
            </w:pPr>
            <w:r w:rsidRPr="00A61595">
              <w:rPr>
                <w:rFonts w:ascii="Arial" w:hAnsi="Arial" w:cs="Arial"/>
                <w:color w:val="000000"/>
                <w:sz w:val="14"/>
                <w:szCs w:val="14"/>
              </w:rPr>
              <w:t>a, f, g</w:t>
            </w:r>
          </w:p>
        </w:tc>
        <w:tc>
          <w:tcPr>
            <w:tcW w:w="229" w:type="pct"/>
          </w:tcPr>
          <w:p w14:paraId="7FDA67A5" w14:textId="3A62DC59"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7D2FE6C" w14:textId="7DAC2203" w:rsidTr="00380533">
        <w:trPr>
          <w:trHeight w:val="285"/>
        </w:trPr>
        <w:tc>
          <w:tcPr>
            <w:tcW w:w="715" w:type="pct"/>
            <w:gridSpan w:val="2"/>
            <w:shd w:val="clear" w:color="auto" w:fill="auto"/>
            <w:noWrap/>
            <w:hideMark/>
          </w:tcPr>
          <w:p w14:paraId="53FA7519" w14:textId="5FE1DF6D"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Cheng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{"citationID":"asv712cst6","properties":{"formattedCitation":"(52)","plainCitation":"(52)","noteIndex":0},"citationItems":[{"id":18650,"uris":["http://zotero.org/groups/2477744/items/5ZGHNZ56"],"itemData":{"id":18650,"type":"article-journal","abstract":"This article reports on an archival analysis of cases and policy documents in China and a survey and oral interviews with food safety regulators, food industry members, consumer organization representatives, food safety observers and scholars in Zhejiang province of China, on the nature and extent of food crime, the composition of offenders and factors associated with food crime. Results indicate that the prevalence of food crime occurs in the context of ‘cheap capitalism’, which is characterized by low price, inferior quality of products and degraded social morality and business ethics. A closer interaction among government, industry and academia, forming a triple helix, is playing an increasingly significant role in causing food crime. (PsycINFO Database Record (c) 2016 APA, all rights reserved)","container-title":"British Journal of Criminology","DOI":"10.1093/bjc/azr078","issue":"2","journalAbbreviation":"British Journal of Criminology","note":"publisher-place: United Kingdom\npublisher: Oxford University Press","page":"254-273","title":"Cheap capitalism: A sociological study of food crime in China.","volume":"52","author":[{"family":"Cheng","given":"Hongming"}],"issued":{"date-parts":[["2012"]]}}}],"schema":"https://github.com/citation-style-language/schema/raw/master/csl-citation.json"}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(52)</w:t>
            </w:r>
            <w:r w:rsidRPr="00A61595">
              <w:rPr>
                <w:rFonts w:ascii="Arial" w:eastAsia="Times New Roman" w:hAnsi="Arial" w:cs="Arial"/>
                <w:sz w:val="14"/>
                <w:szCs w:val="14"/>
              </w:rPr>
              <w:fldChar w:fldCharType="end"/>
            </w:r>
          </w:p>
        </w:tc>
        <w:tc>
          <w:tcPr>
            <w:tcW w:w="192" w:type="pct"/>
            <w:shd w:val="clear" w:color="auto" w:fill="auto"/>
            <w:noWrap/>
            <w:hideMark/>
          </w:tcPr>
          <w:p w14:paraId="4A6B1A5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2012</w:t>
            </w:r>
          </w:p>
        </w:tc>
        <w:tc>
          <w:tcPr>
            <w:tcW w:w="2869" w:type="pct"/>
            <w:gridSpan w:val="4"/>
            <w:shd w:val="clear" w:color="auto" w:fill="auto"/>
            <w:noWrap/>
            <w:hideMark/>
          </w:tcPr>
          <w:p w14:paraId="5EC99E8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Food crime offences involved in food production, selling and marketing, and food preparation.</w:t>
            </w:r>
          </w:p>
        </w:tc>
        <w:tc>
          <w:tcPr>
            <w:tcW w:w="318" w:type="pct"/>
          </w:tcPr>
          <w:p w14:paraId="4FA1CB91" w14:textId="2B025073" w:rsidR="000B21B4" w:rsidRPr="00A61595" w:rsidRDefault="00362BF4" w:rsidP="00380533">
            <w:pPr>
              <w:rPr>
                <w:rFonts w:ascii="Arial" w:hAnsi="Arial" w:cs="Arial"/>
                <w:sz w:val="14"/>
                <w:szCs w:val="14"/>
              </w:rPr>
            </w:pPr>
            <w:r w:rsidRPr="00A61595">
              <w:rPr>
                <w:rFonts w:ascii="Arial" w:hAnsi="Arial" w:cs="Arial"/>
                <w:color w:val="000000"/>
                <w:sz w:val="14"/>
                <w:szCs w:val="14"/>
              </w:rPr>
              <w:t>B</w:t>
            </w:r>
            <w:r w:rsidR="000B21B4" w:rsidRPr="00A61595">
              <w:rPr>
                <w:rFonts w:ascii="Arial" w:hAnsi="Arial" w:cs="Arial"/>
                <w:color w:val="000000"/>
                <w:sz w:val="14"/>
                <w:szCs w:val="14"/>
              </w:rPr>
              <w:t>, c</w:t>
            </w:r>
          </w:p>
        </w:tc>
        <w:tc>
          <w:tcPr>
            <w:tcW w:w="306" w:type="pct"/>
          </w:tcPr>
          <w:p w14:paraId="0D0B6AE5" w14:textId="7BB41496"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371" w:type="pct"/>
          </w:tcPr>
          <w:p w14:paraId="0A109847" w14:textId="4686C11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k</w:t>
            </w:r>
          </w:p>
        </w:tc>
        <w:tc>
          <w:tcPr>
            <w:tcW w:w="229" w:type="pct"/>
          </w:tcPr>
          <w:p w14:paraId="39AEA167" w14:textId="3AAA8046" w:rsidR="000B21B4" w:rsidRPr="00A61595" w:rsidRDefault="000B21B4" w:rsidP="00380533">
            <w:pPr>
              <w:rPr>
                <w:rFonts w:ascii="Arial" w:hAnsi="Arial" w:cs="Arial"/>
                <w:sz w:val="14"/>
                <w:szCs w:val="14"/>
              </w:rPr>
            </w:pPr>
            <w:r w:rsidRPr="00A61595">
              <w:rPr>
                <w:rFonts w:ascii="Arial" w:hAnsi="Arial" w:cs="Arial"/>
                <w:color w:val="000000"/>
                <w:sz w:val="14"/>
                <w:szCs w:val="14"/>
              </w:rPr>
              <w:t>a, d, e</w:t>
            </w:r>
          </w:p>
        </w:tc>
      </w:tr>
      <w:tr w:rsidR="000B21B4" w:rsidRPr="00A61595" w14:paraId="34114EBA" w14:textId="3A07CD01" w:rsidTr="00380533">
        <w:trPr>
          <w:trHeight w:val="285"/>
        </w:trPr>
        <w:tc>
          <w:tcPr>
            <w:tcW w:w="715" w:type="pct"/>
            <w:gridSpan w:val="2"/>
            <w:shd w:val="clear" w:color="auto" w:fill="auto"/>
            <w:noWrap/>
            <w:hideMark/>
          </w:tcPr>
          <w:p w14:paraId="74777895" w14:textId="0067F281"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Chilombo</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{"citationID":"abdnbvao9p","properties":{"formattedCitation":"(53)","plainCitation":"(53)","noteIndex":0},"citationItems":[{"id":18694,"uris":["http://zotero.org/groups/2477744/items/AKQI3CFJ"],"itemData":{"id":18694,"type":"article-journal","abstract":"Scholarly debate continues about the role of institutional policies in shaping outcomes of large-scale land acquisitions (LSLAs) in host countries. In contribution to this debate, this paper aims at assessing how land governance institutional structures in Zambia interplay with LSLA deals. It draws on the theory of multilevel governance. The paper tests the theory on Nansanga farm block that is part of the long-standing agricultural policy to improve the agriculture sector. Overall, the LSLA-policy interplay is plagued with national party politics, and lack of institutional coherence in land governance between state and customary structures. The results reveal institutional overlaps and policy inadequacy in governing signed LSLA deals. Rural development and commercial agriculture are the most important LSLA policy thrusts. Finally, traditional chiefs, local councils and commissioner of lands represent the multilevel governance structures of land governance in Zambia where corruption is perceived to be the most rampant in LSLA deals. © 2021 Elsevier Ltd","container-title":"Land Use Policy","DOI":"10.1016/j.landusepol.2021.105518","journalAbbreviation":"Land Use Policy","title":"Multilevel governance of large-scale land acquisitions: a case study of the institutional politics of scale of the farm block program in Zambia","URL":"https://www.scopus.com/inward/record.uri?eid=2-s2.0-85105320007&amp;doi=10.1016%2fj.landusepol.2021.105518&amp;partnerID=40&amp;md5=ff9081570dc64483752c81925f5aab4b","volume":"107","author":[{"family":"Chilombo","given":"A."}],"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(53)</w:t>
            </w:r>
            <w:r w:rsidRPr="00A61595">
              <w:rPr>
                <w:rFonts w:ascii="Arial" w:eastAsia="Times New Roman" w:hAnsi="Arial" w:cs="Arial"/>
                <w:sz w:val="14"/>
                <w:szCs w:val="14"/>
              </w:rPr>
              <w:fldChar w:fldCharType="end"/>
            </w:r>
          </w:p>
        </w:tc>
        <w:tc>
          <w:tcPr>
            <w:tcW w:w="192" w:type="pct"/>
            <w:shd w:val="clear" w:color="auto" w:fill="auto"/>
            <w:noWrap/>
            <w:hideMark/>
          </w:tcPr>
          <w:p w14:paraId="2659D60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7460791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Interplay between large-scale land acquisition deals and land governance institutional structures </w:t>
            </w:r>
          </w:p>
        </w:tc>
        <w:tc>
          <w:tcPr>
            <w:tcW w:w="318" w:type="pct"/>
          </w:tcPr>
          <w:p w14:paraId="58507574" w14:textId="6FE11DD9"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21B6D808" w14:textId="2A430891"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7E8A6C2A" w14:textId="68AC6A88"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g, </w:t>
            </w:r>
            <w:proofErr w:type="spellStart"/>
            <w:r w:rsidRPr="00A61595">
              <w:rPr>
                <w:rFonts w:ascii="Arial" w:hAnsi="Arial" w:cs="Arial"/>
                <w:color w:val="000000"/>
                <w:sz w:val="14"/>
                <w:szCs w:val="14"/>
              </w:rPr>
              <w:t>i</w:t>
            </w:r>
            <w:proofErr w:type="spellEnd"/>
          </w:p>
        </w:tc>
        <w:tc>
          <w:tcPr>
            <w:tcW w:w="229" w:type="pct"/>
          </w:tcPr>
          <w:p w14:paraId="1F648F7B" w14:textId="397FC4A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561A226B" w14:textId="75A87EC1" w:rsidTr="00380533">
        <w:trPr>
          <w:trHeight w:val="285"/>
        </w:trPr>
        <w:tc>
          <w:tcPr>
            <w:tcW w:w="715" w:type="pct"/>
            <w:gridSpan w:val="2"/>
            <w:shd w:val="clear" w:color="auto" w:fill="auto"/>
            <w:noWrap/>
            <w:hideMark/>
          </w:tcPr>
          <w:p w14:paraId="17060F6A" w14:textId="0AF7EFE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Chirwa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{"citationID":"a1r4vdofabe","properties":{"formattedCitation":"(54)","plainCitation":"(54)","noteIndex":0},"citationItems":[{"id":18695,"uris":["http://zotero.org/groups/2477744/items/RV7XB5RH"],"itemData":{"id":18695,"type":"article-journal","abstract":"Over the last one-and-half decades Malawi has experienced frequent food shortages due to droughts, the effects of the influx of refugees from neighbouring Mozambique, and official policies that emphasised export-oriented cash crop production. To enhance the country's food security, and to give increased opportunities to small farmers, there has been a shift to small-scale irrigation schemes in selected areas of the country. Evidence from a rice scheme in the northern part of the country suggests that small-scale irrigated operations are characterised by high turnover rates, seasonal variations in patronage, under-utilisation of the key facilities provided, and incessant political tensions. They create fissures in the social structures and in the traditional farming systems. This article thus concludes that small-scale irrigated schemes cannot be regarded simplistically as a panacea to food security and increased agricultural production at the local community levels. The argument that the small operations result in the fast delivery of services may also be exaggerated. In fact, they are quite bureaucratic, and associated with the state's patronising attitude and control of resources.","container-title":"Development Southern Africa","DOI":"10.1080/03768350020013543","issue":"2","journalAbbreviation":"Development Southern Africa","page":"307-327","title":"Land use and extension services at wovwe rice scheme, Malawi","URL":"https://www.scopus.com/inward/record.uri?eid=2-s2.0-0036061958&amp;doi=10.1080%2f03768350020013543&amp;partnerID=40&amp;md5=f2e1a2395617e6239ad9174862b3953a","volume":"19","author":[{"family":"Chirwa","given":"W.C."}],"issued":{"date-parts":[["2002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(54)</w:t>
            </w:r>
            <w:r w:rsidRPr="00A61595">
              <w:rPr>
                <w:rFonts w:ascii="Arial" w:eastAsia="Times New Roman" w:hAnsi="Arial" w:cs="Arial"/>
                <w:sz w:val="14"/>
                <w:szCs w:val="14"/>
              </w:rPr>
              <w:fldChar w:fldCharType="end"/>
            </w:r>
          </w:p>
        </w:tc>
        <w:tc>
          <w:tcPr>
            <w:tcW w:w="192" w:type="pct"/>
            <w:shd w:val="clear" w:color="auto" w:fill="auto"/>
            <w:noWrap/>
            <w:hideMark/>
          </w:tcPr>
          <w:p w14:paraId="5E8A00D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2002</w:t>
            </w:r>
          </w:p>
        </w:tc>
        <w:tc>
          <w:tcPr>
            <w:tcW w:w="2869" w:type="pct"/>
            <w:gridSpan w:val="4"/>
            <w:shd w:val="clear" w:color="auto" w:fill="auto"/>
            <w:noWrap/>
            <w:hideMark/>
          </w:tcPr>
          <w:p w14:paraId="24E090A7"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Experiences of small farmers in state-sponsored irrigation scheme</w:t>
            </w:r>
          </w:p>
        </w:tc>
        <w:tc>
          <w:tcPr>
            <w:tcW w:w="318" w:type="pct"/>
          </w:tcPr>
          <w:p w14:paraId="5C139983" w14:textId="31D6C26F"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76F529E7" w14:textId="16EDD7BF"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365571AA" w14:textId="3D7A6F70"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c>
          <w:tcPr>
            <w:tcW w:w="229" w:type="pct"/>
          </w:tcPr>
          <w:p w14:paraId="06F64C38" w14:textId="1D11E63E"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E7D32F3" w14:textId="52BAA819" w:rsidTr="00380533">
        <w:trPr>
          <w:trHeight w:val="285"/>
        </w:trPr>
        <w:tc>
          <w:tcPr>
            <w:tcW w:w="715" w:type="pct"/>
            <w:gridSpan w:val="2"/>
            <w:shd w:val="clear" w:color="auto" w:fill="auto"/>
            <w:noWrap/>
            <w:hideMark/>
          </w:tcPr>
          <w:p w14:paraId="43A75536" w14:textId="0796C403"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Chukwuone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{"citationID":"a5rj5ta2ai","properties":{"formattedCitation":"(55)","plainCitation":"(55)","noteIndex":0},"citationItems":[{"id":18642,"uris":["http://zotero.org/groups/2477744/items/ZMNKT5T2"],"itemData":{"id":18642,"type":"article-journal","abstract":"Providing adequate and stable funding for agricultural extension service in Nigeria has been a major problem since the expiration of the World Bank's funding arrangement. In order to solve this problem, cost-sharing of agricultural technology delivery is seen as a tenable privatization policy option. Considering the fact that agricultural technology transfer in Nigeria has mainly been publicly funded, introducing cost-sharing arrangement is expected to meet some obstacles. Hence, this study ascertains the perception of farmers and extension agents on the constraints and strategies towards effective cost-sharing of agricultural technology delivery in Nigeria. The study was carried out in six geopolitical zones of Nigeria. Multistage random sampling technique was applied in the selection of respondents. A sample size of 267 farmers and 272 Agricultural Development Programme (ADP) staff participated in the study. Means, standard deviation, exploratory factor analysis and t-test statistics were used in realizing the objectives. The results show that the major constraints to effective cost-sharing of agricultural extension service in Nigeria are weak institutional development, extension system lapses, lack of cooperation by farmers, uncertainties experienced in agriculture, conflicts and corruption. The major strategies for effective cost-sharing arrangement include building political support for cost-sharing, establishment of farmers' cooperatives to serve as avenues for collection of payments, creating enabling legislation for cost-sharing and increasing the number of extension staff. The study recommends proper dissemination of information on cost-sharing before implementation, creating enabling legislation, decentralizing extension system and building the capabilities of extension staff. Reprinted by permission of the Editorial Board of the Journal of International Agricultural and Extension Education, the official peer-reviewed, refereed publication of the Association for International Agricultural and Extension Education. Permission to reprint is granted to the International Bibliography of the Social Sciences for indexing and archival purposes.","archive_location":"36441582; 3328488","container-title":"Journal of international agricultural and extension education","issue":"1","journalAbbreviation":"Journal of international agricultural and extension education","page":"29-42","title":"Constraints and strategies toward effective cost-sharing of agricultural technology delivery in Nigeria","URL":"http://ezproxy.library.yorku.ca/login?url=https://search.proquest.com/docview/36441582?accountid=15182","volume":"13","author":[{"family":"Chukwuone","given":"Nnaemeka A"},{"family":"Agwu","given":"A E"},{"family":"Ozor","given":"Nicholas"}],"issued":{"date-parts":[["2006"]]}}}],"schema":"https://github.com/citation-style-language/schema/raw/master/csl-citation.json"}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(55)</w:t>
            </w:r>
            <w:r w:rsidRPr="00A61595">
              <w:rPr>
                <w:rFonts w:ascii="Arial" w:eastAsia="Times New Roman" w:hAnsi="Arial" w:cs="Arial"/>
                <w:sz w:val="14"/>
                <w:szCs w:val="14"/>
              </w:rPr>
              <w:fldChar w:fldCharType="end"/>
            </w:r>
          </w:p>
        </w:tc>
        <w:tc>
          <w:tcPr>
            <w:tcW w:w="192" w:type="pct"/>
            <w:shd w:val="clear" w:color="auto" w:fill="auto"/>
            <w:noWrap/>
            <w:hideMark/>
          </w:tcPr>
          <w:p w14:paraId="057CD98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2006</w:t>
            </w:r>
          </w:p>
        </w:tc>
        <w:tc>
          <w:tcPr>
            <w:tcW w:w="2869" w:type="pct"/>
            <w:gridSpan w:val="4"/>
            <w:shd w:val="clear" w:color="auto" w:fill="auto"/>
            <w:noWrap/>
            <w:hideMark/>
          </w:tcPr>
          <w:p w14:paraId="185C0D7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Constraints and strategies towards effective cost-sharing of agricultural technology delivery</w:t>
            </w:r>
          </w:p>
        </w:tc>
        <w:tc>
          <w:tcPr>
            <w:tcW w:w="318" w:type="pct"/>
          </w:tcPr>
          <w:p w14:paraId="5DCF9D2C" w14:textId="28AB9E63"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0CD95E0" w14:textId="5AE7FA87"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71" w:type="pct"/>
          </w:tcPr>
          <w:p w14:paraId="69FB73A3" w14:textId="10830096" w:rsidR="000B21B4" w:rsidRPr="00A61595" w:rsidRDefault="000B21B4" w:rsidP="00380533">
            <w:pPr>
              <w:rPr>
                <w:rFonts w:ascii="Arial" w:hAnsi="Arial" w:cs="Arial"/>
                <w:sz w:val="14"/>
                <w:szCs w:val="14"/>
              </w:rPr>
            </w:pPr>
            <w:r w:rsidRPr="00A61595">
              <w:rPr>
                <w:rFonts w:ascii="Arial" w:hAnsi="Arial" w:cs="Arial"/>
                <w:color w:val="000000"/>
                <w:sz w:val="14"/>
                <w:szCs w:val="14"/>
              </w:rPr>
              <w:t>a, g</w:t>
            </w:r>
          </w:p>
        </w:tc>
        <w:tc>
          <w:tcPr>
            <w:tcW w:w="229" w:type="pct"/>
          </w:tcPr>
          <w:p w14:paraId="6E901612" w14:textId="0CBA316B"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r>
      <w:tr w:rsidR="000B21B4" w:rsidRPr="00A61595" w14:paraId="7AEA18DF" w14:textId="5E068ED1" w:rsidTr="00380533">
        <w:trPr>
          <w:trHeight w:val="285"/>
        </w:trPr>
        <w:tc>
          <w:tcPr>
            <w:tcW w:w="715" w:type="pct"/>
            <w:gridSpan w:val="2"/>
            <w:shd w:val="clear" w:color="auto" w:fill="auto"/>
            <w:noWrap/>
            <w:hideMark/>
          </w:tcPr>
          <w:p w14:paraId="441847E7" w14:textId="68BAF3E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Cisneros-Montemayor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{"citationID":"a2hiit13obo","properties":{"formattedCitation":"(56)","plainCitation":"(56)","noteIndex":0},"citationItems":[{"id":17060,"uris":["http://zotero.org/groups/2477744/items/LULUHJHK"],"itemData":{"id":17060,"type":"article-journal","abstract":"It is well recognized that not all fisheries catches are reported or recorded properly by either government or non-government agencies. These unreported catches can be illegal, of unregulated species, or simply not monitored due to logistical barriers. In Mexico, these barriers are an extensive and often not easily accessible coastline, mostly de facto open access fisheries, poor administrative practices and generalized corruption in the fishing sector as a whole. These conditions were likely promoted early in the last century through the government's largely successful policies to increase fisheries catches and stimulate employment and economic growth. Many years later and amid declines in fish stocks and subsequent economic benefits, most notably at local scales, it is evidently time for a fundamental change in strategy away from expansion of fishing effort and toward ecological and economic sustainability. An important step in this endeavor is to provide a quantitative pre-mortem analysis of Mexico's total marine fisheries catches during the last half-century. Results suggest that from 1950 to 2010, total catches were nearly twice as high as the official reports, with an average annual catch of 1.5 million tonnes (t) compared to 796 thousand t in official statistics. In the last year of available data, 2010, official and total estimated catches were 1.5 million and 2.2 million t, respectively. While these results may be perceived as a criticism of the status quo and ante, this study actually does not single out a responsible party, but is, rather, a call to the many sectors of society who contribute to a lack of control, to help overcome these conditions, and increase and sustain the benefits from Mexico's marine fisheries. (c) 2012 Elsevier Ltd. All rights reserved.","container-title":"MARINE POLICY","DOI":"10.1016/j.marpol.2012.12.003","journalAbbreviation":"MARINE POLICY","page":"283-288","title":"Extent and implications of IUU catch in Mexico's marine fisheries","volume":"39","author":[{"family":"Cisneros-Montemayor","given":"Andres M"},{"family":"Cisneros-Mata","given":"Miguel A"},{"family":"Harper","given":"Sarah"},{"family":"Pauly","given":"Daniel"}],"issued":{"date-parts":[["2013"]]}}}],"schema":"https://github.com/citation-style-language/schema/raw/master/csl-citation.json"}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(56)</w:t>
            </w:r>
            <w:r w:rsidRPr="00A61595">
              <w:rPr>
                <w:rFonts w:ascii="Arial" w:eastAsia="Times New Roman" w:hAnsi="Arial" w:cs="Arial"/>
                <w:sz w:val="14"/>
                <w:szCs w:val="14"/>
              </w:rPr>
              <w:fldChar w:fldCharType="end"/>
            </w:r>
          </w:p>
        </w:tc>
        <w:tc>
          <w:tcPr>
            <w:tcW w:w="192" w:type="pct"/>
            <w:shd w:val="clear" w:color="auto" w:fill="auto"/>
            <w:noWrap/>
            <w:hideMark/>
          </w:tcPr>
          <w:p w14:paraId="728B488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2013</w:t>
            </w:r>
          </w:p>
        </w:tc>
        <w:tc>
          <w:tcPr>
            <w:tcW w:w="2869" w:type="pct"/>
            <w:gridSpan w:val="4"/>
            <w:shd w:val="clear" w:color="auto" w:fill="auto"/>
            <w:noWrap/>
            <w:hideMark/>
          </w:tcPr>
          <w:p w14:paraId="59610AD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Illegal, unreported, and unregulated fishing</w:t>
            </w:r>
          </w:p>
        </w:tc>
        <w:tc>
          <w:tcPr>
            <w:tcW w:w="318" w:type="pct"/>
          </w:tcPr>
          <w:p w14:paraId="3CA1C390" w14:textId="4EED8C92"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24D84AC6" w14:textId="0A368D37"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71" w:type="pct"/>
          </w:tcPr>
          <w:p w14:paraId="18B95125" w14:textId="69D43817"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e, f, g, </w:t>
            </w:r>
            <w:proofErr w:type="spellStart"/>
            <w:r w:rsidRPr="00A61595">
              <w:rPr>
                <w:rFonts w:ascii="Arial" w:hAnsi="Arial" w:cs="Arial"/>
                <w:color w:val="000000"/>
                <w:sz w:val="14"/>
                <w:szCs w:val="14"/>
              </w:rPr>
              <w:t>i</w:t>
            </w:r>
            <w:proofErr w:type="spellEnd"/>
          </w:p>
        </w:tc>
        <w:tc>
          <w:tcPr>
            <w:tcW w:w="229" w:type="pct"/>
          </w:tcPr>
          <w:p w14:paraId="186AA94C" w14:textId="0D78C4A4"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12A1786" w14:textId="6D1C8BD6" w:rsidTr="00380533">
        <w:trPr>
          <w:trHeight w:val="285"/>
        </w:trPr>
        <w:tc>
          <w:tcPr>
            <w:tcW w:w="715" w:type="pct"/>
            <w:gridSpan w:val="2"/>
            <w:shd w:val="clear" w:color="auto" w:fill="auto"/>
            <w:noWrap/>
            <w:hideMark/>
          </w:tcPr>
          <w:p w14:paraId="01C90E63" w14:textId="4765D873"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Cissokho</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{"citationID":"a2n8qe7gm1c","properties":{"formattedCitation":"(57)","plainCitation":"(57)","noteIndex":0},"citationItems":[{"id":18696,"uris":["http://zotero.org/groups/2477744/items/Q8IDRSVN"],"itemData":{"id":18696,"type":"article-journal","abstract":"It is widely believed that the countries of Africa trade relatively little with the outside world, and among themselves, despite an extensive network of regional trade agreements. We examine this proposition by focusing on agricultural trade. Specifically, we ask whether non-tariff barriers (NTBs) are stunting agricultural trade within the Economic Community of West African States (ECOWAS), a grouping of fifteen countries in West Africa that has removed tariffs on agricultural trade among its members. Our survey of truckers in Tambacounda (Senegal) in August 2009 found evidence of extensive bribery by police and border officials, effectively representing a barrier to trading. We estimate a unit-elastic structural gravity model of agricultural trade, using data from 135 countries for 2000, 2003 and 2006, and employing Tobit and other types of structural specification. A robust result emerges: agricultural trade among the countries of ECOWAS is higher than one would expect. This does not mean that there are no NTBs within ECOWAS, but it does imply that any such barriers are less harmful to agricultural trade in ECOWAS than in the world as a whole. Similar effects are found for the Common Market for Eastern and Southern Africa (COMESA) and the South African Development Community (SADC). This suggests that African countries are not averse to agricultural trade, and local traders have been effective at exploiting trade opportunities. © The author 2012. Published by Oxford University Press on behalf of the Centre for the Study of African Economies. All rights reserved.","container-title":"Journal of African Economies","DOI":"10.1093/jae/ejs015","issue":"1","journalAbbreviation":"Journal of African Economies","page":"22-51","title":"Why is agricultural trade within ECOWAS so high?","URL":"https://www.scopus.com/inward/record.uri?eid=2-s2.0-84871596684&amp;doi=10.1093%2fjae%2fejs015&amp;partnerID=40&amp;md5=875203fb72b4fb73963094cf3ae617bd","volume":"22","author":[{"family":"Cissokho","given":"L."},{"family":"Haughton","given":"J."},{"family":"Makpayo","given":"K."},{"family":"Seck","given":"A."}],"issued":{"date-parts":[["2013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(57)</w:t>
            </w:r>
            <w:r w:rsidRPr="00A61595">
              <w:rPr>
                <w:rFonts w:ascii="Arial" w:eastAsia="Times New Roman" w:hAnsi="Arial" w:cs="Arial"/>
                <w:sz w:val="14"/>
                <w:szCs w:val="14"/>
              </w:rPr>
              <w:fldChar w:fldCharType="end"/>
            </w:r>
          </w:p>
        </w:tc>
        <w:tc>
          <w:tcPr>
            <w:tcW w:w="192" w:type="pct"/>
            <w:shd w:val="clear" w:color="auto" w:fill="auto"/>
            <w:noWrap/>
            <w:hideMark/>
          </w:tcPr>
          <w:p w14:paraId="1939AAA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2013</w:t>
            </w:r>
          </w:p>
        </w:tc>
        <w:tc>
          <w:tcPr>
            <w:tcW w:w="2869" w:type="pct"/>
            <w:gridSpan w:val="4"/>
            <w:shd w:val="clear" w:color="auto" w:fill="auto"/>
            <w:noWrap/>
            <w:hideMark/>
          </w:tcPr>
          <w:p w14:paraId="765A4C3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Cost barriers to the transport of agricultural products in West Africa</w:t>
            </w:r>
          </w:p>
        </w:tc>
        <w:tc>
          <w:tcPr>
            <w:tcW w:w="318" w:type="pct"/>
          </w:tcPr>
          <w:p w14:paraId="7B2D7CC9" w14:textId="4AF5BE4E"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306" w:type="pct"/>
          </w:tcPr>
          <w:p w14:paraId="1B192887" w14:textId="50928E2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2F34801C" w14:textId="21644383" w:rsidR="000B21B4" w:rsidRPr="00A61595" w:rsidRDefault="000B21B4" w:rsidP="00380533">
            <w:pPr>
              <w:rPr>
                <w:rFonts w:ascii="Arial" w:hAnsi="Arial" w:cs="Arial"/>
                <w:sz w:val="14"/>
                <w:szCs w:val="14"/>
              </w:rPr>
            </w:pPr>
            <w:r w:rsidRPr="00A61595">
              <w:rPr>
                <w:rFonts w:ascii="Arial" w:hAnsi="Arial" w:cs="Arial"/>
                <w:color w:val="000000"/>
                <w:sz w:val="14"/>
                <w:szCs w:val="14"/>
              </w:rPr>
              <w:t>c, g</w:t>
            </w:r>
          </w:p>
        </w:tc>
        <w:tc>
          <w:tcPr>
            <w:tcW w:w="229" w:type="pct"/>
          </w:tcPr>
          <w:p w14:paraId="0C238D70" w14:textId="1E7ECE29"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r>
      <w:tr w:rsidR="000B21B4" w:rsidRPr="00A61595" w14:paraId="561F9839" w14:textId="01B7BF02" w:rsidTr="00380533">
        <w:trPr>
          <w:trHeight w:val="285"/>
        </w:trPr>
        <w:tc>
          <w:tcPr>
            <w:tcW w:w="715" w:type="pct"/>
            <w:gridSpan w:val="2"/>
            <w:shd w:val="clear" w:color="auto" w:fill="auto"/>
            <w:noWrap/>
            <w:hideMark/>
          </w:tcPr>
          <w:p w14:paraId="46D51ECF" w14:textId="5382350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Collins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{"citationID":"a1qglt8b0m0","properties":{"formattedCitation":"(58)","plainCitation":"(58)","noteIndex":0},"citationItems":[{"id":17160,"uris":["http://zotero.org/groups/2477744/items/ACIFLTCX"],"itemData":{"id":17160,"type":"article-journal","abstract":"Grey channels, which are neither clearly legal nor clearly illegal, are commonly relied on by international firms as a means of accessing Chinese markets. Firms report that they use grey channels to avoid China's high import tariffs, difficult regulatory hurdles, and inefficient distribution networks. For food products, grey channels involve risks such as unreliability in delivery and inadequate cool chain management, and some authors anticipate that the use of grey channels for such products will diminish when China implements WTO standards. To explore opportunities that may exist in a free trade environment, this article analyzes what a grey channel is, why people use it, how it operates, and what advantages and disadvantages it has in comparison with other channels. This leads to a discussion on the future of grey channels. The analysis is based on in-depth interviews with firms involved in the food trade in China and Hong Kong. © The Author(s) 2010.","container-title":"China Information","DOI":"10.1177/0920203X09354962","issue":"1","journalAbbreviation":"China Information","page":"61-74","title":"China's grey channels as access points for foreign food products to the Chinese domestic market","URL":"https://www.scopus.com/inward/record.uri?eid=2-s2.0-77749283153&amp;doi=10.1177%2f0920203X09354962&amp;partnerID=40&amp;md5=4e1302c267323ad73243b452cb343b7d","volume":"24","author":[{"family":"Collins","given":"R."},{"family":"Sun","given":"X."}],"issued":{"date-parts":[["2010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(58)</w:t>
            </w:r>
            <w:r w:rsidRPr="00A61595">
              <w:rPr>
                <w:rFonts w:ascii="Arial" w:eastAsia="Times New Roman" w:hAnsi="Arial" w:cs="Arial"/>
                <w:sz w:val="14"/>
                <w:szCs w:val="14"/>
              </w:rPr>
              <w:fldChar w:fldCharType="end"/>
            </w:r>
          </w:p>
        </w:tc>
        <w:tc>
          <w:tcPr>
            <w:tcW w:w="192" w:type="pct"/>
            <w:shd w:val="clear" w:color="auto" w:fill="auto"/>
            <w:noWrap/>
            <w:hideMark/>
          </w:tcPr>
          <w:p w14:paraId="790BCEB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2010</w:t>
            </w:r>
          </w:p>
        </w:tc>
        <w:tc>
          <w:tcPr>
            <w:tcW w:w="2869" w:type="pct"/>
            <w:gridSpan w:val="4"/>
            <w:shd w:val="clear" w:color="auto" w:fill="auto"/>
            <w:noWrap/>
            <w:hideMark/>
          </w:tcPr>
          <w:p w14:paraId="5833CBD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opportunities and grey channels that may exist in a free trade environment</w:t>
            </w:r>
          </w:p>
        </w:tc>
        <w:tc>
          <w:tcPr>
            <w:tcW w:w="318" w:type="pct"/>
          </w:tcPr>
          <w:p w14:paraId="0127677A" w14:textId="7A8A6BCF"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5FB96C31" w14:textId="2B56CDED"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67787F77" w14:textId="3C26BBF7" w:rsidR="000B21B4" w:rsidRPr="00A61595" w:rsidRDefault="000B21B4" w:rsidP="00380533">
            <w:pPr>
              <w:rPr>
                <w:rFonts w:ascii="Arial" w:hAnsi="Arial" w:cs="Arial"/>
                <w:sz w:val="14"/>
                <w:szCs w:val="14"/>
              </w:rPr>
            </w:pPr>
            <w:r w:rsidRPr="00A61595">
              <w:rPr>
                <w:rFonts w:ascii="Arial" w:hAnsi="Arial" w:cs="Arial"/>
                <w:color w:val="000000"/>
                <w:sz w:val="14"/>
                <w:szCs w:val="14"/>
              </w:rPr>
              <w:t>k</w:t>
            </w:r>
          </w:p>
        </w:tc>
        <w:tc>
          <w:tcPr>
            <w:tcW w:w="229" w:type="pct"/>
          </w:tcPr>
          <w:p w14:paraId="14BEE601" w14:textId="3505B56B"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65D24BD" w14:textId="370D96AC" w:rsidTr="00380533">
        <w:trPr>
          <w:trHeight w:val="285"/>
        </w:trPr>
        <w:tc>
          <w:tcPr>
            <w:tcW w:w="715" w:type="pct"/>
            <w:gridSpan w:val="2"/>
            <w:shd w:val="clear" w:color="auto" w:fill="auto"/>
            <w:noWrap/>
            <w:hideMark/>
          </w:tcPr>
          <w:p w14:paraId="151FA77D" w14:textId="2096F8D9"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Dandurand</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{"citationID":"agjoft58f8","properties":{"formattedCitation":"(59)","plainCitation":"(59)","noteIndex":0},"citationItems":[{"id":17124,"uris":["http://zotero.org/groups/2477744/items/FYMCT579"],"itemData":{"id":17124,"type":"article-journal","abstract":"Following the ratification of the National Food Security Act (NFSA) in 2013, the Indian state digitized its food rationing infrastructure, replacing paper</w:instrText>
            </w:r>
            <w:r w:rsidR="00EF10F9">
              <w:rPr>
                <w:rFonts w:ascii="Cambria Math" w:eastAsia="Times New Roman" w:hAnsi="Cambria Math" w:cs="Cambria Math"/>
                <w:sz w:val="14"/>
                <w:szCs w:val="14"/>
              </w:rPr>
              <w:instrText>‐</w:instrText>
            </w:r>
            <w:r w:rsidR="00EF10F9">
              <w:rPr>
                <w:rFonts w:ascii="Arial" w:eastAsia="Times New Roman" w:hAnsi="Arial" w:cs="Arial"/>
                <w:sz w:val="14"/>
                <w:szCs w:val="14"/>
              </w:rPr>
              <w:instrText xml:space="preserve">based ration cards with digital rationing documents and other technologies of authentication. The shift from analog to digital documentary practices has rematerialized documents and devices to enable closer monitoring of the exchange of food entitlements in ration shops. Making biopolitics digital has enabled the state to exert greater control over rationing practices by rendering them more transparent. However, the state's obsession with preventing practices of corruption has hindered, rather than facilitated, access to entitlements for some rightful beneficiaries of the NFSA.","archive_location":"2328359074","container-title":"Political and Legal Anthropology Review","DOI":"10.1111/plar.12305","issue":"2","journalAbbreviation":"Political and Legal Anthropology Review","note":"publisher-place: Arlington\npublisher: Wiley Subscription Services, Inc.","page":"268-282","title":"When Biopolitics Turn Digital: Transparency, Corruption, and Erasures from the Infrastructure of Rationing in Delhi","URL":"http://ezproxy.library.yorku.ca/login?url=https://search.proquest.com/docview/2328359074?accountid=15182","volume":"42","author":[{"family":"Dandurand","given":"Guillaume"}],"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(59)</w:t>
            </w:r>
            <w:r w:rsidRPr="00A61595">
              <w:rPr>
                <w:rFonts w:ascii="Arial" w:eastAsia="Times New Roman" w:hAnsi="Arial" w:cs="Arial"/>
                <w:sz w:val="14"/>
                <w:szCs w:val="14"/>
              </w:rPr>
              <w:fldChar w:fldCharType="end"/>
            </w:r>
          </w:p>
        </w:tc>
        <w:tc>
          <w:tcPr>
            <w:tcW w:w="192" w:type="pct"/>
            <w:shd w:val="clear" w:color="auto" w:fill="auto"/>
            <w:noWrap/>
            <w:hideMark/>
          </w:tcPr>
          <w:p w14:paraId="7A6925A5"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6B02680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transition from paper to digital food rationing infrastructure and the reconfigured bureaucratic practices</w:t>
            </w:r>
          </w:p>
        </w:tc>
        <w:tc>
          <w:tcPr>
            <w:tcW w:w="318" w:type="pct"/>
          </w:tcPr>
          <w:p w14:paraId="1F5A254B" w14:textId="1F68B2C7" w:rsidR="000B21B4" w:rsidRPr="00A61595" w:rsidRDefault="000B21B4" w:rsidP="00380533">
            <w:pPr>
              <w:rPr>
                <w:rFonts w:ascii="Arial" w:hAnsi="Arial" w:cs="Arial"/>
                <w:sz w:val="14"/>
                <w:szCs w:val="14"/>
              </w:rPr>
            </w:pPr>
            <w:r w:rsidRPr="00A61595">
              <w:rPr>
                <w:rFonts w:ascii="Arial" w:hAnsi="Arial" w:cs="Arial"/>
                <w:color w:val="000000"/>
                <w:sz w:val="14"/>
                <w:szCs w:val="14"/>
              </w:rPr>
              <w:t>a, c, e</w:t>
            </w:r>
          </w:p>
        </w:tc>
        <w:tc>
          <w:tcPr>
            <w:tcW w:w="306" w:type="pct"/>
          </w:tcPr>
          <w:p w14:paraId="60557BCC" w14:textId="0E9F4A26"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71" w:type="pct"/>
          </w:tcPr>
          <w:p w14:paraId="4A7B1AE0" w14:textId="0FEC3CB8"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g, </w:t>
            </w:r>
            <w:proofErr w:type="spellStart"/>
            <w:r w:rsidRPr="00A61595">
              <w:rPr>
                <w:rFonts w:ascii="Arial" w:hAnsi="Arial" w:cs="Arial"/>
                <w:color w:val="000000"/>
                <w:sz w:val="14"/>
                <w:szCs w:val="14"/>
              </w:rPr>
              <w:t>i</w:t>
            </w:r>
            <w:proofErr w:type="spellEnd"/>
          </w:p>
        </w:tc>
        <w:tc>
          <w:tcPr>
            <w:tcW w:w="229" w:type="pct"/>
          </w:tcPr>
          <w:p w14:paraId="6FC2CE13" w14:textId="74E2190F"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E35F157" w14:textId="20E859D3" w:rsidTr="00380533">
        <w:trPr>
          <w:trHeight w:val="285"/>
        </w:trPr>
        <w:tc>
          <w:tcPr>
            <w:tcW w:w="715" w:type="pct"/>
            <w:gridSpan w:val="2"/>
            <w:shd w:val="clear" w:color="auto" w:fill="auto"/>
            <w:noWrap/>
            <w:hideMark/>
          </w:tcPr>
          <w:p w14:paraId="4E5744FF" w14:textId="34838D39"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lastRenderedPageBreak/>
              <w:t xml:space="preserve">Davies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{"citationID":"a28i5d3b8o2","properties":{"formattedCitation":"(60)","plainCitation":"(60)","noteIndex":0},"citationItems":[{"id":17162,"uris":["http://zotero.org/groups/2477744/items/DR37FV9M"],"itemData":{"id":17162,"type":"article-journal","abstract":"The exploitation of workers can be understood on a spectrum of ‘less severe’ to ‘severe’ acts or omissions, where less severe exploitation can create conditions for severe exploitation to develop. Exploitation is not an isolated phenomenon perpetrated solely by ‘criminals’, but is closely related to developments in the economy, labour markets and society at large. Exploitation is enabled through otherwise legitimate business practices that disadvantageously affect vulnerable workers in product and labour supply chains. In this article, labour exploitation - and ultimately human trafficking - is framed as a form of corporate crime due to the significant role that businesses and supply chains have in facilitating exploitation. This corporate crime lens therefore argues that labour exploitation is driven by common market factors and business processes, which are closely associated with inadequate regulatory oversight of exploitation in local supply chains. The article draws on qualitative, semi-structured interviews conducted with workers and supply chain stakeholders in the UK agri-food industry, as well as the Finnish cleaning industry. Through thematic analysis, the dynamics of industry, labour subcontracting, and a lack of regulatory oversight are discussed, which are framed as key factors that enable exploitation to occur. Ultimately the corporate crime lens emphasises the economic, political and societal context in which exploitation takes place, and by doing so, uncovers the structural nature of such crimes. © 2019, Springer Nature B.V.","container-title":"Crime, Law and Social Change","DOI":"10.1007/s10611-019-09841-w","issue":"1","journalAbbreviation":"Crime, Law and Social Change","page":"87-106","title":"Labour exploitation as corporate crime and harm: outsourcing responsibility in food production and cleaning services supply chains","URL":"https://www.scopus.com/inward/record.uri?eid=2-s2.0-85066156711&amp;doi=10.1007%2fs10611-019-09841-w&amp;partnerID=40&amp;md5=91b575ba66484fe352c384ac5949e511","volume":"72","author":[{"family":"Davies","given":"J."},{"family":"Ollus","given":"N."}],"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(60)</w:t>
            </w:r>
            <w:r w:rsidRPr="00A61595">
              <w:rPr>
                <w:rFonts w:ascii="Arial" w:eastAsia="Times New Roman" w:hAnsi="Arial" w:cs="Arial"/>
                <w:sz w:val="14"/>
                <w:szCs w:val="14"/>
              </w:rPr>
              <w:fldChar w:fldCharType="end"/>
            </w:r>
          </w:p>
        </w:tc>
        <w:tc>
          <w:tcPr>
            <w:tcW w:w="192" w:type="pct"/>
            <w:shd w:val="clear" w:color="auto" w:fill="auto"/>
            <w:noWrap/>
            <w:hideMark/>
          </w:tcPr>
          <w:p w14:paraId="04FEB86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77A84A43" w14:textId="77777777" w:rsidR="000B21B4" w:rsidRPr="00A61595" w:rsidRDefault="000B21B4" w:rsidP="00380533">
            <w:pPr>
              <w:spacing w:after="0" w:line="360" w:lineRule="auto"/>
              <w:rPr>
                <w:rFonts w:ascii="Arial" w:eastAsia="Times New Roman" w:hAnsi="Arial" w:cs="Arial"/>
                <w:color w:val="000000"/>
                <w:sz w:val="14"/>
                <w:szCs w:val="14"/>
                <w:lang w:eastAsia="en-AU"/>
              </w:rPr>
            </w:pPr>
            <w:proofErr w:type="spellStart"/>
            <w:r w:rsidRPr="00A61595">
              <w:rPr>
                <w:rFonts w:ascii="Arial" w:eastAsia="Times New Roman" w:hAnsi="Arial" w:cs="Arial"/>
                <w:color w:val="000000" w:themeColor="text1"/>
                <w:sz w:val="14"/>
                <w:szCs w:val="14"/>
              </w:rPr>
              <w:t>Labour</w:t>
            </w:r>
            <w:proofErr w:type="spellEnd"/>
            <w:r w:rsidRPr="00A61595">
              <w:rPr>
                <w:rFonts w:ascii="Arial" w:eastAsia="Times New Roman" w:hAnsi="Arial" w:cs="Arial"/>
                <w:color w:val="000000" w:themeColor="text1"/>
                <w:sz w:val="14"/>
                <w:szCs w:val="14"/>
              </w:rPr>
              <w:t xml:space="preserve"> exploitation as corporate crime in food production </w:t>
            </w:r>
          </w:p>
        </w:tc>
        <w:tc>
          <w:tcPr>
            <w:tcW w:w="318" w:type="pct"/>
          </w:tcPr>
          <w:p w14:paraId="0CCAB36B" w14:textId="66AF0027"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5751D973" w14:textId="62A5C736"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A0FF8D9" w14:textId="0CD843CD"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g, </w:t>
            </w:r>
            <w:proofErr w:type="spellStart"/>
            <w:r w:rsidRPr="00A61595">
              <w:rPr>
                <w:rFonts w:ascii="Arial" w:hAnsi="Arial" w:cs="Arial"/>
                <w:color w:val="000000"/>
                <w:sz w:val="14"/>
                <w:szCs w:val="14"/>
              </w:rPr>
              <w:t>i</w:t>
            </w:r>
            <w:proofErr w:type="spellEnd"/>
          </w:p>
        </w:tc>
        <w:tc>
          <w:tcPr>
            <w:tcW w:w="229" w:type="pct"/>
          </w:tcPr>
          <w:p w14:paraId="51CAA87F" w14:textId="5FADD980"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0A99712" w14:textId="2B7DEF06" w:rsidTr="00380533">
        <w:trPr>
          <w:trHeight w:val="285"/>
        </w:trPr>
        <w:tc>
          <w:tcPr>
            <w:tcW w:w="715" w:type="pct"/>
            <w:gridSpan w:val="2"/>
            <w:shd w:val="clear" w:color="auto" w:fill="auto"/>
            <w:noWrap/>
            <w:hideMark/>
          </w:tcPr>
          <w:p w14:paraId="467859F7" w14:textId="109761C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Davies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{"citationID":"a2q5hr4mebp","properties":{"formattedCitation":"(61)","plainCitation":"(61)","noteIndex":0},"citationItems":[{"id":17125,"uris":["http://zotero.org/groups/2477744/items/2BSD7MR7"],"itemData":{"id":17125,"type":"article-journal","abstract":"Harm facilitated by corporations has received increased attention in recent years. However, corporate crime and harm remain under-researched themes in relation to labour exploitation, in both theoretical and empirical terms. The purpose of this article is to argue that, in the context of agricultural and food supply networks, harmful labour practices result from structural problems associated with the demand for products. Although individual employers and businesses have a role in facilitating these harmful practices, these practices also emerge from otherwise legitimate agri-food supply network dynamics, such as subcontracted labour, which results in fragmented responsibility. Therefore, labour practices have significant implications for the nature, organization and control of corporate harms, whereby harmful consequences become normalized, accepted and embedded in agri-food supply network practices. Criminological analyses of food production and contemporary markets more widely can begin to address the systemic challenges of harmful labour practices, in both domestic and global supply networks. (PsycInfo Database Record (c) 2020 APA, all rights reserved)","container-title":"European Journal of Criminology","DOI":"10.1177/1477370819874416","issue":"1","journalAbbreviation":"European Journal of Criminology","note":"publisher-place: US\npublisher: Sage Publications","page":"70-85","title":"Corporate harm and embedded labour exploitation in agri-food supply networks.","volume":"17","author":[{"family":"Davies","given":"Jon"}],"issued":{"date-parts":[["2020"]]}}}],"schema":"https://github.com/citation-style-language/schema/raw/master/csl-citation.json"}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(61)</w:t>
            </w:r>
            <w:r w:rsidRPr="00A61595">
              <w:rPr>
                <w:rFonts w:ascii="Arial" w:eastAsia="Times New Roman" w:hAnsi="Arial" w:cs="Arial"/>
                <w:sz w:val="14"/>
                <w:szCs w:val="14"/>
              </w:rPr>
              <w:fldChar w:fldCharType="end"/>
            </w:r>
          </w:p>
        </w:tc>
        <w:tc>
          <w:tcPr>
            <w:tcW w:w="192" w:type="pct"/>
            <w:shd w:val="clear" w:color="auto" w:fill="auto"/>
            <w:noWrap/>
            <w:hideMark/>
          </w:tcPr>
          <w:p w14:paraId="12203DE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76E880FE"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Harmful labor practices in agricultural and food supply networks</w:t>
            </w:r>
          </w:p>
        </w:tc>
        <w:tc>
          <w:tcPr>
            <w:tcW w:w="318" w:type="pct"/>
          </w:tcPr>
          <w:p w14:paraId="194785C2" w14:textId="55D57077" w:rsidR="000B21B4" w:rsidRPr="00A61595" w:rsidRDefault="000B21B4" w:rsidP="00380533">
            <w:pPr>
              <w:rPr>
                <w:rFonts w:ascii="Arial" w:hAnsi="Arial" w:cs="Arial"/>
                <w:sz w:val="14"/>
                <w:szCs w:val="14"/>
              </w:rPr>
            </w:pPr>
            <w:r w:rsidRPr="00A61595">
              <w:rPr>
                <w:rFonts w:ascii="Arial" w:hAnsi="Arial" w:cs="Arial"/>
                <w:color w:val="000000"/>
                <w:sz w:val="14"/>
                <w:szCs w:val="14"/>
              </w:rPr>
              <w:t>c, d</w:t>
            </w:r>
          </w:p>
        </w:tc>
        <w:tc>
          <w:tcPr>
            <w:tcW w:w="306" w:type="pct"/>
          </w:tcPr>
          <w:p w14:paraId="67E32F60" w14:textId="78487A31"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19D7628" w14:textId="0F849866"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g, </w:t>
            </w:r>
            <w:proofErr w:type="spellStart"/>
            <w:r w:rsidRPr="00A61595">
              <w:rPr>
                <w:rFonts w:ascii="Arial" w:hAnsi="Arial" w:cs="Arial"/>
                <w:color w:val="000000"/>
                <w:sz w:val="14"/>
                <w:szCs w:val="14"/>
              </w:rPr>
              <w:t>i</w:t>
            </w:r>
            <w:proofErr w:type="spellEnd"/>
          </w:p>
        </w:tc>
        <w:tc>
          <w:tcPr>
            <w:tcW w:w="229" w:type="pct"/>
          </w:tcPr>
          <w:p w14:paraId="60CA8ECE" w14:textId="6CD7386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72704F5" w14:textId="179C905B" w:rsidTr="00380533">
        <w:trPr>
          <w:trHeight w:val="285"/>
        </w:trPr>
        <w:tc>
          <w:tcPr>
            <w:tcW w:w="715" w:type="pct"/>
            <w:gridSpan w:val="2"/>
            <w:shd w:val="clear" w:color="auto" w:fill="auto"/>
            <w:noWrap/>
            <w:hideMark/>
          </w:tcPr>
          <w:p w14:paraId="15155EB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De Rosa </w:t>
            </w:r>
            <w:r w:rsidRPr="00A61595">
              <w:rPr>
                <w:rFonts w:ascii="Arial" w:eastAsia="Times New Roman" w:hAnsi="Arial" w:cs="Arial"/>
                <w:sz w:val="14"/>
                <w:szCs w:val="14"/>
              </w:rPr>
              <w:fldChar w:fldCharType="begin"/>
            </w:r>
            <w:r w:rsidRPr="00A61595">
              <w:rPr>
                <w:rFonts w:ascii="Arial" w:eastAsia="Times New Roman" w:hAnsi="Arial" w:cs="Arial"/>
                <w:sz w:val="14"/>
                <w:szCs w:val="14"/>
              </w:rPr>
              <w:instrText xml:space="preserve"> ADDIN ZOTERO_ITEM CSL_CITATION {"citationID":"a1l2i4c723n","properties":{"formattedCitation":"(62)","plainCitation":"(62)","noteIndex":0},"citationItems":[{"id":17071,"uris":["http://zotero.org/groups/2477744/items/BFNHW7KL"],"itemData":{"id":17071,"type":"article-journal","abstract":"The paper points out the institutional transition toward illegality in a typical Italian food chain. The key research questions concern the way illegality becomes an institution. The theoretical perspective makes reference to institutional theories: more precisely, building on Veblen's insight into the evolution of social institutions, the paper analyses the conventions of production within the domestic water buffalo mozzarella industry to argue that legality and illegality are not universal values, but social constructs that are the product of institutional selection. Through an empirical analysis carried out on the production area, the authors argue that the practices of production of mozzarella producers are based on the nature of the system of power in place locally, characterized by the endemic presence of organized crime, and the historical inefficiency and corruption of state officials. It emerges from these practices that, in this production area, producers perceive legal and illegal acts not as mutually exclusive opposites, but as a possible behaviour along the same legality/illegality continuum. The culture of illegality in place in the area of mozzarella production is thus explained as an ongoing process of institutional selection that promotes illegality as the ``way of doing things{''} in the region. (C) 2016 Elsevier Ltd. All rights reserved.","container-title":"JOURNAL OF RURAL STUDIES","DOI":"10.1016/j.jrurstud.2016.04.009","journalAbbreviation":"JOURNAL OF RURAL STUDIES","page":"303-311","title":"Everybody does it, or how illegality is socially constructed in a southern Italian food network","volume":"45","author":[{"family":"De Rosa","given":"Marcello"},{"family":"Trabalzi","given":"Ferro"}],"issued":{"date-parts":[["2016"]]}}}],"schema":"https://github.com/citation-style-language/schema/raw/master/csl-citation.json"} </w:instrText>
            </w:r>
            <w:r w:rsidRPr="00A61595">
              <w:rPr>
                <w:rFonts w:ascii="Arial" w:eastAsia="Times New Roman" w:hAnsi="Arial" w:cs="Arial"/>
                <w:sz w:val="14"/>
                <w:szCs w:val="14"/>
              </w:rPr>
              <w:fldChar w:fldCharType="separate"/>
            </w:r>
            <w:r w:rsidRPr="00A61595">
              <w:rPr>
                <w:rFonts w:ascii="Arial" w:hAnsi="Arial" w:cs="Arial"/>
                <w:sz w:val="14"/>
                <w:szCs w:val="14"/>
              </w:rPr>
              <w:t>(62)</w:t>
            </w:r>
            <w:r w:rsidRPr="00A61595">
              <w:rPr>
                <w:rFonts w:ascii="Arial" w:eastAsia="Times New Roman" w:hAnsi="Arial" w:cs="Arial"/>
                <w:sz w:val="14"/>
                <w:szCs w:val="14"/>
              </w:rPr>
              <w:fldChar w:fldCharType="end"/>
            </w:r>
          </w:p>
        </w:tc>
        <w:tc>
          <w:tcPr>
            <w:tcW w:w="192" w:type="pct"/>
            <w:shd w:val="clear" w:color="auto" w:fill="auto"/>
            <w:noWrap/>
            <w:hideMark/>
          </w:tcPr>
          <w:p w14:paraId="6FDE54E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3ABAB10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Role of organized crime in the region of buffalo mozzarella production</w:t>
            </w:r>
          </w:p>
        </w:tc>
        <w:tc>
          <w:tcPr>
            <w:tcW w:w="318" w:type="pct"/>
          </w:tcPr>
          <w:p w14:paraId="6C5AB61E" w14:textId="3C3613F3" w:rsidR="000B21B4" w:rsidRPr="00A61595" w:rsidRDefault="000B21B4" w:rsidP="00380533">
            <w:pPr>
              <w:rPr>
                <w:rFonts w:ascii="Arial" w:hAnsi="Arial" w:cs="Arial"/>
                <w:sz w:val="14"/>
                <w:szCs w:val="14"/>
              </w:rPr>
            </w:pPr>
            <w:r w:rsidRPr="00A61595">
              <w:rPr>
                <w:rFonts w:ascii="Arial" w:hAnsi="Arial" w:cs="Arial"/>
                <w:color w:val="000000"/>
                <w:sz w:val="14"/>
                <w:szCs w:val="14"/>
              </w:rPr>
              <w:t>c, d</w:t>
            </w:r>
          </w:p>
        </w:tc>
        <w:tc>
          <w:tcPr>
            <w:tcW w:w="306" w:type="pct"/>
          </w:tcPr>
          <w:p w14:paraId="6F098C8A" w14:textId="01A824AD"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5C617CD9" w14:textId="2A93BAB2" w:rsidR="000B21B4" w:rsidRPr="00A61595" w:rsidRDefault="000B21B4" w:rsidP="00380533">
            <w:pPr>
              <w:rPr>
                <w:rFonts w:ascii="Arial" w:hAnsi="Arial" w:cs="Arial"/>
                <w:sz w:val="14"/>
                <w:szCs w:val="14"/>
              </w:rPr>
            </w:pPr>
            <w:r w:rsidRPr="00A61595">
              <w:rPr>
                <w:rFonts w:ascii="Arial" w:hAnsi="Arial" w:cs="Arial"/>
                <w:color w:val="000000"/>
                <w:sz w:val="14"/>
                <w:szCs w:val="14"/>
              </w:rPr>
              <w:t>k</w:t>
            </w:r>
          </w:p>
        </w:tc>
        <w:tc>
          <w:tcPr>
            <w:tcW w:w="229" w:type="pct"/>
          </w:tcPr>
          <w:p w14:paraId="22FF6E45" w14:textId="006DFAD6" w:rsidR="000B21B4" w:rsidRPr="00A61595" w:rsidRDefault="000B21B4" w:rsidP="00380533">
            <w:pPr>
              <w:rPr>
                <w:rFonts w:ascii="Arial" w:hAnsi="Arial" w:cs="Arial"/>
                <w:sz w:val="14"/>
                <w:szCs w:val="14"/>
              </w:rPr>
            </w:pPr>
            <w:r w:rsidRPr="00A61595">
              <w:rPr>
                <w:rFonts w:ascii="Arial" w:hAnsi="Arial" w:cs="Arial"/>
                <w:color w:val="000000"/>
                <w:sz w:val="14"/>
                <w:szCs w:val="14"/>
              </w:rPr>
              <w:t>a, d, e</w:t>
            </w:r>
          </w:p>
        </w:tc>
      </w:tr>
      <w:tr w:rsidR="000B21B4" w:rsidRPr="00A61595" w14:paraId="7D5A800B" w14:textId="163C9D41" w:rsidTr="00380533">
        <w:trPr>
          <w:trHeight w:val="285"/>
        </w:trPr>
        <w:tc>
          <w:tcPr>
            <w:tcW w:w="715" w:type="pct"/>
            <w:gridSpan w:val="2"/>
            <w:shd w:val="clear" w:color="auto" w:fill="auto"/>
            <w:noWrap/>
            <w:hideMark/>
          </w:tcPr>
          <w:p w14:paraId="1EF5FE8D" w14:textId="25587B67"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Deshingkar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{"citationID":"a2056rant5s","properties":{"formattedCitation":"(63)","plainCitation":"(63)","noteIndex":0},"citationItems":[{"id":17103,"uris":["http://zotero.org/groups/2477744/items/Z9HVWAGW"],"itemData":{"id":17103,"type":"article-journal","abstract":"This paper reflects on the functioning and shortcomings of the Food-For-Work (FFW) program in the Indian State of Andhra Pradesh. Drawing upon 12 months of primary field research conducted in 2001-02, it shows how design faults, administrative mismanagement, and local power relations excluded very poor and lower caste people from participating in the program. The main problem areas were ineffective village assemblies (Gram Sabhas), the engagement of ``contractors,{''} the selection of beneficiaries by contractors, inappropriate wage setting, payments in cash instead of grain, the use of labor-displacing machinery, and disregard of the labor:material ratio in works executed. The paper concludes with policy lessons for improving the design and implementation of future FFW programs. (c) 2005 Elsevier Ltd. All rights reserved.","container-title":"WORLD DEVELOPMENT","DOI":"10.1016/j.worlddev.2005.01.003","issue":"4","journalAbbreviation":"WORLD DEVELOPMENT","page":"575-591","title":"State transfers to the poor and back: The case of the food-for-work program in India","volume":"33","author":[{"family":"Deshingkar","given":"P"},{"family":"Johnson","given":"C"},{"family":"Farrington","given":"J"}],"issued":{"date-parts":[["2005"]]}}}],"schema":"https://github.com/citation-style-language/schema/raw/master/csl-citation.json"}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(63)</w:t>
            </w:r>
            <w:r w:rsidRPr="00A61595">
              <w:rPr>
                <w:rFonts w:ascii="Arial" w:eastAsia="Times New Roman" w:hAnsi="Arial" w:cs="Arial"/>
                <w:sz w:val="14"/>
                <w:szCs w:val="14"/>
              </w:rPr>
              <w:fldChar w:fldCharType="end"/>
            </w:r>
          </w:p>
        </w:tc>
        <w:tc>
          <w:tcPr>
            <w:tcW w:w="192" w:type="pct"/>
            <w:shd w:val="clear" w:color="auto" w:fill="auto"/>
            <w:noWrap/>
            <w:hideMark/>
          </w:tcPr>
          <w:p w14:paraId="5E332F0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2005</w:t>
            </w:r>
          </w:p>
        </w:tc>
        <w:tc>
          <w:tcPr>
            <w:tcW w:w="2869" w:type="pct"/>
            <w:gridSpan w:val="4"/>
            <w:shd w:val="clear" w:color="auto" w:fill="auto"/>
            <w:noWrap/>
            <w:hideMark/>
          </w:tcPr>
          <w:p w14:paraId="2DC1C2C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functioning and shortcomings of the Food-For-Work program</w:t>
            </w:r>
          </w:p>
        </w:tc>
        <w:tc>
          <w:tcPr>
            <w:tcW w:w="318" w:type="pct"/>
          </w:tcPr>
          <w:p w14:paraId="2E69769C" w14:textId="70FB34F0"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1EF7F78B" w14:textId="702ADC4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29E0642B" w14:textId="3751DB86"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g, </w:t>
            </w:r>
            <w:proofErr w:type="spellStart"/>
            <w:r w:rsidRPr="00A61595">
              <w:rPr>
                <w:rFonts w:ascii="Arial" w:hAnsi="Arial" w:cs="Arial"/>
                <w:color w:val="000000"/>
                <w:sz w:val="14"/>
                <w:szCs w:val="14"/>
              </w:rPr>
              <w:t>i</w:t>
            </w:r>
            <w:proofErr w:type="spellEnd"/>
          </w:p>
        </w:tc>
        <w:tc>
          <w:tcPr>
            <w:tcW w:w="229" w:type="pct"/>
          </w:tcPr>
          <w:p w14:paraId="206F82D7" w14:textId="5A5F7906"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0E07A9E" w14:textId="1BB2B0C0" w:rsidTr="00380533">
        <w:trPr>
          <w:trHeight w:val="285"/>
        </w:trPr>
        <w:tc>
          <w:tcPr>
            <w:tcW w:w="715" w:type="pct"/>
            <w:gridSpan w:val="2"/>
            <w:shd w:val="clear" w:color="auto" w:fill="auto"/>
            <w:noWrap/>
            <w:hideMark/>
          </w:tcPr>
          <w:p w14:paraId="13EF1CD6" w14:textId="64390442"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Dodson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{"citationID":"ac9hof0ni","properties":{"formattedCitation":"(64)","plainCitation":"(64)","noteIndex":0},"citationItems":[{"id":17164,"uris":["http://zotero.org/groups/2477744/items/FBV8KG3V"],"itemData":{"id":17164,"type":"article-journal","abstract":"As the prevalence of obesity rapidly climbs among youth in the United States, public health practitioners and policymakers seek effective means of slowing and reversing these trends. Recently, many state laws and regulations addressing childhood obesity have been introduced and enacted. Understanding determinants of such legislation may inform the development and passage of future policies. For this study, key-informant interviews were conducted with 16 legislators and staffers from 11 states in 2005-2006 to examine qualitative factors that enable and impede state-level childhood obesity prevention legislation. Commonly cited factors positively influencing the passage of childhood obesity prevention legislation included national media exposure, introduction of the policy by senior legislators, and gaining the support of key players including parents, physicians, and schools. Noteworthy barriers included powerful lobbyists of companies that produce unhealthy foods and misconceptions about legislating foods at schools. Although the total number of informants was modest, their valuable insights provide policymakers and practitioners with a set of enablers and barriers to be considered when pursuing state-level policy. © 2009 Palgrave Macmillan Ltd.","container-title":"Journal of Public Health Policy","DOI":"10.1057/jphp.2008.57","issue":"SUPPL. 1","journalAbbreviation":"Journal of Public Health Policy","page":"S161-S176","title":"Preventing childhood obesity through state policy: Qualitative assessment of enablers and barriers","URL":"https://www.scopus.com/inward/record.uri?eid=2-s2.0-59849121321&amp;doi=10.1057%2fjphp.2008.57&amp;partnerID=40&amp;md5=2430d1f7f9e68cfde7a852030fa1c0c9","volume":"30","author":[{"family":"Dodson","given":"E.A."},{"family":"Fleming","given":"C."},{"family":"Boehmer","given":"T.K."},{"family":"Haire-Joshu","given":"D."},{"family":"Luke","given":"D.A."},{"family":"Brownson","given":"R.C."}],"issued":{"date-parts":[["2009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(64)</w:t>
            </w:r>
            <w:r w:rsidRPr="00A61595">
              <w:rPr>
                <w:rFonts w:ascii="Arial" w:eastAsia="Times New Roman" w:hAnsi="Arial" w:cs="Arial"/>
                <w:sz w:val="14"/>
                <w:szCs w:val="14"/>
              </w:rPr>
              <w:fldChar w:fldCharType="end"/>
            </w:r>
          </w:p>
        </w:tc>
        <w:tc>
          <w:tcPr>
            <w:tcW w:w="192" w:type="pct"/>
            <w:shd w:val="clear" w:color="auto" w:fill="auto"/>
            <w:noWrap/>
            <w:hideMark/>
          </w:tcPr>
          <w:p w14:paraId="5731F48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2009</w:t>
            </w:r>
          </w:p>
        </w:tc>
        <w:tc>
          <w:tcPr>
            <w:tcW w:w="2869" w:type="pct"/>
            <w:gridSpan w:val="4"/>
            <w:shd w:val="clear" w:color="auto" w:fill="auto"/>
            <w:noWrap/>
            <w:hideMark/>
          </w:tcPr>
          <w:p w14:paraId="30037D0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Factors that enable and impede state-level childhood obesity prevention legislation</w:t>
            </w:r>
          </w:p>
        </w:tc>
        <w:tc>
          <w:tcPr>
            <w:tcW w:w="318" w:type="pct"/>
          </w:tcPr>
          <w:p w14:paraId="313379DC" w14:textId="6E5E50F7"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1ED6CB09" w14:textId="3354FCEE"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137D124" w14:textId="5E781133"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455F26BF" w14:textId="3F38AA1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C6A37BF" w14:textId="7BE22904" w:rsidTr="00380533">
        <w:trPr>
          <w:trHeight w:val="285"/>
        </w:trPr>
        <w:tc>
          <w:tcPr>
            <w:tcW w:w="715" w:type="pct"/>
            <w:gridSpan w:val="2"/>
            <w:shd w:val="clear" w:color="auto" w:fill="auto"/>
            <w:noWrap/>
            <w:hideMark/>
          </w:tcPr>
          <w:p w14:paraId="0ECCC9A8" w14:textId="424D9D88"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Ebewore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{"citationID":"a1e76sk5stc","properties":{"formattedCitation":"(65)","plainCitation":"(65)","noteIndex":0},"citationItems":[{"id":17165,"uris":["http://zotero.org/groups/2477744/items/YV93IX9M"],"itemData":{"id":17165,"type":"article-journal","abstract":"This article identifies farmers' perceptions of infrastructure availability and condition in rural communities in Nigeria. Multistage sampling procedures were used to survey a sample of 412 respondents. Data analysis used descriptive statistics and a binary logit regression model to analyse the effects of infrastructure on agricultural production. Results revealed, apart from roads, water, community centres/town halls and market structures, infrastructure was perceived to be in bad condition and effects farming activities. Regression results indicated nine variables positively influenced, and four variables negatively influenced, the development of rural infrastructure. Proximity to urban areas, corruption, capital flight, community commitment, finance, access of the rural people to government and the presence of social workers were statistically significant. Conclusions argue for improved provision of infrastructure facilities is needed to support agricultural production in Nigeria. © 2021 Informa UK Limited, trading as Taylor &amp; Francis Group.","container-title":"Rural Society","DOI":"10.1080/10371656.2021.1897239","issue":"1","journalAbbreviation":"Rural Society","page":"32-44","title":"Farmers’ perception of the state of infrastructure on agricultural production in Delta state, Nigeria","URL":"https://www.scopus.com/inward/record.uri?eid=2-s2.0-85102686120&amp;doi=10.1080%2f10371656.2021.1897239&amp;partnerID=40&amp;md5=f1a5761eabebd0397b17aa2cf24deb51","volume":"30","author":[{"family":"Ebewore","given":"S.O."}],"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(65)</w:t>
            </w:r>
            <w:r w:rsidRPr="00A61595">
              <w:rPr>
                <w:rFonts w:ascii="Arial" w:eastAsia="Times New Roman" w:hAnsi="Arial" w:cs="Arial"/>
                <w:sz w:val="14"/>
                <w:szCs w:val="14"/>
              </w:rPr>
              <w:fldChar w:fldCharType="end"/>
            </w:r>
          </w:p>
        </w:tc>
        <w:tc>
          <w:tcPr>
            <w:tcW w:w="192" w:type="pct"/>
            <w:shd w:val="clear" w:color="auto" w:fill="auto"/>
            <w:noWrap/>
            <w:hideMark/>
          </w:tcPr>
          <w:p w14:paraId="6160E5B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652AF79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Farmers’ perceptions of infrastructure availability and conditions in rural communities</w:t>
            </w:r>
          </w:p>
        </w:tc>
        <w:tc>
          <w:tcPr>
            <w:tcW w:w="318" w:type="pct"/>
          </w:tcPr>
          <w:p w14:paraId="2E4C778A" w14:textId="270D61CD"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692B0FD" w14:textId="476DC26D"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049CBB2C" w14:textId="58C897FA"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f </w:t>
            </w:r>
          </w:p>
        </w:tc>
        <w:tc>
          <w:tcPr>
            <w:tcW w:w="229" w:type="pct"/>
          </w:tcPr>
          <w:p w14:paraId="0BC5319F" w14:textId="227B3D7F"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r>
      <w:tr w:rsidR="000B21B4" w:rsidRPr="00A61595" w14:paraId="3EE97C93" w14:textId="6CF2E549" w:rsidTr="00380533">
        <w:trPr>
          <w:trHeight w:val="285"/>
        </w:trPr>
        <w:tc>
          <w:tcPr>
            <w:tcW w:w="715" w:type="pct"/>
            <w:gridSpan w:val="2"/>
            <w:shd w:val="clear" w:color="auto" w:fill="auto"/>
            <w:noWrap/>
            <w:hideMark/>
          </w:tcPr>
          <w:p w14:paraId="51E981F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Ekbom </w:t>
            </w:r>
            <w:r w:rsidRPr="00A61595">
              <w:rPr>
                <w:rFonts w:ascii="Arial" w:eastAsia="Times New Roman" w:hAnsi="Arial" w:cs="Arial"/>
                <w:sz w:val="14"/>
                <w:szCs w:val="14"/>
              </w:rPr>
              <w:fldChar w:fldCharType="begin"/>
            </w:r>
            <w:r w:rsidRPr="00A61595">
              <w:rPr>
                <w:rFonts w:ascii="Arial" w:eastAsia="Times New Roman" w:hAnsi="Arial" w:cs="Arial"/>
                <w:sz w:val="14"/>
                <w:szCs w:val="14"/>
              </w:rPr>
              <w:instrText xml:space="preserve"> ADDIN ZOTERO_ITEM CSL_CITATION {"citationID":"a1cdjifsica","properties":{"formattedCitation":"(66)","plainCitation":"(66)","noteIndex":0},"citationItems":[{"id":17101,"uris":["http://zotero.org/groups/2477744/items/LDEC7BCA"],"itemData":{"id":17101,"type":"article-journal","abstract":"Kenya's development seems trapped in a vicious circle caused by soil erosion, declining soil fertility, land fragmentation, fluctuating agricultural production, widespread poverty, corruption, ethnic tension, rapid population. urban growth and a declining economy, The development challenge is to reverse the negative effects of these processes and promote sustainable development. This paper, based on multidisciplinary work discusses whether sustainable development based on agriculture is attainable in Murang'a district in Kenya's Central Highlands. Firstly, it investigates some biophysical aspects of sustainable agriculture such as land use across time, soil nutrient status and yield, cultivated crops and soil productivity by analysing aerial photographs and soil samples and conducting interviews. It suggests that the area has gone through major biophysical changes. Second. it relates the farmers' attitude to promotion of sustainable development as carried out by the National Soil and Water Conservation Programme. It suggests that farmers carry ideas of corruption, often following ethnic lines that hampers efficient implementation of the extension advise. Finally, it identifies links behind rural-urban migration by estimating households' probability of generating incomes outside the farm, typically in urban areas. Opportunistic farming, manifested by temporary reduction of farming on own land to satisfy immediate income needs, is very common among farmers. More needs to be done to promote agro-based, small-scale rural industries, improve agricultural management practices, facilitate appropriate credits, enhance marketing opportunities. ensure timely crop payments, and increase participation in decision making. It is important to realize that for farmers to embrace policies which promote agriculturely-based sustainable development the policies ought to biophysically possible, socio-politically acceptable and economically feasible. Copyright (C) 2001 John Wiley &amp; Sons, Ltd.","container-title":"LAND DEGRADATION &amp; DEVELOPMENT","DOI":"10.1002/ldr.460","issue":"5","journalAbbreviation":"LAND DEGRADATION &amp; DEVELOPMENT","page":"435-447","title":"Is sustainable development based on agriculture attainable in Kenya? A multidisciplinary case study of Muranga district","volume":"12","author":[{"family":"Ekbom","given":"A"},{"family":"Knutsson","given":"P"},{"family":"Ovuka","given":"M"}],"issued":{"date-parts":[["2001"]]}}}],"schema":"https://github.com/citation-style-language/schema/raw/master/csl-citation.json"} </w:instrText>
            </w:r>
            <w:r w:rsidRPr="00A61595">
              <w:rPr>
                <w:rFonts w:ascii="Arial" w:eastAsia="Times New Roman" w:hAnsi="Arial" w:cs="Arial"/>
                <w:sz w:val="14"/>
                <w:szCs w:val="14"/>
              </w:rPr>
              <w:fldChar w:fldCharType="separate"/>
            </w:r>
            <w:r w:rsidRPr="00A61595">
              <w:rPr>
                <w:rFonts w:ascii="Arial" w:hAnsi="Arial" w:cs="Arial"/>
                <w:sz w:val="14"/>
                <w:szCs w:val="14"/>
              </w:rPr>
              <w:t>(66)</w:t>
            </w:r>
            <w:r w:rsidRPr="00A61595">
              <w:rPr>
                <w:rFonts w:ascii="Arial" w:eastAsia="Times New Roman" w:hAnsi="Arial" w:cs="Arial"/>
                <w:sz w:val="14"/>
                <w:szCs w:val="14"/>
              </w:rPr>
              <w:fldChar w:fldCharType="end"/>
            </w:r>
          </w:p>
        </w:tc>
        <w:tc>
          <w:tcPr>
            <w:tcW w:w="192" w:type="pct"/>
            <w:shd w:val="clear" w:color="auto" w:fill="auto"/>
            <w:noWrap/>
            <w:hideMark/>
          </w:tcPr>
          <w:p w14:paraId="062AAF1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2001</w:t>
            </w:r>
          </w:p>
        </w:tc>
        <w:tc>
          <w:tcPr>
            <w:tcW w:w="2869" w:type="pct"/>
            <w:gridSpan w:val="4"/>
            <w:shd w:val="clear" w:color="auto" w:fill="auto"/>
            <w:noWrap/>
            <w:hideMark/>
          </w:tcPr>
          <w:p w14:paraId="31E525D7"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conditions that sustainable national development based on agriculture would be attainable</w:t>
            </w:r>
          </w:p>
        </w:tc>
        <w:tc>
          <w:tcPr>
            <w:tcW w:w="318" w:type="pct"/>
          </w:tcPr>
          <w:p w14:paraId="3D530B8B" w14:textId="68B790B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35EEAE3C" w14:textId="6537845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209F0C5D" w14:textId="1DDCB880"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c>
          <w:tcPr>
            <w:tcW w:w="229" w:type="pct"/>
          </w:tcPr>
          <w:p w14:paraId="10AA1A17" w14:textId="379ED780" w:rsidR="000B21B4" w:rsidRPr="00A61595" w:rsidRDefault="000B21B4" w:rsidP="00380533">
            <w:pPr>
              <w:rPr>
                <w:rFonts w:ascii="Arial" w:hAnsi="Arial" w:cs="Arial"/>
                <w:sz w:val="14"/>
                <w:szCs w:val="14"/>
              </w:rPr>
            </w:pPr>
            <w:r w:rsidRPr="00A61595">
              <w:rPr>
                <w:rFonts w:ascii="Arial" w:hAnsi="Arial" w:cs="Arial"/>
                <w:color w:val="000000"/>
                <w:sz w:val="14"/>
                <w:szCs w:val="14"/>
              </w:rPr>
              <w:t>a, c, f, e</w:t>
            </w:r>
          </w:p>
        </w:tc>
      </w:tr>
      <w:tr w:rsidR="000B21B4" w:rsidRPr="00A61595" w14:paraId="003E8FDF" w14:textId="63BE0A89" w:rsidTr="00380533">
        <w:trPr>
          <w:trHeight w:val="285"/>
        </w:trPr>
        <w:tc>
          <w:tcPr>
            <w:tcW w:w="715" w:type="pct"/>
            <w:gridSpan w:val="2"/>
            <w:shd w:val="clear" w:color="auto" w:fill="auto"/>
            <w:noWrap/>
            <w:hideMark/>
          </w:tcPr>
          <w:p w14:paraId="1E5CFA95" w14:textId="35F331E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Elsen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{"citationID":"a2njpiqvouj","properties":{"formattedCitation":"(67)","plainCitation":"(67)","noteIndex":0},"citationItems":[{"id":17166,"uris":["http://zotero.org/groups/2477744/items/7S47T5JT"],"itemData":{"id":17166,"type":"article-journal","abstract":"The potential of social farming has always been studied from a perspective in which the combination of agricultural production with the provision of welfare services was the predominant feature. Nonetheless, social farming is a tool that can perform other different functions. The article describes the role that social farming plays within a wider strategy for local development in the rural areas of southern Italy strongly affected by the presence of organized crime and consequent widespread underdevelopment. The survey was carried out through semi-structured interviews with the presidents and executives of a sample of twenty social cooperatives and social enterprises, which are involved in farming activities with the aim of promoting local development and the regeneration of the territory. The research findings highlight how social farming can play an important role in deprived rural areas not only by creating income and jobs, but also by counteracting the cultures of illegality that hinder development. This is particularly the case when companies are driven by ideal, values and technical entrepreneurial skills, are embedded in non-local networks and redistribute part of the value produced to the local community. © 2021","container-title":"Journal of Rural Studies","DOI":"10.1016/j.jrurstud.2021.03.009","journalAbbreviation":"Journal of Rural Studies","page":"100-107","title":"Extending the concept of social farming: Rural development and the fight against organized crime in disadvantaged areas of southern Italy","URL":"https://www.scopus.com/inward/record.uri?eid=2-s2.0-85103644837&amp;doi=10.1016%2fj.jrurstud.2021.03.009&amp;partnerID=40&amp;md5=9c46682513c622b3b85761a7fc7f40c1","volume":"84","author":[{"family":"Elsen","given":"S."},{"family":"Fazzi","given":"L."}],"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(67)</w:t>
            </w:r>
            <w:r w:rsidRPr="00A61595">
              <w:rPr>
                <w:rFonts w:ascii="Arial" w:eastAsia="Times New Roman" w:hAnsi="Arial" w:cs="Arial"/>
                <w:sz w:val="14"/>
                <w:szCs w:val="14"/>
              </w:rPr>
              <w:fldChar w:fldCharType="end"/>
            </w:r>
          </w:p>
        </w:tc>
        <w:tc>
          <w:tcPr>
            <w:tcW w:w="192" w:type="pct"/>
            <w:shd w:val="clear" w:color="auto" w:fill="auto"/>
            <w:noWrap/>
            <w:hideMark/>
          </w:tcPr>
          <w:p w14:paraId="7005DE2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448011F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Social farming as a tool for developing marginal agricultural areas characterized by a strong presence of illegality</w:t>
            </w:r>
          </w:p>
        </w:tc>
        <w:tc>
          <w:tcPr>
            <w:tcW w:w="318" w:type="pct"/>
          </w:tcPr>
          <w:p w14:paraId="0CA71D16" w14:textId="56402585"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02139D61" w14:textId="75EC30E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4589312F" w14:textId="011D536F"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c>
          <w:tcPr>
            <w:tcW w:w="229" w:type="pct"/>
          </w:tcPr>
          <w:p w14:paraId="3B30B297" w14:textId="5D16754E"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B3D53BC" w14:textId="419F2314" w:rsidTr="00380533">
        <w:trPr>
          <w:trHeight w:val="285"/>
        </w:trPr>
        <w:tc>
          <w:tcPr>
            <w:tcW w:w="715" w:type="pct"/>
            <w:gridSpan w:val="2"/>
            <w:shd w:val="clear" w:color="auto" w:fill="auto"/>
            <w:noWrap/>
            <w:hideMark/>
          </w:tcPr>
          <w:p w14:paraId="7B220EA3" w14:textId="5732CE42"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Evans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{"citationID":"a2oocsbc1c8","properties":{"formattedCitation":"(68)","plainCitation":"(68)","noteIndex":0},"citationItems":[{"id":17257,"uris":["http://zotero.org/groups/2477744/items/APZQKHML"],"itemData":{"id":17257,"type":"article-journal","abstract":"This research study investigates the impact of corruption on some key activity sectors of the Nigerian economy between 1996 and 2013 using VAR technique. The empirical estimates demonstrate that corruption affects most significantly agriculture, services, wholesale and retail sectors in Nigeria. As well, the study shows that the control of corruption has significant effect in the reduction of corruption. The study recommends that Nigeria can use an amalgamation of ethics hotlines for reporting corruption, open-door policies to embolden subordinates to consult with bosses for guidance, a \"zero-tolerance\" policy for breaches, anticorruption training sessions, and complete transparency in governmental operations to minimalize infractions. Nigeria will require strong political will and vision, credibility, frontal assault, new staff, deregulation, unconventional methods, close coordination, harnessing technology and tailoring international experience to local conditions.","container-title":"Journal of Economic and Financial Studies","issue":"3","journalAbbreviation":"Journal of Economic and Financial Studies","page":"41-48","title":"Corruption Effects on Nigeria: Aggregate and Sectoral Estimates Using VAR","URL":"https://search.ebscohost.com/login.aspx?direct=true&amp;db=ecn&amp;AN=1632667&amp;site=ehost-live","volume":"3","author":[{"family":"Evans","given":"Olaniyi"},{"family":"Alenoghena","given":"Raymond"}],"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(68)</w:t>
            </w:r>
            <w:r w:rsidRPr="00A61595">
              <w:rPr>
                <w:rFonts w:ascii="Arial" w:eastAsia="Times New Roman" w:hAnsi="Arial" w:cs="Arial"/>
                <w:sz w:val="14"/>
                <w:szCs w:val="14"/>
              </w:rPr>
              <w:fldChar w:fldCharType="end"/>
            </w:r>
          </w:p>
        </w:tc>
        <w:tc>
          <w:tcPr>
            <w:tcW w:w="192" w:type="pct"/>
            <w:shd w:val="clear" w:color="auto" w:fill="auto"/>
            <w:noWrap/>
            <w:hideMark/>
          </w:tcPr>
          <w:p w14:paraId="64987EF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265C3A8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Evaluate the degree, </w:t>
            </w:r>
            <w:bookmarkStart w:id="2" w:name="_Int_YQvQVstp"/>
            <w:r w:rsidRPr="00A61595">
              <w:rPr>
                <w:rFonts w:ascii="Arial" w:eastAsia="Times New Roman" w:hAnsi="Arial" w:cs="Arial"/>
                <w:color w:val="000000" w:themeColor="text1"/>
                <w:sz w:val="14"/>
                <w:szCs w:val="14"/>
              </w:rPr>
              <w:t>extensity,</w:t>
            </w:r>
            <w:bookmarkEnd w:id="2"/>
            <w:r w:rsidRPr="00A61595">
              <w:rPr>
                <w:rFonts w:ascii="Arial" w:eastAsia="Times New Roman" w:hAnsi="Arial" w:cs="Arial"/>
                <w:color w:val="000000" w:themeColor="text1"/>
                <w:sz w:val="14"/>
                <w:szCs w:val="14"/>
              </w:rPr>
              <w:t xml:space="preserve"> and gravity of the consequences of corruption on Nigeria</w:t>
            </w:r>
          </w:p>
        </w:tc>
        <w:tc>
          <w:tcPr>
            <w:tcW w:w="318" w:type="pct"/>
          </w:tcPr>
          <w:p w14:paraId="1111913B" w14:textId="1CF27047"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69FD4B8A" w14:textId="1BCA1D9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3547D56F" w14:textId="33DE4D33"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g, </w:t>
            </w:r>
            <w:proofErr w:type="spellStart"/>
            <w:r w:rsidRPr="00A61595">
              <w:rPr>
                <w:rFonts w:ascii="Arial" w:hAnsi="Arial" w:cs="Arial"/>
                <w:color w:val="000000"/>
                <w:sz w:val="14"/>
                <w:szCs w:val="14"/>
              </w:rPr>
              <w:t>i</w:t>
            </w:r>
            <w:proofErr w:type="spellEnd"/>
          </w:p>
        </w:tc>
        <w:tc>
          <w:tcPr>
            <w:tcW w:w="229" w:type="pct"/>
          </w:tcPr>
          <w:p w14:paraId="1FD3D72C" w14:textId="72447677"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34636DE2" w14:textId="4781A45F" w:rsidTr="00380533">
        <w:trPr>
          <w:trHeight w:val="285"/>
        </w:trPr>
        <w:tc>
          <w:tcPr>
            <w:tcW w:w="715" w:type="pct"/>
            <w:gridSpan w:val="2"/>
            <w:shd w:val="clear" w:color="auto" w:fill="auto"/>
            <w:noWrap/>
            <w:hideMark/>
          </w:tcPr>
          <w:p w14:paraId="3AC22A37" w14:textId="1A5964AD"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Fazzi</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{"citationID":"akfajlhvc9","properties":{"formattedCitation":"(69)","plainCitation":"(69)","noteIndex":0},"citationItems":[{"id":17168,"uris":["http://zotero.org/groups/2477744/items/76LNYSW8"],"itemData":{"id":17168,"type":"article-journal","abstract":"Southern Italy suffers from a high poverty rate, unemployment, emigration flows, and a strong presence of organized crime in the field of agriculture. This study seeks to investigate the potential of social enterprises as driving forces for the legal and eco-social development of fragile Southern Italian areas. To work in such challenging contexts requires the development of a high level of resilience, which implies the ability to adapt to difficulties and to overcome crises by coming out stronger than before. The initiatives we detected in Southern Italy are examples for the strength that can come from ideal motivations. In the case of social agriculture initiatives in Southern Italy counteracting organized crime, these motivations are an indispensable condition for their survival and growth. The accumulation of problems and difficulties, however, risks corroding motivations of the actors. This can lead to the withdrawal of members, which can have a serious impact on these small organizations. Thus, idealism is a necessary condition to face the challenges of legal and social environmental development, but it is not sufficient on its own, except in the short term, to allow social enterprises to emerge from extremely precarious conditions. Idealism can support resilience, but by itself, it cannot create a sustainable change. There is, therefore, the need to invest in these social enterprises, in the training of the actors involved, and in the selection and acquisition of the skills for strengthening the efficiency and sustainability of businesses and to foster horizontal structures of mutuality and solidarity to create a supportive environment for these social enterprises and their mission. © 2020 by the authors. Licensee MDPI, Basel, Switzerland.","container-title":"Sustainability (Switzerland)","DOI":"10.3390/su12219257","issue":"21","journalAbbreviation":"Sustainability (Switzerland)","page":"1-11","title":"Actors in social agriculture cooperatives combating organized crime in southern italy: Cultivating the ground","URL":"https://www.scopus.com/inward/record.uri?eid=2-s2.0-85097776396&amp;doi=10.3390%2fsu12219257&amp;partnerID=40&amp;md5=92b7b846f7a3662329c2d322db49b0e1","volume":"12","author":[{"family":"Fazzi","given":"L."},{"family":"Elsen","given":"S."}],"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(69)</w:t>
            </w:r>
            <w:r w:rsidRPr="00A61595">
              <w:rPr>
                <w:rFonts w:ascii="Arial" w:eastAsia="Times New Roman" w:hAnsi="Arial" w:cs="Arial"/>
                <w:sz w:val="14"/>
                <w:szCs w:val="14"/>
              </w:rPr>
              <w:fldChar w:fldCharType="end"/>
            </w:r>
          </w:p>
        </w:tc>
        <w:tc>
          <w:tcPr>
            <w:tcW w:w="192" w:type="pct"/>
            <w:shd w:val="clear" w:color="auto" w:fill="auto"/>
            <w:noWrap/>
            <w:hideMark/>
          </w:tcPr>
          <w:p w14:paraId="45DA4E6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06743D6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Potential of social enterprises as driving forces for legal and eco-social development</w:t>
            </w:r>
          </w:p>
        </w:tc>
        <w:tc>
          <w:tcPr>
            <w:tcW w:w="318" w:type="pct"/>
          </w:tcPr>
          <w:p w14:paraId="538BB524" w14:textId="299DBD5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31B0FDBF" w14:textId="237464DB"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6E034FCA" w14:textId="434DE147"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c>
          <w:tcPr>
            <w:tcW w:w="229" w:type="pct"/>
          </w:tcPr>
          <w:p w14:paraId="1018FC8F" w14:textId="1DC831B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49000039" w14:textId="242819EA" w:rsidTr="00380533">
        <w:trPr>
          <w:trHeight w:val="285"/>
        </w:trPr>
        <w:tc>
          <w:tcPr>
            <w:tcW w:w="715" w:type="pct"/>
            <w:gridSpan w:val="2"/>
            <w:shd w:val="clear" w:color="auto" w:fill="auto"/>
            <w:noWrap/>
            <w:hideMark/>
          </w:tcPr>
          <w:p w14:paraId="657B410E" w14:textId="1F94F270"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Fearnley</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{"citationID":"a2boj9ush3u","properties":{"formattedCitation":"(70)","plainCitation":"(70)","noteIndex":0},"citationItems":[{"id":18704,"uris":["http://zotero.org/groups/2477744/items/6RN69C8K"],"itemData":{"id":18704,"type":"article-journal","abstract":"Food safety dominates public discourse about health, life, and the body in China today. But incidents of ‘fake food’—including fake eggs and milk powder—raise new questions about how bodily threats are detected and evaluated, and have undermined trust not only in food, but also in official food regulations and tests. In response, new alternative food movements (including organic farms) are seeking to rebuild trust that food is real, not fake—but refuse to rely on official regulations. Drawing on theoretical literature on counterfeit goods and market devices, this paper examines how alternative food producers in Beijing, China qualify their food as authentic in a context where food fraud is expected. Whereas scholars have previously highlighted the role of interpersonal trust in alternative food markets, I argue that alternative farmers rely more on ‘popular certification’ devices—such as farm visits and taste tests—to materially certify the qualities of their food products. These tests differ from official certification because—rooted in sensory experience rather than instrumental tests—they are knowledge-making devices that are accessible to consumers. Linking agrarian change with the problems of knowledge explored by STS scholars, fake food points toward a renewed political economy of qualities. © 2021, Springer Nature Limited.","container-title":"BioSocieties","DOI":"10.1057/s41292-020-00211-7","journalAbbreviation":"BioSocieties","title":"Fake eggs: from counter-qualification to popular certification in China’s food safety crisis","URL":"https://www.scopus.com/inward/record.uri?eid=2-s2.0-85099372593&amp;doi=10.1057%2fs41292-020-00211-7&amp;partnerID=40&amp;md5=41f4bc6d86238ced6fc518e042f11bbe","author":[{"family":"Fearnley","given":"L."}],"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(70)</w:t>
            </w:r>
            <w:r w:rsidRPr="00A61595">
              <w:rPr>
                <w:rFonts w:ascii="Arial" w:eastAsia="Times New Roman" w:hAnsi="Arial" w:cs="Arial"/>
                <w:sz w:val="14"/>
                <w:szCs w:val="14"/>
              </w:rPr>
              <w:fldChar w:fldCharType="end"/>
            </w:r>
          </w:p>
        </w:tc>
        <w:tc>
          <w:tcPr>
            <w:tcW w:w="192" w:type="pct"/>
            <w:shd w:val="clear" w:color="auto" w:fill="auto"/>
            <w:noWrap/>
            <w:hideMark/>
          </w:tcPr>
          <w:p w14:paraId="447B9AA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7042AD5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Perceptions of food safety, production, and authentication following food fraud scandals</w:t>
            </w:r>
          </w:p>
        </w:tc>
        <w:tc>
          <w:tcPr>
            <w:tcW w:w="318" w:type="pct"/>
          </w:tcPr>
          <w:p w14:paraId="3176F715" w14:textId="1B890FB0"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3BF1A8A3" w14:textId="742B98D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0DF3E0C" w14:textId="4793825E"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w:t>
            </w:r>
            <w:proofErr w:type="spellStart"/>
            <w:r w:rsidRPr="00A61595">
              <w:rPr>
                <w:rFonts w:ascii="Arial" w:hAnsi="Arial" w:cs="Arial"/>
                <w:color w:val="000000"/>
                <w:sz w:val="14"/>
                <w:szCs w:val="14"/>
              </w:rPr>
              <w:t>i</w:t>
            </w:r>
            <w:proofErr w:type="spellEnd"/>
          </w:p>
        </w:tc>
        <w:tc>
          <w:tcPr>
            <w:tcW w:w="229" w:type="pct"/>
          </w:tcPr>
          <w:p w14:paraId="4F5C1B1D" w14:textId="00FD1935" w:rsidR="000B21B4" w:rsidRPr="00A61595" w:rsidRDefault="000B21B4" w:rsidP="00380533">
            <w:pPr>
              <w:rPr>
                <w:rFonts w:ascii="Arial" w:hAnsi="Arial" w:cs="Arial"/>
                <w:sz w:val="14"/>
                <w:szCs w:val="14"/>
              </w:rPr>
            </w:pPr>
            <w:r w:rsidRPr="00A61595">
              <w:rPr>
                <w:rFonts w:ascii="Arial" w:hAnsi="Arial" w:cs="Arial"/>
                <w:color w:val="000000"/>
                <w:sz w:val="14"/>
                <w:szCs w:val="14"/>
              </w:rPr>
              <w:t>e, h</w:t>
            </w:r>
          </w:p>
        </w:tc>
      </w:tr>
      <w:tr w:rsidR="000B21B4" w:rsidRPr="00A61595" w14:paraId="201D54CE" w14:textId="08BCBD8E" w:rsidTr="00380533">
        <w:trPr>
          <w:trHeight w:val="285"/>
        </w:trPr>
        <w:tc>
          <w:tcPr>
            <w:tcW w:w="715" w:type="pct"/>
            <w:gridSpan w:val="2"/>
            <w:shd w:val="clear" w:color="auto" w:fill="auto"/>
            <w:noWrap/>
            <w:hideMark/>
          </w:tcPr>
          <w:p w14:paraId="20157808" w14:textId="7C2972B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Fikselová</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{"citationID":"a2lul8n7dt1","properties":{"formattedCitation":"(71)","plainCitation":"(71)","noteIndex":0},"citationItems":[{"id":18705,"uris":["http://zotero.org/groups/2477744/items/JCMKZ6MS"],"itemData":{"id":18705,"type":"article-journal","abstract":"Food fraud is one of the long-standing causes of scandals attracting particular attention for a long time. This study aimed to monitor food fraud in the European Union and to identify the relationships among the countries where the cases were reported, adulterated commodities (seafood, eggs, milk, meat, fish, and their products) and types of fraud. The secondary data were covered by the survey focused on consumer knowledge about fraudulent activities, ingredient substitution, masking of origin, mislabeling, placing on the market of foods not fit for human consumption within Slovak inhabitants. Primary and secondary data were used to achieve this aim. Primary data were obtained from the Food Fraud and Quality Knowledge Center (KCFFQ) and secondary data from the questionnaire survey from 354 respondents. During the period from 2017 to 2019, 163 cases of food fraud were reported, most of which originated from Italy and mainly concerned fish and fish products. Based on primary data and one-way ANOVA statistical tests, we confirmed five hypotheses. There was found no statistical impact of the country on the type of food fraud (p = 0.0067), but the significant effect was determined on which food was adulterated (p = 0.000001). There was no statistical correlation among years and countries where the cases were reported (p = 0.110), but the statistically significant correlation was confirmed among years and commodities (p = 0.0043) and types of fraud reported (p = 0.009). Based on the processed secondary data from the questionnaire, we can conclude some information or public interest in food fraud problems. © 2020 Potravinarstvo Slovak Journal of Food Sciences, Licence.","container-title":"Potravinarstvo Slovak Journal of Food Sciences","DOI":"10.5219/1345","journalAbbreviation":"Potravinarstvo Slovak Journal of Food Sciences","page":"417-428","title":"Food adulteration and safety regarding detected market cases and consumer opinions","URL":"https://www.scopus.com/inward/record.uri?eid=2-s2.0-85090277875&amp;doi=10.5219%2f1345&amp;partnerID=40&amp;md5=7c4e2c9c9dc9605679bfa66b0de8cdd4","volume":"14","author":[{"family":"Fikselová","given":"M."},{"family":"Benešová","given":"L."},{"family":"Zajác","given":"P."},{"family":"Golian","given":"J."},{"family":"Čapla","given":"J."}],"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(71)</w:t>
            </w:r>
            <w:r w:rsidRPr="00A61595">
              <w:rPr>
                <w:rFonts w:ascii="Arial" w:eastAsia="Times New Roman" w:hAnsi="Arial" w:cs="Arial"/>
                <w:sz w:val="14"/>
                <w:szCs w:val="14"/>
              </w:rPr>
              <w:fldChar w:fldCharType="end"/>
            </w:r>
          </w:p>
        </w:tc>
        <w:tc>
          <w:tcPr>
            <w:tcW w:w="192" w:type="pct"/>
            <w:shd w:val="clear" w:color="auto" w:fill="auto"/>
            <w:noWrap/>
            <w:hideMark/>
          </w:tcPr>
          <w:p w14:paraId="72AA7EE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760B072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Food fraud in the EU and the inter-country relationships </w:t>
            </w:r>
          </w:p>
        </w:tc>
        <w:tc>
          <w:tcPr>
            <w:tcW w:w="318" w:type="pct"/>
          </w:tcPr>
          <w:p w14:paraId="4BC0A603" w14:textId="3411719C"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38AD93A0" w14:textId="1C403E4C"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6052AB4" w14:textId="67A2AE2B"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j, </w:t>
            </w:r>
            <w:proofErr w:type="spellStart"/>
            <w:r w:rsidRPr="00A61595">
              <w:rPr>
                <w:rFonts w:ascii="Arial" w:hAnsi="Arial" w:cs="Arial"/>
                <w:color w:val="000000"/>
                <w:sz w:val="14"/>
                <w:szCs w:val="14"/>
              </w:rPr>
              <w:t>i</w:t>
            </w:r>
            <w:proofErr w:type="spellEnd"/>
          </w:p>
        </w:tc>
        <w:tc>
          <w:tcPr>
            <w:tcW w:w="229" w:type="pct"/>
          </w:tcPr>
          <w:p w14:paraId="3F442377" w14:textId="6700892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998044C" w14:textId="1A9B7039" w:rsidTr="00380533">
        <w:trPr>
          <w:trHeight w:val="285"/>
        </w:trPr>
        <w:tc>
          <w:tcPr>
            <w:tcW w:w="715" w:type="pct"/>
            <w:gridSpan w:val="2"/>
            <w:shd w:val="clear" w:color="auto" w:fill="auto"/>
            <w:noWrap/>
            <w:hideMark/>
          </w:tcPr>
          <w:p w14:paraId="204B382E" w14:textId="3C089B2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Fraser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{"citationID":"anmfg7m5o6","properties":{"formattedCitation":"(72)","plainCitation":"(72)","noteIndex":0},"citationItems":[{"id":17169,"uris":["http://zotero.org/groups/2477744/items/KT5QGPWN"],"itemData":{"id":17169,"type":"article-journal","abstract":"Concerns regarding the prevalence of noncommunicable diseases (NCDs) have led some critical public health scholars to propose analyses of the “double burden of neoliberalism.” In turn, analysts shine a light on corporate power and how it is mobilized to create a food system that works, in the first place, for capital. This paper builds on these contributions to argue that getting to grips with corporate power in the food and drinks industry requires looking beyond its instrumentality or short-range functionality and developing an understanding of its mode of operation and longer-range objectives. I specifically propose focusing on the way corporations push for and territorialize “selective openness.” The ongoing iterative task facing firms is constructing geographical arrangements that suit their respective but sometimes collective requirements to establish as much control as possible over the conduits connecting capitalists in any particular place to the wider, chaotic, throwntogether, and contingency-laden world. My empirical reference point is the practice of corporate power in Ireland as it was expressed in corporate lobbying activities and during parliamentary hearings on childhood “obesity and political debates about the country’s sugar tax. © The Author(s) 2020.","container-title":"Human Geography(United Kingdom)","DOI":"10.1177/1942778620978212","issue":"1","journalAbbreviation":"Human Geography(United Kingdom)","page":"110-122","title":"Ghosts in the vending machine: Expressing corporate power in Ireland’s food and drinks industry via the territorialization of selective openness","URL":"https://www.scopus.com/inward/record.uri?eid=2-s2.0-85106404075&amp;doi=10.1177%2f1942778620978212&amp;partnerID=40&amp;md5=7169514a888d1ccce8f7f2dad360a196","volume":"14","author":[{"family":"Fraser","given":"A."}],"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(72)</w:t>
            </w:r>
            <w:r w:rsidRPr="00A61595">
              <w:rPr>
                <w:rFonts w:ascii="Arial" w:eastAsia="Times New Roman" w:hAnsi="Arial" w:cs="Arial"/>
                <w:sz w:val="14"/>
                <w:szCs w:val="14"/>
              </w:rPr>
              <w:fldChar w:fldCharType="end"/>
            </w:r>
          </w:p>
        </w:tc>
        <w:tc>
          <w:tcPr>
            <w:tcW w:w="192" w:type="pct"/>
            <w:shd w:val="clear" w:color="auto" w:fill="auto"/>
            <w:noWrap/>
            <w:hideMark/>
          </w:tcPr>
          <w:p w14:paraId="00B7124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17C0C6D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Analysis of corporate power in Ireland’s food and drinks industry</w:t>
            </w:r>
          </w:p>
        </w:tc>
        <w:tc>
          <w:tcPr>
            <w:tcW w:w="318" w:type="pct"/>
          </w:tcPr>
          <w:p w14:paraId="582CEB42" w14:textId="73B6DCAD"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4E4A37CA" w14:textId="493CC92A"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04B210B" w14:textId="3BFE34E3"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2D3F629D" w14:textId="223FC022"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137B6AA" w14:textId="02BA9FC3" w:rsidTr="00380533">
        <w:trPr>
          <w:trHeight w:val="285"/>
        </w:trPr>
        <w:tc>
          <w:tcPr>
            <w:tcW w:w="715" w:type="pct"/>
            <w:gridSpan w:val="2"/>
            <w:shd w:val="clear" w:color="auto" w:fill="auto"/>
            <w:noWrap/>
            <w:hideMark/>
          </w:tcPr>
          <w:p w14:paraId="37E9BAED" w14:textId="0548A4A5"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Friggeri</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{"citationID":"a2pr3fqsj5m","properties":{"formattedCitation":"(73)","plainCitation":"(73)","noteIndex":0},"citationItems":[{"id":18707,"uris":["http://zotero.org/groups/2477744/items/UR2DSL5T"],"itemData":{"id":18707,"type":"article-journal","abstract":"The mafia capitalism currently taking shape in Latin America and with remarkable eloquence in Paraguay is centered largely around agriculture. Two of its key characteristics are violence and cynicism. The cynicism refers to the presentation of violence toward the popular majority as “natural,” disregarding ethical criticism and upholding capitalism as the only possible course, with the result that anything opposed to it must be eliminated in the most effective manner, including violence. This mafia capitalism is solidified by intertwined legal and illegal measures. El capitalismo mafioso que está tomando forma a lo largo de América Latina y con notable elocuencia en Paraguay se centra en gran medida en la agricultura. Dos de sus características clave son la violencia y el cinismo. El cinismo se refiere a la caracterización de la violencia dirigida hacia la mayor parte de la población como algo “natural”, asunto que no toma en cuenta las críticas éticas y defiende el capitalismo como el único camino posible, con el resultado de que todo lo que se opone a este debe ser eliminado de la manera más efectiva, incluyendo a partir de la violencia. Este capitalismo mafioso se solidifica con medidas legales e ilegales entrelazadas. © 2020 Latin American Perspectives.","container-title":"Latin American Perspectives","DOI":"10.1177/0094582X20975002","issue":"1","journalAbbreviation":"Latin American Perspectives","page":"126-144","title":"Primitive Accumulation, Mafia Capitalism, and the Campesino Population in Paraguay","URL":"https://www.scopus.com/inward/record.uri?eid=2-s2.0-85096955961&amp;doi=10.1177%2f0094582X20975002&amp;partnerID=40&amp;md5=38c9e74b2a1f2efd413ee9f8b72b2511","volume":"48","author":[{"family":"Friggeri","given":"F.P."}],"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(73)</w:t>
            </w:r>
            <w:r w:rsidRPr="00A61595">
              <w:rPr>
                <w:rFonts w:ascii="Arial" w:eastAsia="Times New Roman" w:hAnsi="Arial" w:cs="Arial"/>
                <w:sz w:val="14"/>
                <w:szCs w:val="14"/>
              </w:rPr>
              <w:fldChar w:fldCharType="end"/>
            </w:r>
          </w:p>
        </w:tc>
        <w:tc>
          <w:tcPr>
            <w:tcW w:w="192" w:type="pct"/>
            <w:shd w:val="clear" w:color="auto" w:fill="auto"/>
            <w:noWrap/>
            <w:hideMark/>
          </w:tcPr>
          <w:p w14:paraId="1CB4FA0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503AF78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Analysis of mafia capitalist accumulation from the vantage point of agriculture </w:t>
            </w:r>
          </w:p>
        </w:tc>
        <w:tc>
          <w:tcPr>
            <w:tcW w:w="318" w:type="pct"/>
          </w:tcPr>
          <w:p w14:paraId="4C8FB349" w14:textId="398999D1"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3FDDE13F" w14:textId="6EDEC748"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3E1703AE" w14:textId="7390059F"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g, h, </w:t>
            </w:r>
            <w:proofErr w:type="spellStart"/>
            <w:r w:rsidRPr="00A61595">
              <w:rPr>
                <w:rFonts w:ascii="Arial" w:hAnsi="Arial" w:cs="Arial"/>
                <w:color w:val="000000"/>
                <w:sz w:val="14"/>
                <w:szCs w:val="14"/>
              </w:rPr>
              <w:t>i</w:t>
            </w:r>
            <w:proofErr w:type="spellEnd"/>
          </w:p>
        </w:tc>
        <w:tc>
          <w:tcPr>
            <w:tcW w:w="229" w:type="pct"/>
          </w:tcPr>
          <w:p w14:paraId="13F5033B" w14:textId="77349753"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61CAA257" w14:textId="379E4104" w:rsidTr="00380533">
        <w:trPr>
          <w:trHeight w:val="285"/>
        </w:trPr>
        <w:tc>
          <w:tcPr>
            <w:tcW w:w="715" w:type="pct"/>
            <w:gridSpan w:val="2"/>
            <w:shd w:val="clear" w:color="auto" w:fill="auto"/>
            <w:noWrap/>
            <w:hideMark/>
          </w:tcPr>
          <w:p w14:paraId="51675473" w14:textId="1FA5F469"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Gafițianu</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{"citationID":"a1lshrdk5u0","properties":{"formattedCitation":"(74)","plainCitation":"(74)","noteIndex":0},"citationItems":[{"id":17170,"uris":["http://zotero.org/groups/2477744/items/CG5ZRLCF"],"itemData":{"id":17170,"type":"article-journal","abstract":"The aim of the paper is to analyse the importance of online media when buying food and the consumers’ awareness of its involvement in food integrity. Recognizing the importance of online media in daily life, the paper explores the possibility to get consumers more involved, through social media, in food integrity activities. Thus, the goal of the study was to identify the causal relationship between the involvement of food business operators (FBOs), authorities, and consumers, the three main actors in the food chain. It was found that consumers consider themselves responsible, along with authorities and FBOs, for monitoring food integrity, and that they are interested in periodically receiving information on food integrity through online media. Based on confirmatory factor analysis (CFA) and structural equation model (SEM), the results showed a link between involving consumers, FBOs, authorities and the influence of online media, in monitoring food integrity, therefore online media could be capitalized together with conventional practices, in a complementary manner. Authorities and FBOs should provide online media with tools through which consumers could lodge complaints, if necessary, find out information about food chain supervision, and get access to educational and informative materials regarding food integrity. The paper promotes the idea of transforming informed consumers into informal auditors for the food products. © 2020, Galati University Press. All rights reserved.","container-title":"Annals of the University Dunarea de Jos of Galati, Fascicle VI: Food Technology","DOI":"10.35219/FOODTECHNOLOGY.2020.2.09","issue":"2","journalAbbreviation":"Annals of the University Dunarea de Jos of Galati, Fascicle VI: Food Technology","page":"137-158","title":"A consumer’s perspective on the active role of online media endorsement of food integrity by connecting the actors involved","URL":"https://www.scopus.com/inward/record.uri?eid=2-s2.0-85102726086&amp;doi=10.35219%2fFOODTECHNOLOGY.2020.2.09&amp;partnerID=40&amp;md5=3e1c566f33c7b228fda7b28c340ca24b","volume":"44","author":[{"family":"Gafițianu","given":"D."},{"family":"Borda","given":"D."},{"family":"Dumitrascu","given":"L."},{"family":"Adam","given":"R."},{"family":"Nicolau","given":"A.I."}],"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(74)</w:t>
            </w:r>
            <w:r w:rsidRPr="00A61595">
              <w:rPr>
                <w:rFonts w:ascii="Arial" w:eastAsia="Times New Roman" w:hAnsi="Arial" w:cs="Arial"/>
                <w:sz w:val="14"/>
                <w:szCs w:val="14"/>
              </w:rPr>
              <w:fldChar w:fldCharType="end"/>
            </w:r>
          </w:p>
        </w:tc>
        <w:tc>
          <w:tcPr>
            <w:tcW w:w="192" w:type="pct"/>
            <w:shd w:val="clear" w:color="auto" w:fill="auto"/>
            <w:noWrap/>
            <w:hideMark/>
          </w:tcPr>
          <w:p w14:paraId="041F9E9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09CEE8EE"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Consumers’ awareness concerning food integrity</w:t>
            </w:r>
          </w:p>
        </w:tc>
        <w:tc>
          <w:tcPr>
            <w:tcW w:w="318" w:type="pct"/>
          </w:tcPr>
          <w:p w14:paraId="4D3105A7" w14:textId="6C9C3266"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06" w:type="pct"/>
          </w:tcPr>
          <w:p w14:paraId="6CB2B148" w14:textId="3F466B9D"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E47FA4A" w14:textId="0B9B49EB"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j, </w:t>
            </w:r>
            <w:proofErr w:type="spellStart"/>
            <w:r w:rsidRPr="00A61595">
              <w:rPr>
                <w:rFonts w:ascii="Arial" w:hAnsi="Arial" w:cs="Arial"/>
                <w:color w:val="000000"/>
                <w:sz w:val="14"/>
                <w:szCs w:val="14"/>
              </w:rPr>
              <w:t>i</w:t>
            </w:r>
            <w:proofErr w:type="spellEnd"/>
          </w:p>
        </w:tc>
        <w:tc>
          <w:tcPr>
            <w:tcW w:w="229" w:type="pct"/>
          </w:tcPr>
          <w:p w14:paraId="4A59A859" w14:textId="5F6F74B7"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DC748C2" w14:textId="51DD8119" w:rsidTr="00380533">
        <w:trPr>
          <w:trHeight w:val="285"/>
        </w:trPr>
        <w:tc>
          <w:tcPr>
            <w:tcW w:w="715" w:type="pct"/>
            <w:gridSpan w:val="2"/>
            <w:shd w:val="clear" w:color="auto" w:fill="auto"/>
            <w:noWrap/>
            <w:hideMark/>
          </w:tcPr>
          <w:p w14:paraId="35C2C011" w14:textId="507CC747"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Galinato</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{"citationID":"a14j8jt365m","properties":{"formattedCitation":"(75)","plainCitation":"(75)","noteIndex":0},"citationItems":[{"id":18572,"uris":["http://zotero.org/groups/2477744/items/C3YY8L3R"],"itemData":{"id":18572,"type":"article-journal","abstract":"This article examines how governance, particularly corruption control and political stability, affects deforestation due to agricultural land expansion. We estimate the short-run and long-run effects of corruption control and political stability on deforestation in South American and Asian countries using data from 1990 to 2003 where converting forest land into agricultural land is a significant problem. Political stability has a positive and significant effect on forest cover in the short run but an insignificant effect in the long run. In contrast, corruption control has a negative and significant effect on forest cover in the short run and the long run with a larger magnitude in the former. One possible explanation is that corruption control induces more technological productivity and, if technology and land use are complements, increases in technological development lead to agricultural land expansion. (C) 2013 Elsevier B.V. All rights reserved.","container-title":"ECOLOGICAL ECONOMICS","DOI":"10.1016/j.ecolecon.2013.02.014","journalAbbreviation":"ECOLOGICAL ECONOMICS","page":"153-161","title":"The short-run and long-run effects of corruption control and political stability on forest cover","volume":"89","author":[{"family":"Galinato","given":"Gregmar I"},{"family":"Galinato","given":"Suzette P"}],"issued":{"date-parts":[["2013"]]}}}],"schema":"https://github.com/citation-style-language/schema/raw/master/csl-citation.json"}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(75)</w:t>
            </w:r>
            <w:r w:rsidRPr="00A61595">
              <w:rPr>
                <w:rFonts w:ascii="Arial" w:eastAsia="Times New Roman" w:hAnsi="Arial" w:cs="Arial"/>
                <w:sz w:val="14"/>
                <w:szCs w:val="14"/>
              </w:rPr>
              <w:fldChar w:fldCharType="end"/>
            </w:r>
            <w:r w:rsidRPr="00A61595">
              <w:rPr>
                <w:rFonts w:ascii="Arial" w:eastAsia="Times New Roman" w:hAnsi="Arial" w:cs="Arial"/>
                <w:sz w:val="14"/>
                <w:szCs w:val="14"/>
              </w:rPr>
              <w:t xml:space="preserve"> </w:t>
            </w:r>
          </w:p>
        </w:tc>
        <w:tc>
          <w:tcPr>
            <w:tcW w:w="192" w:type="pct"/>
            <w:shd w:val="clear" w:color="auto" w:fill="auto"/>
            <w:noWrap/>
            <w:hideMark/>
          </w:tcPr>
          <w:p w14:paraId="0B4F2B9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2013</w:t>
            </w:r>
          </w:p>
        </w:tc>
        <w:tc>
          <w:tcPr>
            <w:tcW w:w="2869" w:type="pct"/>
            <w:gridSpan w:val="4"/>
            <w:shd w:val="clear" w:color="auto" w:fill="auto"/>
            <w:noWrap/>
            <w:hideMark/>
          </w:tcPr>
          <w:p w14:paraId="7760F5E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Effect of corruption control and political stability on forest cover through agricultural expansion and road building</w:t>
            </w:r>
          </w:p>
        </w:tc>
        <w:tc>
          <w:tcPr>
            <w:tcW w:w="318" w:type="pct"/>
          </w:tcPr>
          <w:p w14:paraId="39AE7626" w14:textId="50970E7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74F75004" w14:textId="4E133935"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4EC59CD8" w14:textId="52868CC1"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c>
          <w:tcPr>
            <w:tcW w:w="229" w:type="pct"/>
          </w:tcPr>
          <w:p w14:paraId="0E1ED9D2" w14:textId="0ED2B48A" w:rsidR="000B21B4" w:rsidRPr="00A61595" w:rsidRDefault="000B21B4" w:rsidP="00380533">
            <w:pPr>
              <w:rPr>
                <w:rFonts w:ascii="Arial" w:hAnsi="Arial" w:cs="Arial"/>
                <w:sz w:val="14"/>
                <w:szCs w:val="14"/>
              </w:rPr>
            </w:pPr>
            <w:r w:rsidRPr="00A61595">
              <w:rPr>
                <w:rFonts w:ascii="Arial" w:hAnsi="Arial" w:cs="Arial"/>
                <w:color w:val="000000"/>
                <w:sz w:val="14"/>
                <w:szCs w:val="14"/>
              </w:rPr>
              <w:t>c, h</w:t>
            </w:r>
          </w:p>
        </w:tc>
      </w:tr>
      <w:tr w:rsidR="000B21B4" w:rsidRPr="00A61595" w14:paraId="602A9441" w14:textId="4464BF3D" w:rsidTr="00380533">
        <w:trPr>
          <w:trHeight w:val="285"/>
        </w:trPr>
        <w:tc>
          <w:tcPr>
            <w:tcW w:w="715" w:type="pct"/>
            <w:gridSpan w:val="2"/>
            <w:shd w:val="clear" w:color="auto" w:fill="auto"/>
            <w:noWrap/>
            <w:hideMark/>
          </w:tcPr>
          <w:p w14:paraId="413F1537" w14:textId="7761FDE2"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Gharib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{"citationID":"a12240oktr1","properties":{"formattedCitation":"(76)","plainCitation":"(76)","noteIndex":0},"citationItems":[{"id":17172,"uris":["http://zotero.org/groups/2477744/items/V57F2MDR"],"itemData":{"id":17172,"type":"article-journal","abstract":"Concerns about poor seed quality and outright fraud in seed supply chains can reduce farmers’ willingness to invest in hybrid seeds and in complementary inputs that increase crop yields and improve food security. In Kenya, seed companies have started marketing their seed using novel packaging features to signal product quality and authenticity. We use experimental auctions with smallholder farmers in Kenya's Nyanza Province to assess (1) farmer willingness to pay (WTP) for hybrid seed from different sources with different packaging features and (2) how WTP is affected by training on best practices for purchasing seed. We elicited demand for two popular types of hybrid maize seed and a familiar local (non-hybrid) seed. For each hybrid, we examined WTP for one bag purchased directly from the seed company and three bags purchased from local retailers, two of which had compromised packaging. Across both the control and training groups, participants were willing to pay a 15% premium, on average, for bags purchased directly from the seed company compared to mint condition bags purchased from local retailers. Without the training on purchasing seed, farmers did not discount compromised bags; however, farmers who received the training, were willing to pay 15% less for compromised bags. Education and outreach may be required for packaging innovations to increase investments in high-quality hybrid seed that can help enhance the productivity of smallholder farmers. © 2021 Elsevier Ltd","container-title":"Food Policy","DOI":"10.1016/j.foodpol.2021.102040","journalAbbreviation":"Food Policy","title":"Fear of fraud and willingness to pay for hybrid maize seed in Kenya","URL":"https://www.scopus.com/inward/record.uri?eid=2-s2.0-85103925385&amp;doi=10.1016%2fj.foodpol.2021.102040&amp;partnerID=40&amp;md5=197f792c2748996a04bc9fe6461027e2","volume":"102","author":[{"family":"Gharib","given":"M.H."},{"family":"Palm-Forster","given":"L.H."},{"family":"Lybbert","given":"T.J."},{"family":"Messer","given":"K.D."}],"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(76)</w:t>
            </w:r>
            <w:r w:rsidRPr="00A61595">
              <w:rPr>
                <w:rFonts w:ascii="Arial" w:eastAsia="Times New Roman" w:hAnsi="Arial" w:cs="Arial"/>
                <w:sz w:val="14"/>
                <w:szCs w:val="14"/>
              </w:rPr>
              <w:fldChar w:fldCharType="end"/>
            </w:r>
            <w:r w:rsidRPr="00A61595">
              <w:rPr>
                <w:rFonts w:ascii="Arial" w:eastAsia="Times New Roman" w:hAnsi="Arial" w:cs="Arial"/>
                <w:sz w:val="14"/>
                <w:szCs w:val="14"/>
              </w:rPr>
              <w:t xml:space="preserve"> </w:t>
            </w:r>
          </w:p>
        </w:tc>
        <w:tc>
          <w:tcPr>
            <w:tcW w:w="192" w:type="pct"/>
            <w:shd w:val="clear" w:color="auto" w:fill="auto"/>
            <w:noWrap/>
            <w:hideMark/>
          </w:tcPr>
          <w:p w14:paraId="2C1DB78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169EAB9E"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Effect of tampering and mishandling on farmers’ willingness to pay for hybrid seed in bags</w:t>
            </w:r>
          </w:p>
        </w:tc>
        <w:tc>
          <w:tcPr>
            <w:tcW w:w="318" w:type="pct"/>
          </w:tcPr>
          <w:p w14:paraId="68096E56" w14:textId="11D93F88"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4CDAB7A7" w14:textId="5667072B"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DC45669" w14:textId="498AD064" w:rsidR="000B21B4" w:rsidRPr="00A61595" w:rsidRDefault="000B21B4" w:rsidP="00380533">
            <w:pPr>
              <w:rPr>
                <w:rFonts w:ascii="Arial" w:hAnsi="Arial" w:cs="Arial"/>
                <w:sz w:val="14"/>
                <w:szCs w:val="14"/>
              </w:rPr>
            </w:pPr>
            <w:r w:rsidRPr="00A61595">
              <w:rPr>
                <w:rFonts w:ascii="Arial" w:hAnsi="Arial" w:cs="Arial"/>
                <w:color w:val="000000"/>
                <w:sz w:val="14"/>
                <w:szCs w:val="14"/>
              </w:rPr>
              <w:t>a, j</w:t>
            </w:r>
          </w:p>
        </w:tc>
        <w:tc>
          <w:tcPr>
            <w:tcW w:w="229" w:type="pct"/>
          </w:tcPr>
          <w:p w14:paraId="7033E4B1" w14:textId="6D696903" w:rsidR="000B21B4" w:rsidRPr="00A61595" w:rsidRDefault="000B21B4" w:rsidP="00380533">
            <w:pPr>
              <w:rPr>
                <w:rFonts w:ascii="Arial" w:hAnsi="Arial" w:cs="Arial"/>
                <w:sz w:val="14"/>
                <w:szCs w:val="14"/>
              </w:rPr>
            </w:pPr>
            <w:r w:rsidRPr="00A61595">
              <w:rPr>
                <w:rFonts w:ascii="Arial" w:hAnsi="Arial" w:cs="Arial"/>
                <w:color w:val="000000"/>
                <w:sz w:val="14"/>
                <w:szCs w:val="14"/>
              </w:rPr>
              <w:t>c, e</w:t>
            </w:r>
          </w:p>
        </w:tc>
      </w:tr>
      <w:tr w:rsidR="000B21B4" w:rsidRPr="00A61595" w14:paraId="5183EDEE" w14:textId="7FEE8C60" w:rsidTr="00380533">
        <w:trPr>
          <w:trHeight w:val="285"/>
        </w:trPr>
        <w:tc>
          <w:tcPr>
            <w:tcW w:w="715" w:type="pct"/>
            <w:gridSpan w:val="2"/>
            <w:shd w:val="clear" w:color="auto" w:fill="auto"/>
            <w:noWrap/>
            <w:hideMark/>
          </w:tcPr>
          <w:p w14:paraId="5C8662DE" w14:textId="0C25E2C0" w:rsidR="000B21B4" w:rsidRPr="00A61595" w:rsidRDefault="000B21B4" w:rsidP="00380533">
            <w:pPr>
              <w:spacing w:after="0" w:line="360" w:lineRule="auto"/>
              <w:rPr>
                <w:rFonts w:ascii="Arial" w:eastAsia="Times New Roman" w:hAnsi="Arial" w:cs="Arial"/>
                <w:sz w:val="14"/>
                <w:szCs w:val="14"/>
              </w:rPr>
            </w:pPr>
            <w:proofErr w:type="spellStart"/>
            <w:r w:rsidRPr="00A61595">
              <w:rPr>
                <w:rFonts w:ascii="Arial" w:eastAsia="Times New Roman" w:hAnsi="Arial" w:cs="Arial"/>
                <w:sz w:val="14"/>
                <w:szCs w:val="14"/>
              </w:rPr>
              <w:t>Gluszek</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{"citationID":"a1kr3hcijbp","properties":{"formattedCitation":"(77)","plainCitation":"(77)","noteIndex":0},"citationItems":[{"id":13099,"uris":["http://zotero.org/groups/2477744/items/KSYW7GTX"],"itemData":{"id":13099,"type":"article-journal","abstract":"At unsustainable rates and in illegal contexts, the wild meat trade is a driver of species extinction; it can also threaten ecosystem services, local food security and contribute to the risk of zoonotic disease spread. The restaurant and catering sectors are understudied groups in conservation, both with regards to the legal and illegal wild meat trade and particularly in urban areas. Restaurateurs are key actors between wild meat consumers and suppliers and thus play a central role in the supply chain. This study applied a crime science hot product approach to characterize: (a) restaurateur perceptions of urban wild meat consumption; (b) wildlife species most at risk in the urban wild meat trade; and (c) the differences between restaurants in Kinshasa (Democratic Republic of the Congo) and Brazzaville (Republic of the Congo). Through focus groups in both cities, participants affirmed that in urban centers wild meat is considered a luxury item and sign of wealth. Monkeys were seen as a hot product in both cities, but we found a greater variety of hot wild meat products in Brazzaville. When looking at the differences between the restaurant tier levels, middle-tiered restaurants identified pangolin and antelopes as being hot products, rather than monkeys as with upper and lower-tiered restaurants. By applying a hot product analysis, we identified the wild meat groups most likely to be targeted by the urban wild meat trade. Findings herein offer novel opportunities to better tailor and prioritize conservation interventions against illegal trade using design against crime or other crime prevention strategies.","container-title":"Conservation Science and Practice","DOI":"10.1111/csp2.368","ISSN":"2578-4854","issue":"5","language":"en","note":"_eprint: https://onlinelibrary.wiley.com/doi/pdf/10.1111/csp2.368","page":"e368","source":"Wiley Online Library","title":"Using conservation criminology to understand the role of restaurants in the urban wild meat trade","URL":"https://onlinelibrary.wiley.com/doi/abs/10.1111/csp2.368","volume":"3","author":[{"family":"Gluszek","given":"Sarah"},{"family":"Viollaz","given":"Julie"},{"family":"Mwinyihali","given":"Robert"},{"family":"Wieland","given":"Michelle"},{"family":"Gore","given":"Meredith L."}],"accessed":{"date-parts":[["2021",10,19]]},"issued":{"date-parts":[["2021"]]}}}],"schema":"https://github.com/citation-style-language/schema/raw/master/csl-citation.json"}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(77)</w:t>
            </w:r>
            <w:r w:rsidRPr="00A61595">
              <w:rPr>
                <w:rFonts w:ascii="Arial" w:eastAsia="Times New Roman" w:hAnsi="Arial" w:cs="Arial"/>
                <w:sz w:val="14"/>
                <w:szCs w:val="14"/>
              </w:rPr>
              <w:fldChar w:fldCharType="end"/>
            </w:r>
          </w:p>
        </w:tc>
        <w:tc>
          <w:tcPr>
            <w:tcW w:w="192" w:type="pct"/>
            <w:shd w:val="clear" w:color="auto" w:fill="auto"/>
            <w:noWrap/>
            <w:hideMark/>
          </w:tcPr>
          <w:p w14:paraId="2A8BD60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335EA8F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Role of corruption in wild meat supply chains</w:t>
            </w:r>
          </w:p>
        </w:tc>
        <w:tc>
          <w:tcPr>
            <w:tcW w:w="318" w:type="pct"/>
          </w:tcPr>
          <w:p w14:paraId="7D8C3B7A" w14:textId="0D1F3269"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07D2BA39" w14:textId="00DDA69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3A3EDCC5" w14:textId="524C840F" w:rsidR="000B21B4" w:rsidRPr="00A61595" w:rsidRDefault="000B21B4" w:rsidP="00380533">
            <w:pPr>
              <w:rPr>
                <w:rFonts w:ascii="Arial" w:hAnsi="Arial" w:cs="Arial"/>
                <w:sz w:val="14"/>
                <w:szCs w:val="14"/>
              </w:rPr>
            </w:pPr>
            <w:r w:rsidRPr="00A61595">
              <w:rPr>
                <w:rFonts w:ascii="Arial" w:hAnsi="Arial" w:cs="Arial"/>
                <w:color w:val="000000"/>
                <w:sz w:val="14"/>
                <w:szCs w:val="14"/>
              </w:rPr>
              <w:t>k</w:t>
            </w:r>
          </w:p>
        </w:tc>
        <w:tc>
          <w:tcPr>
            <w:tcW w:w="229" w:type="pct"/>
          </w:tcPr>
          <w:p w14:paraId="18A85706" w14:textId="5C731CCC"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904CF40" w14:textId="4724B240" w:rsidTr="00380533">
        <w:trPr>
          <w:trHeight w:val="285"/>
        </w:trPr>
        <w:tc>
          <w:tcPr>
            <w:tcW w:w="715" w:type="pct"/>
            <w:gridSpan w:val="2"/>
            <w:shd w:val="clear" w:color="auto" w:fill="auto"/>
            <w:noWrap/>
            <w:hideMark/>
          </w:tcPr>
          <w:p w14:paraId="4D4BAF22" w14:textId="128C0602"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Gomez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{"citationID":"a1fs7sh2jrh","properties":{"formattedCitation":"(78)","plainCitation":"(78)","noteIndex":0},"citationItems":[{"id":18627,"uris":["http://zotero.org/groups/2477744/items/9F7IXQ7D"],"itemData":{"id":18627,"type":"article-journal","abstract":"Worldwide, 844 million people still lack access to basic drinking water, especially in the rural areas of low and middle income countries. However, considerable progress has been made in recent years due to work on the Millennium Development Goals and Sustainable Development Goals. Nevertheless, countries' national characteristics have often impacted on this progress. This paper analyzes whether specific socioeconomic factors affect access to improved water sources in the rural areas of developing countries. In particular, we analyze access to total improved', piped on premises, as well as other improved sources of access in rural areas for low income, low-middle income, and high-middle income countries. Our results suggest that gross national income (GNI); female primary completion rate; agriculture; growth of rural population; and governance indicators, such as political stability, control of corruption, or regulatory quality are variables related to water access, although specific associations depend on the source of water and income group examined. Understanding these interrelations could be of great importance for decision makers in the water sector as well as for future research on this topic.","container-title":"WATER","DOI":"10.3390/w11020202","issue":"2","journalAbbreviation":"WATER","title":"Socioeconomic Factors Affecting Water Access in Rural Areas of Low and Middle Income Countries","volume":"11","author":[{"family":"Gomez","given":"Mabel"},{"family":"Perdiguero","given":"Jordi"},{"family":"Sanz","given":"Alex"}],"issued":{"date-parts":[["2019"]]}}}],"schema":"https://github.com/citation-style-language/schema/raw/master/csl-citation.json"}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(78)</w:t>
            </w:r>
            <w:r w:rsidRPr="00A61595">
              <w:rPr>
                <w:rFonts w:ascii="Arial" w:eastAsia="Times New Roman" w:hAnsi="Arial" w:cs="Arial"/>
                <w:sz w:val="14"/>
                <w:szCs w:val="14"/>
              </w:rPr>
              <w:fldChar w:fldCharType="end"/>
            </w:r>
          </w:p>
        </w:tc>
        <w:tc>
          <w:tcPr>
            <w:tcW w:w="192" w:type="pct"/>
            <w:shd w:val="clear" w:color="auto" w:fill="auto"/>
            <w:noWrap/>
            <w:hideMark/>
          </w:tcPr>
          <w:p w14:paraId="6B8A85D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3EF5067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Effect of socioeconomic factors on access to improved water sources in the rural areas of developing countries</w:t>
            </w:r>
          </w:p>
        </w:tc>
        <w:tc>
          <w:tcPr>
            <w:tcW w:w="318" w:type="pct"/>
          </w:tcPr>
          <w:p w14:paraId="65D7098E" w14:textId="5832D147"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596714B" w14:textId="309384EF"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7850284" w14:textId="265F8D22"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44BE6B9A" w14:textId="3AB60FB1"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03EBB494" w14:textId="7584D7EF" w:rsidTr="00380533">
        <w:trPr>
          <w:trHeight w:val="285"/>
        </w:trPr>
        <w:tc>
          <w:tcPr>
            <w:tcW w:w="715" w:type="pct"/>
            <w:gridSpan w:val="2"/>
            <w:shd w:val="clear" w:color="auto" w:fill="auto"/>
            <w:noWrap/>
            <w:hideMark/>
          </w:tcPr>
          <w:p w14:paraId="288FBEEA" w14:textId="77D7C31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Goodall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{"citationID":"ae94s8191t","properties":{"formattedCitation":"(79)","plainCitation":"(79)","noteIndex":0},"citationItems":[{"id":17173,"uris":["http://zotero.org/groups/2477744/items/VRUV9ZAM"],"itemData":{"id":17173,"type":"article-journal","abstract":"This article provides the first comprehensive criminological account of routinised illicit venison production in rural England. In doing so an epistemological reformulation and conceptual clarification of the overlooked problem is advanced, using extended fieldwork and a novel theoretical framework. The account of offending is refined to a type of illicit rural food enterprise supply chain misconduct, actualised by un-regulated industry processes. This kind of food crime is shown to be reliant upon suspects’ connectivity with small to medium food business operations and the routines of rural occupations. Such relations with licit rural-centric commerce are the necessary conditions of offending, which are enabled by the contingent conditions of sub-optimal game meat traceability systems and an absence of regulatory oversight at critical junctures. An outcome that is structurally inscribed into legislation and induces non-compliance. The article addresses the current lacuna of research on venison meat food crimes in the British context and advances an innovative realist social relations theory to explain the crime commissioning process. © 2021, The Author(s), under exclusive licence to Springer Nature B.V.","container-title":"Crime, Law and Social Change","DOI":"10.1007/s10611-021-09976-9","journalAbbreviation":"Crime, Law and Social Change","title":"Rural criminal collaborations and the food crimes of the countryside: realist social relations theory of illicit venison production","URL":"https://www.scopus.com/inward/record.uri?eid=2-s2.0-85112114291&amp;doi=10.1007%2fs10611-021-09976-9&amp;partnerID=40&amp;md5=9271198d509db411254872cebb2626ad","author":[{"family":"Goodall","given":"O."}],"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(79)</w:t>
            </w:r>
            <w:r w:rsidRPr="00A61595">
              <w:rPr>
                <w:rFonts w:ascii="Arial" w:eastAsia="Times New Roman" w:hAnsi="Arial" w:cs="Arial"/>
                <w:sz w:val="14"/>
                <w:szCs w:val="14"/>
              </w:rPr>
              <w:fldChar w:fldCharType="end"/>
            </w:r>
          </w:p>
        </w:tc>
        <w:tc>
          <w:tcPr>
            <w:tcW w:w="192" w:type="pct"/>
            <w:shd w:val="clear" w:color="auto" w:fill="auto"/>
            <w:noWrap/>
            <w:hideMark/>
          </w:tcPr>
          <w:p w14:paraId="2D9BE9B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48DA90A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Food crimes of the countryside and the rural meat industry collaborators who accomplish them</w:t>
            </w:r>
          </w:p>
        </w:tc>
        <w:tc>
          <w:tcPr>
            <w:tcW w:w="318" w:type="pct"/>
          </w:tcPr>
          <w:p w14:paraId="045CD57A" w14:textId="7B08F790"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06" w:type="pct"/>
          </w:tcPr>
          <w:p w14:paraId="7876614A" w14:textId="220E530A"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07F4805" w14:textId="1A9466B3" w:rsidR="000B21B4" w:rsidRPr="00A61595" w:rsidRDefault="000B21B4" w:rsidP="00380533">
            <w:pPr>
              <w:rPr>
                <w:rFonts w:ascii="Arial" w:hAnsi="Arial" w:cs="Arial"/>
                <w:sz w:val="14"/>
                <w:szCs w:val="14"/>
              </w:rPr>
            </w:pPr>
            <w:r w:rsidRPr="00A61595">
              <w:rPr>
                <w:rFonts w:ascii="Arial" w:hAnsi="Arial" w:cs="Arial"/>
                <w:color w:val="000000"/>
                <w:sz w:val="14"/>
                <w:szCs w:val="14"/>
              </w:rPr>
              <w:t>k</w:t>
            </w:r>
          </w:p>
        </w:tc>
        <w:tc>
          <w:tcPr>
            <w:tcW w:w="229" w:type="pct"/>
          </w:tcPr>
          <w:p w14:paraId="5DFAD6A2" w14:textId="4A34A01E" w:rsidR="000B21B4" w:rsidRPr="00A61595" w:rsidRDefault="000B21B4" w:rsidP="00380533">
            <w:pPr>
              <w:rPr>
                <w:rFonts w:ascii="Arial" w:hAnsi="Arial" w:cs="Arial"/>
                <w:sz w:val="14"/>
                <w:szCs w:val="14"/>
              </w:rPr>
            </w:pPr>
            <w:r w:rsidRPr="00A61595">
              <w:rPr>
                <w:rFonts w:ascii="Arial" w:hAnsi="Arial" w:cs="Arial"/>
                <w:color w:val="000000"/>
                <w:sz w:val="14"/>
                <w:szCs w:val="14"/>
              </w:rPr>
              <w:t>a, d</w:t>
            </w:r>
          </w:p>
        </w:tc>
      </w:tr>
      <w:tr w:rsidR="000B21B4" w:rsidRPr="00A61595" w14:paraId="284C0E1B" w14:textId="5FEF767D" w:rsidTr="00380533">
        <w:trPr>
          <w:trHeight w:val="285"/>
        </w:trPr>
        <w:tc>
          <w:tcPr>
            <w:tcW w:w="715" w:type="pct"/>
            <w:gridSpan w:val="2"/>
            <w:shd w:val="clear" w:color="auto" w:fill="auto"/>
            <w:noWrap/>
            <w:hideMark/>
          </w:tcPr>
          <w:p w14:paraId="047B52CF" w14:textId="04F7466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Graham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{"citationID":"a182e2fcucd","properties":{"formattedCitation":"(80)","plainCitation":"(80)","noteIndex":0},"citationItems":[{"id":17068,"uris":["http://zotero.org/groups/2477744/items/3HV8FIUT"],"itemData":{"id":17068,"type":"article-journal","abstract":"Since the 2009 general election in South Africa there has been significant speculation about the electoral power of the over 16 million social grant beneficiaries. Equally controversial has been the issuing of food parcels by the government before local government by-elections in 2013. A quantitative study was undertaken in three poor communities in South Africa - Riverlea and Doornkop in Johannesburg and in Groblersdal in the Limpopo province to establish the voting behaviour of poor people ('poor' being defined in terms of income level). This article focuses mainly on the role that social grants and food parcels play in voting behaviour. Among other things, it was found that grant receipt has some influence on how people vote but that it is not the driving factor. Though the majority of respondents regard the handing out of food parcels before elections as `bribery', over a quarter still indicated that they would vote for a party that gave them food parcels.(1)","container-title":"TRANSFORMATION-CRITICAL PERSPECTIVES ON SOUTHERN AFRICA","DOI":"10.1353/trn.2016.0020","journalAbbreviation":"TRANSFORMATION-CRITICAL PERSPECTIVES ON SOUTHERN AFRICA","page":"106-135","title":"Social grants, food parcels and voting behaviour: a case study of three South African communities","volume":"91","author":[{"family":"Graham","given":"Victoria"},{"family":"Sadie","given":"Yolanda"},{"family":"Patel","given":"Leila"}],"issued":{"date-parts":[["2016"]]}}}],"schema":"https://github.com/citation-style-language/schema/raw/master/csl-citation.json"}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(80)</w:t>
            </w:r>
            <w:r w:rsidRPr="00A61595">
              <w:rPr>
                <w:rFonts w:ascii="Arial" w:eastAsia="Times New Roman" w:hAnsi="Arial" w:cs="Arial"/>
                <w:sz w:val="14"/>
                <w:szCs w:val="14"/>
              </w:rPr>
              <w:fldChar w:fldCharType="end"/>
            </w:r>
          </w:p>
        </w:tc>
        <w:tc>
          <w:tcPr>
            <w:tcW w:w="192" w:type="pct"/>
            <w:shd w:val="clear" w:color="auto" w:fill="auto"/>
            <w:noWrap/>
            <w:hideMark/>
          </w:tcPr>
          <w:p w14:paraId="0A2475C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09BCBA8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Role of social protection and food parcels in voting behavior</w:t>
            </w:r>
          </w:p>
        </w:tc>
        <w:tc>
          <w:tcPr>
            <w:tcW w:w="318" w:type="pct"/>
          </w:tcPr>
          <w:p w14:paraId="00A18037" w14:textId="1DEB7D00"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4EC0798C" w14:textId="6E27275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4903D936" w14:textId="6F1D133D"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33B0BA65" w14:textId="4977F4E2"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FFD8600" w14:textId="19FA6755" w:rsidTr="00380533">
        <w:trPr>
          <w:trHeight w:val="285"/>
        </w:trPr>
        <w:tc>
          <w:tcPr>
            <w:tcW w:w="715" w:type="pct"/>
            <w:gridSpan w:val="2"/>
            <w:shd w:val="clear" w:color="auto" w:fill="auto"/>
            <w:noWrap/>
            <w:hideMark/>
          </w:tcPr>
          <w:p w14:paraId="08C5E579" w14:textId="2D19032F"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Grydehoj</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{"citationID":"a220nk4hv8","properties":{"formattedCitation":"(81)","plainCitation":"(81)","noteIndex":0},"citationItems":[{"id":17070,"uris":["http://zotero.org/groups/2477744/items/BERGX428"],"itemData":{"id":17070,"type":"article-journal","abstract":"Technology has politics and plays a role in societal governance. This article explores the fishing community of Karanrang island (Spermonde Archipelago, Indonesia) to consider how fishing technologies reinforce existing power structures in the local informal governance system. Informal governance actors deploy the politics of technology in order to manage a socially problematic and environmentally destructive fishing economy. In the punggawa-sawi system of patron-client relationships, fishers are economically dependent on patrons, who supply them with fishing technologies like boats, bombs, and cyanide. The patrons themselves are embedded in a complex governance network, encompassing corrupt police and officials, importers, and live food fish traders. The politics of technology contribute to maintaining the local informal governance system of patron-client relationships. This paper draws upon theories from science and technology studies and network governance to argue that although patronclient relationships are problematic in themselves, the politics of technology further maintain power imbalances.","container-title":"GEOJOURNAL","DOI":"10.1007/s10708-014-9619-x","issue":"2","journalAbbreviation":"GEOJOURNAL","page":"281-292","title":"Politics of technology in the informal governance of destructive fishing in Spermonde, Indonesia","volume":"81","author":[{"family":"Grydehoj","given":"Adam"},{"family":"Nurdin","given":"Nurliah"}],"issued":{"date-parts":[["2016"]]}}}],"schema":"https://github.com/citation-style-language/schema/raw/master/csl-citation.json"}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(81)</w:t>
            </w:r>
            <w:r w:rsidRPr="00A61595">
              <w:rPr>
                <w:rFonts w:ascii="Arial" w:eastAsia="Times New Roman" w:hAnsi="Arial" w:cs="Arial"/>
                <w:sz w:val="14"/>
                <w:szCs w:val="14"/>
              </w:rPr>
              <w:fldChar w:fldCharType="end"/>
            </w:r>
          </w:p>
        </w:tc>
        <w:tc>
          <w:tcPr>
            <w:tcW w:w="192" w:type="pct"/>
            <w:shd w:val="clear" w:color="auto" w:fill="auto"/>
            <w:noWrap/>
            <w:hideMark/>
          </w:tcPr>
          <w:p w14:paraId="2B01074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103A19D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political impact of technology in informal governance systems by considering fisheries governance</w:t>
            </w:r>
          </w:p>
        </w:tc>
        <w:tc>
          <w:tcPr>
            <w:tcW w:w="318" w:type="pct"/>
          </w:tcPr>
          <w:p w14:paraId="365AEA91" w14:textId="712DC8F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58E5897A" w14:textId="0483CA22"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371" w:type="pct"/>
          </w:tcPr>
          <w:p w14:paraId="78D7EE20" w14:textId="4EEE2D87" w:rsidR="000B21B4" w:rsidRPr="00A61595" w:rsidRDefault="000B21B4" w:rsidP="00380533">
            <w:pPr>
              <w:rPr>
                <w:rFonts w:ascii="Arial" w:hAnsi="Arial" w:cs="Arial"/>
                <w:sz w:val="14"/>
                <w:szCs w:val="14"/>
              </w:rPr>
            </w:pPr>
            <w:r w:rsidRPr="00A61595">
              <w:rPr>
                <w:rFonts w:ascii="Arial" w:hAnsi="Arial" w:cs="Arial"/>
                <w:color w:val="000000"/>
                <w:sz w:val="14"/>
                <w:szCs w:val="14"/>
              </w:rPr>
              <w:t>k</w:t>
            </w:r>
          </w:p>
        </w:tc>
        <w:tc>
          <w:tcPr>
            <w:tcW w:w="229" w:type="pct"/>
          </w:tcPr>
          <w:p w14:paraId="0ED7358B" w14:textId="22557035" w:rsidR="000B21B4" w:rsidRPr="00A61595" w:rsidRDefault="000B21B4" w:rsidP="00380533">
            <w:pPr>
              <w:rPr>
                <w:rFonts w:ascii="Arial" w:hAnsi="Arial" w:cs="Arial"/>
                <w:sz w:val="14"/>
                <w:szCs w:val="14"/>
              </w:rPr>
            </w:pPr>
            <w:r w:rsidRPr="00A61595">
              <w:rPr>
                <w:rFonts w:ascii="Arial" w:hAnsi="Arial" w:cs="Arial"/>
                <w:color w:val="000000"/>
                <w:sz w:val="14"/>
                <w:szCs w:val="14"/>
              </w:rPr>
              <w:t>a, b, h</w:t>
            </w:r>
          </w:p>
        </w:tc>
      </w:tr>
      <w:tr w:rsidR="000B21B4" w:rsidRPr="00A61595" w14:paraId="10B25803" w14:textId="42BE64C4" w:rsidTr="00380533">
        <w:trPr>
          <w:trHeight w:val="285"/>
        </w:trPr>
        <w:tc>
          <w:tcPr>
            <w:tcW w:w="715" w:type="pct"/>
            <w:gridSpan w:val="2"/>
            <w:shd w:val="clear" w:color="auto" w:fill="auto"/>
            <w:noWrap/>
            <w:hideMark/>
          </w:tcPr>
          <w:p w14:paraId="5C0A7960" w14:textId="14A87B81"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Guntzburger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{"citationID":"a1khigu5vf5","properties":{"formattedCitation":"(82)","plainCitation":"(82)","noteIndex":0},"citationItems":[{"id":17174,"uris":["http://zotero.org/groups/2477744/items/WLRLX8U6"],"itemData":{"id":17174,"type":"article-journal","abstract":"Food fraud is becoming a major concern for the food industry, consumers and governments. Food industries are accountable for food fraud management and, since January 2018, must implement measures to counter food fraud as part of a Global Food Safety Initiative (GFSI) scheme. However, information related to Food Business Operators' (FBO) perceptions and knowledge on food fraud is still very scarce. Hence, from October 2017 to April 2018, FBOs from different sectors across Canada were invited to answer an online survey of 52 closed-ended questions about their perceptions of food fraud and food fraud management. Close to 400 Canadian FBOs filled out the survey. This paper aims to present their perceptions, concerns and needs relative to food fraud, and their practices to manage and prevent this risk. Answers were collected and analyzed to build a representative picture of the Canadian food industry's perceived readiness and awareness of food fraud. A Kruskal—Wallis test was used to analyze differences among producers, processors and distributors regarding perceptions and knowledge of food fraud. This study provides valuable insights allowing academics and regulators to adapt their communication and collaboration with food industry stakeholders. It could also be used by FBOs as a first base for self-assessment. © 2020 Elsevier Ltd","container-title":"Food Control","DOI":"10.1016/j.foodcont.2020.107182","journalAbbreviation":"Food Control","title":"Food industry perceptions and actions towards food fraud: Insights from a pan-Canadian study","URL":"https://www.scopus.com/inward/record.uri?eid=2-s2.0-85081023666&amp;doi=10.1016%2fj.foodcont.2020.107182&amp;partnerID=40&amp;md5=8fc1bab2895ebe064711556e700c6f0a","volume":"113","author":[{"family":"Guntzburger","given":"Y."},{"family":"Théolier","given":"J."},{"family":"Barrere","given":"V."},{"family":"Peignier","given":"I."},{"family":"Godefroy","given":"S."},{"family":"Marcellis-Warin","given":"N.","non-dropping-particle":"de"}],"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(82)</w:t>
            </w:r>
            <w:r w:rsidRPr="00A61595">
              <w:rPr>
                <w:rFonts w:ascii="Arial" w:eastAsia="Times New Roman" w:hAnsi="Arial" w:cs="Arial"/>
                <w:sz w:val="14"/>
                <w:szCs w:val="14"/>
              </w:rPr>
              <w:fldChar w:fldCharType="end"/>
            </w:r>
          </w:p>
        </w:tc>
        <w:tc>
          <w:tcPr>
            <w:tcW w:w="192" w:type="pct"/>
            <w:shd w:val="clear" w:color="auto" w:fill="auto"/>
            <w:noWrap/>
            <w:hideMark/>
          </w:tcPr>
          <w:p w14:paraId="18DF4DB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6A2E63A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Food industry perceptions and actions towards food fraud</w:t>
            </w:r>
          </w:p>
        </w:tc>
        <w:tc>
          <w:tcPr>
            <w:tcW w:w="318" w:type="pct"/>
          </w:tcPr>
          <w:p w14:paraId="1D2C7FEF" w14:textId="055FA81C"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4F34A74D" w14:textId="41C0DF9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20306A5" w14:textId="1F4D634B"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3922C155" w14:textId="76E6EEC3"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6DB228E6" w14:textId="1462A9BA" w:rsidTr="00380533">
        <w:trPr>
          <w:trHeight w:val="285"/>
        </w:trPr>
        <w:tc>
          <w:tcPr>
            <w:tcW w:w="715" w:type="pct"/>
            <w:gridSpan w:val="2"/>
            <w:shd w:val="clear" w:color="auto" w:fill="auto"/>
            <w:noWrap/>
            <w:hideMark/>
          </w:tcPr>
          <w:p w14:paraId="24E72A1B" w14:textId="060A606F"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Gupta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{"citationID":"apvhmfg6l6","properties":{"formattedCitation":"(83)","plainCitation":"(83)","noteIndex":0},"citationItems":[{"id":17175,"uris":["http://zotero.org/groups/2477744/items/7GNXHZ24"],"itemData":{"id":17175,"type":"article-journal","abstract":"Effective management of natural resources in ecologically fragile regions has remained a major concern for international development donors, project implementing agencies as well as for resource-dependent communities. It is suggested that multi-agency partnerships involving various stakeholders (donors, governmental agencies, non-governmental organizations (NGOs), etc.) could ensure better management of common property resources, such as water, pastures or forests. This is important in dryland regions like Rajasthan in India where the majority of agriculture is rainfed and the development of watersheds is crucial for the livelihoods of smallholders. This article presents a critical analysis of multiagency partnership in a participatory watershed development project implemented in the late 1990s in rural Rajasthan. Based on multi-sited ethnography and qualitative research in the post-project period (2003–2005), it demonstrates that while the theoretical argument in favor of multi-agency partnerships is very strong, there are several practical challenges that come in the way of successful realization of such partnerships. Unrealistic donor expectations, differences in cultures and incentive structures, widespread corruption in the government sector and diverse agendas of NGOs may hamper multi-agency partnerships in watershed development. Policy-makers and project functionaries need to address these issues for multi-agency partnerships to work. © 2014 The Author(s). Published by Routledge.","container-title":"Development Studies Research","DOI":"10.1080/21665095.2014.938088","issue":"1","journalAbbreviation":"Development Studies Research","page":"100-112","title":"Worlds apart? Challenges of multi-agency partnership in participatory watershed development in Rajasthan, India","URL":"https://www.scopus.com/inward/record.uri?eid=2-s2.0-85006410530&amp;doi=10.1080%2f21665095.2014.938088&amp;partnerID=40&amp;md5=3b230284d69b8d4fc03716bd70e12ab1","volume":"1","author":[{"family":"Gupta","given":"S."}],"issued":{"date-parts":[["2014"]]}}}],"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(83)</w:t>
            </w:r>
            <w:r w:rsidRPr="00A61595">
              <w:rPr>
                <w:rFonts w:ascii="Arial" w:eastAsia="Times New Roman" w:hAnsi="Arial" w:cs="Arial"/>
                <w:sz w:val="14"/>
                <w:szCs w:val="14"/>
              </w:rPr>
              <w:fldChar w:fldCharType="end"/>
            </w:r>
            <w:r w:rsidRPr="00A61595">
              <w:rPr>
                <w:rFonts w:ascii="Arial" w:eastAsia="Times New Roman" w:hAnsi="Arial" w:cs="Arial"/>
                <w:sz w:val="14"/>
                <w:szCs w:val="14"/>
              </w:rPr>
              <w:t xml:space="preserve"> </w:t>
            </w:r>
          </w:p>
        </w:tc>
        <w:tc>
          <w:tcPr>
            <w:tcW w:w="192" w:type="pct"/>
            <w:shd w:val="clear" w:color="auto" w:fill="auto"/>
            <w:noWrap/>
            <w:hideMark/>
          </w:tcPr>
          <w:p w14:paraId="53471E6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2014</w:t>
            </w:r>
          </w:p>
        </w:tc>
        <w:tc>
          <w:tcPr>
            <w:tcW w:w="2869" w:type="pct"/>
            <w:gridSpan w:val="4"/>
            <w:shd w:val="clear" w:color="auto" w:fill="auto"/>
            <w:noWrap/>
            <w:hideMark/>
          </w:tcPr>
          <w:p w14:paraId="17FD5BA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Analysis of multi-agency partnership in a participatory watershed development project</w:t>
            </w:r>
          </w:p>
        </w:tc>
        <w:tc>
          <w:tcPr>
            <w:tcW w:w="318" w:type="pct"/>
          </w:tcPr>
          <w:p w14:paraId="2815F3DA" w14:textId="656467B3"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06" w:type="pct"/>
          </w:tcPr>
          <w:p w14:paraId="6D38BD45" w14:textId="57EB2F3E"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34C2006B" w14:textId="748048F8" w:rsidR="000B21B4" w:rsidRPr="00A61595" w:rsidRDefault="000B21B4" w:rsidP="00380533">
            <w:pPr>
              <w:rPr>
                <w:rFonts w:ascii="Arial" w:hAnsi="Arial" w:cs="Arial"/>
                <w:sz w:val="14"/>
                <w:szCs w:val="14"/>
              </w:rPr>
            </w:pPr>
            <w:r w:rsidRPr="00A61595">
              <w:rPr>
                <w:rFonts w:ascii="Arial" w:hAnsi="Arial" w:cs="Arial"/>
                <w:color w:val="000000"/>
                <w:sz w:val="14"/>
                <w:szCs w:val="14"/>
              </w:rPr>
              <w:t>f, h</w:t>
            </w:r>
          </w:p>
        </w:tc>
        <w:tc>
          <w:tcPr>
            <w:tcW w:w="229" w:type="pct"/>
          </w:tcPr>
          <w:p w14:paraId="1196E88F" w14:textId="787C3E10" w:rsidR="000B21B4" w:rsidRPr="00A61595" w:rsidRDefault="000B21B4" w:rsidP="00380533">
            <w:pPr>
              <w:rPr>
                <w:rFonts w:ascii="Arial" w:hAnsi="Arial" w:cs="Arial"/>
                <w:sz w:val="14"/>
                <w:szCs w:val="14"/>
              </w:rPr>
            </w:pPr>
            <w:r w:rsidRPr="00A61595">
              <w:rPr>
                <w:rFonts w:ascii="Arial" w:hAnsi="Arial" w:cs="Arial"/>
                <w:color w:val="000000"/>
                <w:sz w:val="14"/>
                <w:szCs w:val="14"/>
              </w:rPr>
              <w:t>a, f, h</w:t>
            </w:r>
          </w:p>
        </w:tc>
      </w:tr>
      <w:tr w:rsidR="000B21B4" w:rsidRPr="00A61595" w14:paraId="05525AB2" w14:textId="5165E246" w:rsidTr="00380533">
        <w:trPr>
          <w:trHeight w:val="285"/>
        </w:trPr>
        <w:tc>
          <w:tcPr>
            <w:tcW w:w="715" w:type="pct"/>
            <w:gridSpan w:val="2"/>
            <w:shd w:val="clear" w:color="auto" w:fill="auto"/>
            <w:noWrap/>
            <w:hideMark/>
          </w:tcPr>
          <w:p w14:paraId="66D7FCD5" w14:textId="4E8259EC"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Gylfason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{"citationID":"a1fo837v06c","properties":{"formattedCitation":"(84)","plainCitation":"(84)","noteIndex":0},"citationItems":[{"id":18617,"uris":["http://zotero.org/groups/2477744/items/4IZPSAVX"],"itemData":{"id":18617,"type":"article-journal","abstract":"This paper reviews some reasons why natural resource abundance and extensive agriculture appear to impede economic growth around the world. The paper presents empirical, cross-sectional evidence of various aspects of this relationship in the transition economies in Central and Eastern Europe and Central Asia since 1990. The essence of the argument is that heavy dependence on natural resources and agriculture may result in rent seeking (e. g., corruption) and policy failures (e. g., inflation) and may, moreover, discourage education, external trade, and genuine saving, thereby retarding economic growth. The paper concludes with a brief discussion of the policy implications of the analysis.","container-title":"KYKLOS","DOI":"10.1111/1467-6435.00133","issue":"4","journalAbbreviation":"KYKLOS","page":"545-579","title":"Resources, agriculture, and economic growth in economies in transition","volume":"53","author":[{"family":"Gylfason","given":"T"}],"issued":{"date-parts":[["2000"]]}}}],"schema":"https://github.com/citation-style-language/schema/raw/master/csl-citation.json"}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(84)</w:t>
            </w:r>
            <w:r w:rsidRPr="00A61595">
              <w:rPr>
                <w:rFonts w:ascii="Arial" w:eastAsia="Times New Roman" w:hAnsi="Arial" w:cs="Arial"/>
                <w:sz w:val="14"/>
                <w:szCs w:val="14"/>
              </w:rPr>
              <w:fldChar w:fldCharType="end"/>
            </w:r>
          </w:p>
        </w:tc>
        <w:tc>
          <w:tcPr>
            <w:tcW w:w="192" w:type="pct"/>
            <w:shd w:val="clear" w:color="auto" w:fill="auto"/>
            <w:noWrap/>
            <w:hideMark/>
          </w:tcPr>
          <w:p w14:paraId="070B6C3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2000</w:t>
            </w:r>
          </w:p>
        </w:tc>
        <w:tc>
          <w:tcPr>
            <w:tcW w:w="2869" w:type="pct"/>
            <w:gridSpan w:val="4"/>
            <w:shd w:val="clear" w:color="auto" w:fill="auto"/>
            <w:noWrap/>
            <w:hideMark/>
          </w:tcPr>
          <w:p w14:paraId="7C7A927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Effect of natural resource abundance and extensive agriculture on economic growth globally</w:t>
            </w:r>
          </w:p>
        </w:tc>
        <w:tc>
          <w:tcPr>
            <w:tcW w:w="318" w:type="pct"/>
          </w:tcPr>
          <w:p w14:paraId="4CA67803" w14:textId="4375423D"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2956EA1A" w14:textId="047B037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065FA737" w14:textId="7E40B5E2"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1E9E8C33" w14:textId="138E8E26"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r>
      <w:tr w:rsidR="000B21B4" w:rsidRPr="00A61595" w14:paraId="2FCE1FCF" w14:textId="5EF002C6" w:rsidTr="00380533">
        <w:trPr>
          <w:trHeight w:val="285"/>
        </w:trPr>
        <w:tc>
          <w:tcPr>
            <w:tcW w:w="715" w:type="pct"/>
            <w:gridSpan w:val="2"/>
            <w:shd w:val="clear" w:color="auto" w:fill="auto"/>
            <w:noWrap/>
            <w:hideMark/>
          </w:tcPr>
          <w:p w14:paraId="436E0241" w14:textId="0273DEA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lastRenderedPageBreak/>
              <w:t>Hanf</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{"citationID":"a22ja6cf4r9","properties":{"formattedCitation":"(85)","plainCitation":"(85)","noteIndex":0},"citationItems":[{"id":17058,"uris":["http://zotero.org/groups/2477744/items/FT9HKZYU"],"itemData":{"id":17058,"type":"article-journal","abstract":"Background: Information on the global risk factors of children mortality is crucial to guide global efforts to improve survival. Corruption has been previously shown to significantly impact on child mortality. However no recent quantification of its current impact is available. Methods: The impact of corruption was assessed through crude Pearson's correlation, univariate and multivariate linear models coupling national under-five mortality rates in 2008 to the national ``perceived level of corruption{''} (CPI) and a large set of adjustment variables measured during the same period. Findings: The final multivariable model (adjusted R-2 = 0.89) included the following significant variables: percentage of people with improved sanitation (p.value&lt;0.001), logarithm of total health expenditure (p.value = 0.006), Corruption Perception Index (p.value&lt;0.001), presence of an arid climate on the national territory (p = 0.006), and the dependency ratio (p.value&lt;0.001). A decrease in CPI of one point (i.e. a more important perceived corruption) was associated with an increase in the log of national under-five mortality rate of 0.0644. According to this result, it could be roughly hypothesized that more than 140000 annual children deaths could be indirectly attributed to corruption. Interpretations: Global response to children mortality must involve a necessary increase in funds available to develop water and sanitation access and purchase new methods for prevention, management, and treatment of major diseases drawing the global pattern of children deaths. However without paying regard to the anti-corruption mechanisms needed to ensure their proper use, it will also provide further opportunity for corruption. Policies and interventions supported by governments and donors must integrate initiatives that recognise how they are inter-related.","container-title":"PLOS ONE","DOI":"10.1371/journal.pone.0026990","issue":"11","journalAbbreviation":"PLOS ONE","title":"Corruption Kills: Estimating the Global Impact of Corruption on Children Deaths","volume":"6","author":[{"family":"Hanf","given":"Matthieu"},{"family":"Van-Melle","given":"Astrid"},{"family":"Fraisse","given":"Florence"},{"family":"Roger","given":"Amaury"},{"family":"Carme","given":"Bernard"},{"family":"Nacher","given":"Mathieu"}],"issued":{"date-parts":[["2011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(85)</w:t>
            </w:r>
            <w:r w:rsidRPr="00A61595">
              <w:rPr>
                <w:rFonts w:ascii="Arial" w:eastAsia="Times New Roman" w:hAnsi="Arial" w:cs="Arial"/>
                <w:sz w:val="14"/>
                <w:szCs w:val="14"/>
              </w:rPr>
              <w:fldChar w:fldCharType="end"/>
            </w:r>
          </w:p>
        </w:tc>
        <w:tc>
          <w:tcPr>
            <w:tcW w:w="192" w:type="pct"/>
            <w:shd w:val="clear" w:color="auto" w:fill="auto"/>
            <w:noWrap/>
            <w:hideMark/>
          </w:tcPr>
          <w:p w14:paraId="6E595C2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2011</w:t>
            </w:r>
          </w:p>
        </w:tc>
        <w:tc>
          <w:tcPr>
            <w:tcW w:w="2869" w:type="pct"/>
            <w:gridSpan w:val="4"/>
            <w:shd w:val="clear" w:color="auto" w:fill="auto"/>
            <w:noWrap/>
            <w:hideMark/>
          </w:tcPr>
          <w:p w14:paraId="0DF94B6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Impacts of corruption on global children mortality rate</w:t>
            </w:r>
          </w:p>
        </w:tc>
        <w:tc>
          <w:tcPr>
            <w:tcW w:w="318" w:type="pct"/>
          </w:tcPr>
          <w:p w14:paraId="38A73DE5" w14:textId="58F2B04F"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2FE5D7A" w14:textId="71629A04"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354B848" w14:textId="6EBB8B0E"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142E8D62" w14:textId="2BD27ED0"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6DA43E86" w14:textId="4557CC9A" w:rsidTr="00380533">
        <w:trPr>
          <w:trHeight w:val="285"/>
        </w:trPr>
        <w:tc>
          <w:tcPr>
            <w:tcW w:w="715" w:type="pct"/>
            <w:gridSpan w:val="2"/>
            <w:shd w:val="clear" w:color="auto" w:fill="auto"/>
            <w:noWrap/>
            <w:hideMark/>
          </w:tcPr>
          <w:p w14:paraId="11A711EF" w14:textId="5F5056A3"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Han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{"citationID":"a25dpnofi48","properties":{"formattedCitation":"(86)","plainCitation":"(86)","noteIndex":0},"citationItems":[{"id":17109,"uris":["http://zotero.org/groups/2477744/items/B5QKNB28"],"itemData":{"id":17109,"type":"article-journal","abstract":"This paper studies the impacts of food safety risk perception on the different dimensions of governmental trust. A logistic regression model was constructed based on the multidimensional analysis of government trust (i.e., competence, benevolence and honesty) with food safety risk perception, economic growth, combating corruption, social trust, political participation and demographic characteristics as explanatory variables. The main findings are that respondents with low levels of food risk perception, high political participation and a positive evaluation of economic growth and anti-corruption performance show high levels of trust in government competence, benevolence and honesty. Social trust has a spillover effect, which has a significant impact on government competence and benevolence but has no significant impact on the honesty of the government, which reflects the distinction between different dimensions of the public's trust in their government. Highly educated people have low levels of trust in government competence, high levels of trust in government benevolence, and no significant impact on the judgment of government honesty. In general, the public speak lowly of the status of food safety and have limited interest in political participation. The government is better to strengthen food safety supervision and develop social capital to further enhance the public's governmental trust.","container-title":"INTERNATIONAL JOURNAL OF ENVIRONMENTAL RESEARCH AND PUBLIC HEALTH","DOI":"10.3390/ijerph16111874","issue":"11","journalAbbreviation":"INTERNATIONAL JOURNAL OF ENVIRONMENTAL RESEARCH AND PUBLIC HEALTH","title":"Does Food Safety Risk Perception Affect the Public's Trust in Their Government? An Empirical Study on a National Survey in China","volume":"16","author":[{"family":"Han","given":"Guanghua"},{"family":"Yan","given":"Simin"}],"issued":{"date-parts":[["2019"]]}}}],"schema":"https://github.com/citation-style-language/schema/raw/master/csl-citation.json"}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(86)</w:t>
            </w:r>
            <w:r w:rsidRPr="00A61595">
              <w:rPr>
                <w:rFonts w:ascii="Arial" w:eastAsia="Times New Roman" w:hAnsi="Arial" w:cs="Arial"/>
                <w:sz w:val="14"/>
                <w:szCs w:val="14"/>
              </w:rPr>
              <w:fldChar w:fldCharType="end"/>
            </w:r>
          </w:p>
        </w:tc>
        <w:tc>
          <w:tcPr>
            <w:tcW w:w="192" w:type="pct"/>
            <w:shd w:val="clear" w:color="auto" w:fill="auto"/>
            <w:noWrap/>
            <w:hideMark/>
          </w:tcPr>
          <w:p w14:paraId="5167A71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022F5A3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Impacts of food safety risk perception on the different dimensions of governmental trust</w:t>
            </w:r>
          </w:p>
        </w:tc>
        <w:tc>
          <w:tcPr>
            <w:tcW w:w="318" w:type="pct"/>
          </w:tcPr>
          <w:p w14:paraId="5450FE05" w14:textId="766915EF"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22DE9FF" w14:textId="387B77A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676AFDA" w14:textId="73A9DEAA"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424544B1" w14:textId="56D004E9"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7C957AC" w14:textId="055940E1" w:rsidTr="00380533">
        <w:trPr>
          <w:trHeight w:val="285"/>
        </w:trPr>
        <w:tc>
          <w:tcPr>
            <w:tcW w:w="715" w:type="pct"/>
            <w:gridSpan w:val="2"/>
            <w:shd w:val="clear" w:color="auto" w:fill="auto"/>
            <w:noWrap/>
            <w:hideMark/>
          </w:tcPr>
          <w:p w14:paraId="50FF9F61" w14:textId="5AB4CAEB"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Hausermann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{"citationID":"akkik49mqt","properties":{"formattedCitation":"(87)","plainCitation":"(87)","noteIndex":0},"citationItems":[{"id":17091,"uris":["http://zotero.org/groups/2477744/items/X8HSNIQR"],"itemData":{"id":17091,"type":"article-journal","abstract":"Gold prices hit historic highs following the 2008 financial crisis, catalyzing an international gold rush. Along Ghana's Offin River, recent mining activities have irreversibly transformed the landscape and lives of local people. Cocoa farms, subsistence crops, forest, and other land-uses have been cleared, with significant implications for livelihoods and food security. Rivers and streams were rerouted into mining sites to wash sediment, impacting hydrology, including water quality. Abandoned pits now stretch for kilometers and pose everyday hazards to community members. While minerals law reserves ``small-scale{''} mining as a right for Ghanaian citizens, both foreigners and Ghanaians control and mine concessions, reflecting complicated land-grabbing processes in the sector. Combining geospatial, ethnographic and quantitative methodological approaches with long-term international collaboration, this article examines the spatial and socio-environmental dimensions of ``small-scale{''} gold mining. We employed remote sensing techniques, underutilized in land-grabbing research, to assess mining-mediated land-use changes along a portion of the Offin River. The total extent of mining increased 2,772.6 percent to 998.23 hectares between 2008 and 2013; ``mine water{''} increased by 13,000 percent to cover 200 hectares. We argue these extensive land-use conversions are enabled through Ghana's contradictory and gendered land tenure systems. While scholars often characterize land deals as occurring through theft and dispossession, we found miners' access land through ad hoc negotiations before mining, compensation following crop destruction and outright dispossession. We detail the diverse actors and practices mediating informal land markets, and the uneven implications for people positioned within social and structural hierarchies, particularly women and ``strangers.{''} Our research troubles ``small-scale{''} categorizations and discursive representations of mining, and urges land-grabbing researchers to examine prolific smaller deals alongside transactions involving thousands of hectares. (C) 2018 Elsevier Ltd. All rights reserved.","container-title":"WORLD DEVELOPMENT","DOI":"10.1016/j.worlddev.2018.03.014","journalAbbreviation":"WORLD DEVELOPMENT","page":"103-114","title":"Land-grabbing, land-use transformation and social differentiation: Deconstructing ``small-scale{''} in Ghana's recent gold rush","volume":"108","author":[{"family":"Hausermann","given":"Heidi"},{"family":"Ferring","given":"David"},{"family":"Atosona","given":"Bernadette"},{"family":"Mentz","given":"Graciela"},{"family":"Amankwah","given":"Richard"},{"family":"Chang","given":"Augustus"},{"family":"Hartfield","given":"Kyle"},{"family":"Effah","given":"Emmanuel"},{"family":"Asuamah","given":"Grace Yeboah"},{"family":"Mansell","given":"Coryanne"},{"family":"Sastri","given":"Natasha"}],"issued":{"date-parts":[["2018"]]}}}],"schema":"https://github.com/citation-style-language/schema/raw/master/csl-citation.json"}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(87)</w:t>
            </w:r>
            <w:r w:rsidRPr="00A61595">
              <w:rPr>
                <w:rFonts w:ascii="Arial" w:eastAsia="Times New Roman" w:hAnsi="Arial" w:cs="Arial"/>
                <w:sz w:val="14"/>
                <w:szCs w:val="14"/>
              </w:rPr>
              <w:fldChar w:fldCharType="end"/>
            </w:r>
          </w:p>
        </w:tc>
        <w:tc>
          <w:tcPr>
            <w:tcW w:w="192" w:type="pct"/>
            <w:shd w:val="clear" w:color="auto" w:fill="auto"/>
            <w:noWrap/>
            <w:hideMark/>
          </w:tcPr>
          <w:p w14:paraId="7992310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60C59A9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Spatial and socio-environmental dimensions of ‘‘small-scale” gold mining</w:t>
            </w:r>
          </w:p>
        </w:tc>
        <w:tc>
          <w:tcPr>
            <w:tcW w:w="318" w:type="pct"/>
          </w:tcPr>
          <w:p w14:paraId="4C1AB03C" w14:textId="63759565"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36E7C5FD" w14:textId="30F13D87"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74A34CBB" w14:textId="31D224DB"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w:t>
            </w: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k</w:t>
            </w:r>
          </w:p>
        </w:tc>
        <w:tc>
          <w:tcPr>
            <w:tcW w:w="229" w:type="pct"/>
          </w:tcPr>
          <w:p w14:paraId="37C38943" w14:textId="65DCC3F7"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96AE865" w14:textId="6156D5D6" w:rsidTr="00380533">
        <w:trPr>
          <w:trHeight w:val="285"/>
        </w:trPr>
        <w:tc>
          <w:tcPr>
            <w:tcW w:w="715" w:type="pct"/>
            <w:gridSpan w:val="2"/>
            <w:shd w:val="clear" w:color="auto" w:fill="auto"/>
            <w:noWrap/>
            <w:hideMark/>
          </w:tcPr>
          <w:p w14:paraId="223524C6" w14:textId="4661491F"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Hernandez-</w:t>
            </w:r>
            <w:proofErr w:type="spellStart"/>
            <w:r w:rsidRPr="00A61595">
              <w:rPr>
                <w:rFonts w:ascii="Arial" w:eastAsia="Times New Roman" w:hAnsi="Arial" w:cs="Arial"/>
                <w:sz w:val="14"/>
                <w:szCs w:val="14"/>
              </w:rPr>
              <w:t>Aguado</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{"citationID":"apdopet4k4","properties":{"formattedCitation":"(88)","plainCitation":"(88)","noteIndex":0},"citationItems":[{"id":17083,"uris":["http://zotero.org/groups/2477744/items/23UZWXG9"],"itemData":{"id":17083,"type":"article-journal","abstract":"Background It is crucial to know the extent to which influences lead to policy captureby which the policy-making process is shifted away from the public interest towards narrow private interests. Using the case study of Spain, our aim was to identify interactions between public administration, civil society and private companies that could influence health policies. Methods 54 semistructured interviews with key actors related to health policy. The interviews were used to gather information on main policy actors as well as on direct and subtle influences that could modify health policies. The analysis identified and described, from the interviewed persons' experiences, both the inappropriate influences exerted on the actors and those that they exerted. Results Inappropriate influences were identified at all levels of administration and policy. They included actions for personal benefits, pressure for blocking health policies and pressure from high levels of government in favour of private corporations. The private sector played a significant role in these strategies through bribery, personal gifts, revolving doors, negative campaigns and by blocking unfavourable political positions or determining the knowledge agenda. The interviewees reported subtle forms of influence (social events, offers of technical support, invitations, etc) that contributed to the intellectual and cultural capture of health officials. Conclusion The health policy decision-making processes in Spain are subject to influences by stakeholders that determine a degree of policy capture, which is avoidable. The private sector uses different strategies, from subtle influences to outright corruption, taking advantage in many cases of flexible legislation.","container-title":"JOURNAL OF EPIDEMIOLOGY AND COMMUNITY HEALTH","DOI":"10.1136/jech-2017-209677","issue":"2","journalAbbreviation":"JOURNAL OF EPIDEMIOLOGY AND COMMUNITY HEALTH","page":"154-159","title":"Pathways of undue influence in health policy-making: a main actor's perspective","volume":"72","author":[{"family":"Hernandez-Aguado","given":"Ildefonso"},{"family":"Chilet-Rosell","given":"Elisa"}],"issued":{"date-parts":[["2018"]]}}}],"schema":"https://github.com/citation-style-language/schema/raw/master/csl-citation.json"}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(88)</w:t>
            </w:r>
            <w:r w:rsidRPr="00A61595">
              <w:rPr>
                <w:rFonts w:ascii="Arial" w:eastAsia="Times New Roman" w:hAnsi="Arial" w:cs="Arial"/>
                <w:sz w:val="14"/>
                <w:szCs w:val="14"/>
              </w:rPr>
              <w:fldChar w:fldCharType="end"/>
            </w:r>
          </w:p>
        </w:tc>
        <w:tc>
          <w:tcPr>
            <w:tcW w:w="192" w:type="pct"/>
            <w:shd w:val="clear" w:color="auto" w:fill="auto"/>
            <w:noWrap/>
            <w:hideMark/>
          </w:tcPr>
          <w:p w14:paraId="6BD077C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003EEF3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Interactions between public administration, civil society and private companies that could influence health policies</w:t>
            </w:r>
          </w:p>
        </w:tc>
        <w:tc>
          <w:tcPr>
            <w:tcW w:w="318" w:type="pct"/>
          </w:tcPr>
          <w:p w14:paraId="5B565D4A" w14:textId="05D462A2"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1B45C4F7" w14:textId="3FD88F15"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5EA1EC7A" w14:textId="71F5F53D" w:rsidR="000B21B4" w:rsidRPr="00A61595" w:rsidRDefault="000B21B4" w:rsidP="00380533">
            <w:pPr>
              <w:rPr>
                <w:rFonts w:ascii="Arial" w:hAnsi="Arial" w:cs="Arial"/>
                <w:sz w:val="14"/>
                <w:szCs w:val="14"/>
              </w:rPr>
            </w:pPr>
            <w:r w:rsidRPr="00A61595">
              <w:rPr>
                <w:rFonts w:ascii="Arial" w:hAnsi="Arial" w:cs="Arial"/>
                <w:color w:val="000000"/>
                <w:sz w:val="14"/>
                <w:szCs w:val="14"/>
              </w:rPr>
              <w:t>d, f, g</w:t>
            </w:r>
          </w:p>
        </w:tc>
        <w:tc>
          <w:tcPr>
            <w:tcW w:w="229" w:type="pct"/>
          </w:tcPr>
          <w:p w14:paraId="04F9FFBB" w14:textId="03CE127C"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92F754E" w14:textId="13A7D320" w:rsidTr="00380533">
        <w:trPr>
          <w:trHeight w:val="285"/>
        </w:trPr>
        <w:tc>
          <w:tcPr>
            <w:tcW w:w="715" w:type="pct"/>
            <w:gridSpan w:val="2"/>
            <w:shd w:val="clear" w:color="auto" w:fill="auto"/>
            <w:noWrap/>
            <w:hideMark/>
          </w:tcPr>
          <w:p w14:paraId="65622A01" w14:textId="79334CB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Hobbs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{"citationID":"aq2rdpktmk","properties":{"formattedCitation":"(89)","plainCitation":"(89)","noteIndex":0},"citationItems":[{"id":17176,"uris":["http://zotero.org/groups/2477744/items/ESIA5YAZ"],"itemData":{"id":17176,"type":"article-journal","abstract":"Regulatory changes proposed by the US Department of Agriculture in 1994 promised to bring progressive changes to school meals. However, lobbying by interest groups resulted in substantial changes to the final rule. This analysis retrospectively examines the federal school meals policy-making process during 1992 to 1996. Key questions address why the policy changed and what the role of interest groups was in affecting the shape, pace, and direction of the policy. The study provides suggestions for using the experiences of 1992 to 1996 to guide future advocacy efforts and for adapting the approach for application to other food and nutrition policies.","container-title":"Journal of Nutrition Education and Behavior","DOI":"10.1016/S1499-4046(06)60139-5","issue":"2","journalAbbreviation":"Journal of Nutrition Education and Behavior","page":"90-98","title":"Analysis of interest group influence on federal school meals regulations 1992 to 1996","URL":"https://www.scopus.com/inward/record.uri?eid=2-s2.0-1942535021&amp;doi=10.1016%2fS1499-4046%2806%2960139-5&amp;partnerID=40&amp;md5=a2c1417fbeaaf03152893573849834d9","volume":"36","author":[{"family":"Hobbs","given":"S.H."},{"family":"Ricketts","given":"T.C."},{"family":"Dodds","given":"J.M."},{"family":"Milio","given":"N."}],"issued":{"date-parts":[["2004"]]}}}],"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(89)</w:t>
            </w:r>
            <w:r w:rsidRPr="00A61595">
              <w:rPr>
                <w:rFonts w:ascii="Arial" w:eastAsia="Times New Roman" w:hAnsi="Arial" w:cs="Arial"/>
                <w:sz w:val="14"/>
                <w:szCs w:val="14"/>
              </w:rPr>
              <w:fldChar w:fldCharType="end"/>
            </w:r>
          </w:p>
        </w:tc>
        <w:tc>
          <w:tcPr>
            <w:tcW w:w="192" w:type="pct"/>
            <w:shd w:val="clear" w:color="auto" w:fill="auto"/>
            <w:noWrap/>
            <w:hideMark/>
          </w:tcPr>
          <w:p w14:paraId="01F2633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2004</w:t>
            </w:r>
          </w:p>
        </w:tc>
        <w:tc>
          <w:tcPr>
            <w:tcW w:w="2869" w:type="pct"/>
            <w:gridSpan w:val="4"/>
            <w:shd w:val="clear" w:color="auto" w:fill="auto"/>
            <w:noWrap/>
            <w:hideMark/>
          </w:tcPr>
          <w:p w14:paraId="0A39744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process of federal school meals policy making from 1992 to 1996</w:t>
            </w:r>
          </w:p>
        </w:tc>
        <w:tc>
          <w:tcPr>
            <w:tcW w:w="318" w:type="pct"/>
          </w:tcPr>
          <w:p w14:paraId="285B2F52" w14:textId="2E9A5A50"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4D331536" w14:textId="7287789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BC189D7" w14:textId="522933C8" w:rsidR="000B21B4" w:rsidRPr="00A61595" w:rsidRDefault="000B21B4" w:rsidP="00380533">
            <w:pPr>
              <w:rPr>
                <w:rFonts w:ascii="Arial" w:hAnsi="Arial" w:cs="Arial"/>
                <w:sz w:val="14"/>
                <w:szCs w:val="14"/>
              </w:rPr>
            </w:pPr>
            <w:r w:rsidRPr="00A61595">
              <w:rPr>
                <w:rFonts w:ascii="Arial" w:hAnsi="Arial" w:cs="Arial"/>
                <w:color w:val="000000"/>
                <w:sz w:val="14"/>
                <w:szCs w:val="14"/>
              </w:rPr>
              <w:t>d, f, h</w:t>
            </w:r>
          </w:p>
        </w:tc>
        <w:tc>
          <w:tcPr>
            <w:tcW w:w="229" w:type="pct"/>
          </w:tcPr>
          <w:p w14:paraId="0AD1D30D" w14:textId="11B46915"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AD1C28D" w14:textId="513013E8" w:rsidTr="00380533">
        <w:trPr>
          <w:trHeight w:val="285"/>
        </w:trPr>
        <w:tc>
          <w:tcPr>
            <w:tcW w:w="715" w:type="pct"/>
            <w:gridSpan w:val="2"/>
            <w:shd w:val="clear" w:color="auto" w:fill="auto"/>
            <w:noWrap/>
            <w:hideMark/>
          </w:tcPr>
          <w:p w14:paraId="0CB4082E" w14:textId="6C4E4EC1"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Hoff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{"citationID":"a1hujou7omr","properties":{"formattedCitation":"(90)","plainCitation":"(90)","noteIndex":0},"citationItems":[{"id":18716,"uris":["http://zotero.org/groups/2477744/items/Z4Q3GWVH"],"itemData":{"id":18716,"type":"article-journal","abstract":"In this article we challenge Kurzer and Cooper's claim that the industry was able to get its way in the Food Information to Consumers Regulation by successfully lobbying the European Parliament and benefiting from an industry-friendly rapporteur. We scrutinize their findings through a comprehensive analysis of all amendments tabled in the environmental committee at first reading and a process tracing of the 12 most salient issues. Our results indicate a rather balanced rapporteur and show that both the ENVI committee and the plenary EP changed the regulation in favour of consumer interests on a significant number of points, with key victories for the industry being the result of pressure from the Council, not from the European Parliament. We explain these results on the basis of earlier work examining the role-behaviour of rapporteurs and the functioning of Parliament committees. © 2015 Taylor &amp; Francis.","container-title":"Journal of European Public Policy","DOI":"10.1080/13501763.2015.1051095","issue":"2","journalAbbreviation":"Journal of European Public Policy","page":"296-313","title":"A biased rapporteur or politics as usual? Reassessing the balance of interests in the EU food information labelling case","URL":"https://www.scopus.com/inward/record.uri?eid=2-s2.0-84955215768&amp;doi=10.1080%2f13501763.2015.1051095&amp;partnerID=40&amp;md5=b7b8d8c41e90f8718134c803d6980363","volume":"23","author":[{"family":"Hoff","given":"A."},{"family":"Lelieveldt","given":"H."},{"family":"Does","given":"R.","non-dropping-particle":"van der"}],"issued":{"date-parts":[["2016"]]}}}],"schema":"https://github.com/citation-style-language/schema/raw/master/csl-citation.json"}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(90)</w:t>
            </w:r>
            <w:r w:rsidRPr="00A61595">
              <w:rPr>
                <w:rFonts w:ascii="Arial" w:eastAsia="Times New Roman" w:hAnsi="Arial" w:cs="Arial"/>
                <w:sz w:val="14"/>
                <w:szCs w:val="14"/>
              </w:rPr>
              <w:fldChar w:fldCharType="end"/>
            </w:r>
          </w:p>
        </w:tc>
        <w:tc>
          <w:tcPr>
            <w:tcW w:w="192" w:type="pct"/>
            <w:shd w:val="clear" w:color="auto" w:fill="auto"/>
            <w:noWrap/>
            <w:hideMark/>
          </w:tcPr>
          <w:p w14:paraId="71AA943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0C97137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Reassessing the balance of interests in the EU food information labelling case</w:t>
            </w:r>
          </w:p>
        </w:tc>
        <w:tc>
          <w:tcPr>
            <w:tcW w:w="318" w:type="pct"/>
          </w:tcPr>
          <w:p w14:paraId="3C789DD9" w14:textId="2300F5A6"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7A4C5D41" w14:textId="76DC9FB8" w:rsidR="000B21B4" w:rsidRPr="00A61595" w:rsidRDefault="000B21B4" w:rsidP="00380533">
            <w:pPr>
              <w:rPr>
                <w:rFonts w:ascii="Arial" w:hAnsi="Arial" w:cs="Arial"/>
                <w:sz w:val="14"/>
                <w:szCs w:val="14"/>
              </w:rPr>
            </w:pPr>
            <w:r w:rsidRPr="00A61595">
              <w:rPr>
                <w:rFonts w:ascii="Arial" w:hAnsi="Arial" w:cs="Arial"/>
                <w:color w:val="000000"/>
                <w:sz w:val="14"/>
                <w:szCs w:val="14"/>
              </w:rPr>
              <w:t>NA</w:t>
            </w:r>
          </w:p>
        </w:tc>
        <w:tc>
          <w:tcPr>
            <w:tcW w:w="371" w:type="pct"/>
          </w:tcPr>
          <w:p w14:paraId="5EA27522" w14:textId="08E83B73" w:rsidR="000B21B4" w:rsidRPr="00A61595" w:rsidRDefault="000B21B4" w:rsidP="00380533">
            <w:pPr>
              <w:rPr>
                <w:rFonts w:ascii="Arial" w:hAnsi="Arial" w:cs="Arial"/>
                <w:sz w:val="14"/>
                <w:szCs w:val="14"/>
              </w:rPr>
            </w:pPr>
            <w:r w:rsidRPr="00A61595">
              <w:rPr>
                <w:rFonts w:ascii="Arial" w:hAnsi="Arial" w:cs="Arial"/>
                <w:color w:val="000000"/>
                <w:sz w:val="14"/>
                <w:szCs w:val="14"/>
              </w:rPr>
              <w:t>NA</w:t>
            </w:r>
          </w:p>
        </w:tc>
        <w:tc>
          <w:tcPr>
            <w:tcW w:w="229" w:type="pct"/>
          </w:tcPr>
          <w:p w14:paraId="19747032" w14:textId="503D69F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67A32291" w14:textId="5F16211C" w:rsidTr="00380533">
        <w:trPr>
          <w:trHeight w:val="285"/>
        </w:trPr>
        <w:tc>
          <w:tcPr>
            <w:tcW w:w="715" w:type="pct"/>
            <w:gridSpan w:val="2"/>
            <w:shd w:val="clear" w:color="auto" w:fill="auto"/>
            <w:noWrap/>
            <w:hideMark/>
          </w:tcPr>
          <w:p w14:paraId="7C214F4B" w14:textId="31B26EF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Holden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{"citationID":"ap4maejmbm","properties":{"formattedCitation":"(91)","plainCitation":"(91)","noteIndex":0},"citationItems":[{"id":17122,"uris":["http://zotero.org/groups/2477744/items/9QPUNFUI"],"itemData":{"id":17122,"type":"article-journal","abstract":"Malawi has over the last 6 years embarked on a comprehensive targeted fertilizer and seed subsidy program to boost its agricultural production and to enhance household and national food security. The program aims to target coupons for purchase of subsidized fertilizers and seeds to poor rural households. This study provides evidence on the extent of leakages of coupons and fertilizers and the targeting efficiency of the program. While the program enhances food production and food security, it does not target the poor better than a program that distributes inputs randomly and corruption, and targeting errors lead to local frustration and conflicts. The same basic problems of establishing a credible population base, developing clear targeting criteria, establishing a system for beneficiary selection and targeting, leakages of coupons higher up in the system, cost-efficient import and timely distribution of the inputs, and illegal markets for coupons and fertilizers were as serious during our study (2007-2009) as during the Starter Pack program and Targeted Inputs Program (1998-2003). Corruption appears to be the elephant in the room in the negotiations between donors and the Government of Malawi about how to set higher standards such as transparency and accountability at all levels of the program. Reprinted by permission of Norwegian Institute of International Affairs","archive_location":"1316052319; 4415989","container-title":"Forum for development studies","DOI":"10.1080/08039410.2012.688858","issue":"1","journalAbbreviation":"Forum for development studies","page":"1-25","title":"Who benefit from Malawi's targeted farm input subsidy program?","URL":"http://ezproxy.library.yorku.ca/login?url=https://search.proquest.com/docview/1316052319?accountid=15182","volume":"40","author":[{"family":"Holden","given":"Stein T"},{"family":"Lunduka","given":"Rodney W"}],"issued":{"date-parts":[["2013"]]}}}],"schema":"https://github.com/citation-style-language/schema/raw/master/csl-citation.json"}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(91)</w:t>
            </w:r>
            <w:r w:rsidRPr="00A61595">
              <w:rPr>
                <w:rFonts w:ascii="Arial" w:eastAsia="Times New Roman" w:hAnsi="Arial" w:cs="Arial"/>
                <w:sz w:val="14"/>
                <w:szCs w:val="14"/>
              </w:rPr>
              <w:fldChar w:fldCharType="end"/>
            </w:r>
          </w:p>
        </w:tc>
        <w:tc>
          <w:tcPr>
            <w:tcW w:w="192" w:type="pct"/>
            <w:shd w:val="clear" w:color="auto" w:fill="auto"/>
            <w:noWrap/>
            <w:hideMark/>
          </w:tcPr>
          <w:p w14:paraId="24EBF9A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2013</w:t>
            </w:r>
          </w:p>
        </w:tc>
        <w:tc>
          <w:tcPr>
            <w:tcW w:w="2869" w:type="pct"/>
            <w:gridSpan w:val="4"/>
            <w:shd w:val="clear" w:color="auto" w:fill="auto"/>
            <w:noWrap/>
            <w:hideMark/>
          </w:tcPr>
          <w:p w14:paraId="2440DE7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extent of leakages in a targeted fertilizer and seed subsidy program</w:t>
            </w:r>
          </w:p>
        </w:tc>
        <w:tc>
          <w:tcPr>
            <w:tcW w:w="318" w:type="pct"/>
          </w:tcPr>
          <w:p w14:paraId="6F0111DA" w14:textId="22D024B1"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06" w:type="pct"/>
          </w:tcPr>
          <w:p w14:paraId="1716BA81" w14:textId="261C57B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5DFDA653" w14:textId="285EEBC4"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66E2B895" w14:textId="5C878C94" w:rsidR="000B21B4" w:rsidRPr="00A61595" w:rsidRDefault="000B21B4" w:rsidP="00380533">
            <w:pPr>
              <w:rPr>
                <w:rFonts w:ascii="Arial" w:hAnsi="Arial" w:cs="Arial"/>
                <w:sz w:val="14"/>
                <w:szCs w:val="14"/>
              </w:rPr>
            </w:pPr>
            <w:r w:rsidRPr="00A61595">
              <w:rPr>
                <w:rFonts w:ascii="Arial" w:hAnsi="Arial" w:cs="Arial"/>
                <w:color w:val="000000"/>
                <w:sz w:val="14"/>
                <w:szCs w:val="14"/>
              </w:rPr>
              <w:t>a, g</w:t>
            </w:r>
          </w:p>
        </w:tc>
      </w:tr>
      <w:tr w:rsidR="000B21B4" w:rsidRPr="00A61595" w14:paraId="7751319E" w14:textId="5728E374" w:rsidTr="00380533">
        <w:trPr>
          <w:trHeight w:val="285"/>
        </w:trPr>
        <w:tc>
          <w:tcPr>
            <w:tcW w:w="715" w:type="pct"/>
            <w:gridSpan w:val="2"/>
            <w:shd w:val="clear" w:color="auto" w:fill="auto"/>
            <w:noWrap/>
            <w:hideMark/>
          </w:tcPr>
          <w:p w14:paraId="7871FC60" w14:textId="497FE91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Hossain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{"citationID":"a1035dvhlua","properties":{"formattedCitation":"(92)","plainCitation":"(92)","noteIndex":0},"citationItems":[{"id":17177,"uris":["http://zotero.org/groups/2477744/items/RKRTIDA2"],"itemData":{"id":17177,"type":"article-journal","abstract":"The wave of food riots since 2007 revived interest in why people protest in periods of dearth, yet research has to date failed to make sense of the political cultures of food protests. The concept of the moral economy in European history is explored here to make sense of contemporary political perspectives on how food markets should work in Bangladesh, Indonesia, Kenya and Zambia. The concrete expressions of these moral economies are localized and politically contingent, yet there are broad areas of common ground across settings. As with the moral economies of seventeenth- and eighteenth-century Europe, there is strong popular feeling against speculation and collusion in food markets in times of dearth, and an emphasis on the responsibilities of public authorities to act. But whereas the moral economy in European histories focused on customary paternalistic obligations, the contemporary emphasis is on formal and electoral accountabilities as a means of triggering public action. The paper concludes with a discussion of a research agenda on the moral economy and the politics of provisions in globalised present-day food markets. © 2014 Taylor &amp; Francis.","container-title":"Journal of Peasant Studies","DOI":"10.1080/03066150.2014.895328","issue":"5","journalAbbreviation":"Journal of Peasant Studies","page":"815-831","title":"Moral economy in a global era: the politics of provisions during contemporary food price spikes","URL":"https://www.scopus.com/inward/record.uri?eid=2-s2.0-84907576066&amp;doi=10.1080%2f03066150.2014.895328&amp;partnerID=40&amp;md5=1f615622a02d98ed10431c9d4ea3813c","volume":"41","author":[{"family":"Hossain","given":"N."},{"family":"Kalita","given":"D."}],"issued":{"date-parts":[["2014"]]}}}],"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(92)</w:t>
            </w:r>
            <w:r w:rsidRPr="00A61595">
              <w:rPr>
                <w:rFonts w:ascii="Arial" w:eastAsia="Times New Roman" w:hAnsi="Arial" w:cs="Arial"/>
                <w:sz w:val="14"/>
                <w:szCs w:val="14"/>
              </w:rPr>
              <w:fldChar w:fldCharType="end"/>
            </w:r>
          </w:p>
        </w:tc>
        <w:tc>
          <w:tcPr>
            <w:tcW w:w="192" w:type="pct"/>
            <w:shd w:val="clear" w:color="auto" w:fill="auto"/>
            <w:noWrap/>
            <w:hideMark/>
          </w:tcPr>
          <w:p w14:paraId="47EBD7B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2014</w:t>
            </w:r>
          </w:p>
        </w:tc>
        <w:tc>
          <w:tcPr>
            <w:tcW w:w="2869" w:type="pct"/>
            <w:gridSpan w:val="4"/>
            <w:shd w:val="clear" w:color="auto" w:fill="auto"/>
            <w:noWrap/>
            <w:hideMark/>
          </w:tcPr>
          <w:p w14:paraId="5BB2D98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politics of provisions during contemporary food price spikes</w:t>
            </w:r>
          </w:p>
        </w:tc>
        <w:tc>
          <w:tcPr>
            <w:tcW w:w="318" w:type="pct"/>
          </w:tcPr>
          <w:p w14:paraId="56AAC33D" w14:textId="12EFB96F" w:rsidR="000B21B4" w:rsidRPr="00A61595" w:rsidRDefault="000B21B4" w:rsidP="00380533">
            <w:pPr>
              <w:rPr>
                <w:rFonts w:ascii="Arial" w:hAnsi="Arial" w:cs="Arial"/>
                <w:sz w:val="14"/>
                <w:szCs w:val="14"/>
              </w:rPr>
            </w:pPr>
            <w:r w:rsidRPr="00A61595">
              <w:rPr>
                <w:rFonts w:ascii="Arial" w:hAnsi="Arial" w:cs="Arial"/>
                <w:color w:val="000000"/>
                <w:sz w:val="14"/>
                <w:szCs w:val="14"/>
              </w:rPr>
              <w:t>a, d</w:t>
            </w:r>
          </w:p>
        </w:tc>
        <w:tc>
          <w:tcPr>
            <w:tcW w:w="306" w:type="pct"/>
          </w:tcPr>
          <w:p w14:paraId="7010DCCA" w14:textId="11A98602"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51F32539" w14:textId="2F86B46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f, h, </w:t>
            </w:r>
            <w:proofErr w:type="spellStart"/>
            <w:r w:rsidRPr="00A61595">
              <w:rPr>
                <w:rFonts w:ascii="Arial" w:hAnsi="Arial" w:cs="Arial"/>
                <w:color w:val="000000"/>
                <w:sz w:val="14"/>
                <w:szCs w:val="14"/>
              </w:rPr>
              <w:t>i</w:t>
            </w:r>
            <w:proofErr w:type="spellEnd"/>
          </w:p>
        </w:tc>
        <w:tc>
          <w:tcPr>
            <w:tcW w:w="229" w:type="pct"/>
          </w:tcPr>
          <w:p w14:paraId="77E7CEA6" w14:textId="5DC467D4" w:rsidR="000B21B4" w:rsidRPr="00A61595" w:rsidRDefault="000B21B4" w:rsidP="00380533">
            <w:pPr>
              <w:rPr>
                <w:rFonts w:ascii="Arial" w:hAnsi="Arial" w:cs="Arial"/>
                <w:sz w:val="14"/>
                <w:szCs w:val="14"/>
              </w:rPr>
            </w:pPr>
            <w:r w:rsidRPr="00A61595">
              <w:rPr>
                <w:rFonts w:ascii="Arial" w:hAnsi="Arial" w:cs="Arial"/>
                <w:color w:val="000000"/>
                <w:sz w:val="14"/>
                <w:szCs w:val="14"/>
              </w:rPr>
              <w:t>a, d, g</w:t>
            </w:r>
          </w:p>
        </w:tc>
      </w:tr>
      <w:tr w:rsidR="000B21B4" w:rsidRPr="00A61595" w14:paraId="60A9D830" w14:textId="52D00CA0" w:rsidTr="00380533">
        <w:trPr>
          <w:trHeight w:val="285"/>
        </w:trPr>
        <w:tc>
          <w:tcPr>
            <w:tcW w:w="715" w:type="pct"/>
            <w:gridSpan w:val="2"/>
            <w:shd w:val="clear" w:color="auto" w:fill="auto"/>
            <w:noWrap/>
            <w:hideMark/>
          </w:tcPr>
          <w:p w14:paraId="00E95F1B" w14:textId="35DFE6E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Hunt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{"citationID":"a3k777n1ls","properties":{"formattedCitation":"(93)","plainCitation":"(93)","noteIndex":0},"citationItems":[{"id":17180,"uris":["http://zotero.org/groups/2477744/items/LAZGAS8S"],"itemData":{"id":17180,"type":"article-journal","abstract":"Abstract Objective: To understand if, and how, Australian ultra-processed food industry actors use Twitter to influence food and health policy debates and produce a conceptual framework to describe such influence. Design: Twitter data of prominent industry actors were defined through purposive sampling and inductively coded to investigate possible influence on food and health policy debates. These are described using descriptive statistics and coded extracts. Setting: Australia. Participants: Twitter accounts of nine prominent ultra-processed food industry actors, including major trade associations. Results: Ultra-processed food industry actors actively used Twitter to influence food and health policy debates. Seven overarching strategies were identified: co-opting public health narratives; opposing regulation; supporting voluntary, co- or self-regulation; engaging policy processes and decision-makers; linking regulatory environments to the need for ongoing profitability; affecting public perceptions and value judgements; and using ignorance claims to distort policy narratives. Each lobbying strategy is underpinned with tactics described throughout and captured in a framework. Conclusions: The current study creates a framework to monitor how food industry actors can use social media to influence food and health policy debates. As such, social media appears to be not only an important commercial determinant of health for brand marketing, but also an extension of lobbying practices to reshape public perceptions of corporate conduct and policy-making. ©","container-title":"Public Health Nutrition","DOI":"10.1017/S1368980020003353","issue":"10","journalAbbreviation":"Public Health Nutrition","page":"3124-3135","title":"How food companies use social media to influence policy debates: A framework of Australian ultra-processed food industry Twitter data","URL":"https://www.scopus.com/inward/record.uri?eid=2-s2.0-85097259639&amp;doi=10.1017%2fS1368980020003353&amp;partnerID=40&amp;md5=adae9f623965eb2b277afec27e2430ff","volume":"24","author":[{"family":"Hunt","given":"D."}],"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(93)</w:t>
            </w:r>
            <w:r w:rsidRPr="00A61595">
              <w:rPr>
                <w:rFonts w:ascii="Arial" w:eastAsia="Times New Roman" w:hAnsi="Arial" w:cs="Arial"/>
                <w:sz w:val="14"/>
                <w:szCs w:val="14"/>
              </w:rPr>
              <w:fldChar w:fldCharType="end"/>
            </w:r>
          </w:p>
        </w:tc>
        <w:tc>
          <w:tcPr>
            <w:tcW w:w="192" w:type="pct"/>
            <w:shd w:val="clear" w:color="auto" w:fill="auto"/>
            <w:noWrap/>
            <w:hideMark/>
          </w:tcPr>
          <w:p w14:paraId="13F24715"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4D0C01B2" w14:textId="28626B6C"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Ultra-processed food industry</w:t>
            </w:r>
            <w:r w:rsidR="00362BF4">
              <w:rPr>
                <w:rFonts w:ascii="Arial" w:eastAsia="Times New Roman" w:hAnsi="Arial" w:cs="Arial"/>
                <w:color w:val="000000" w:themeColor="text1"/>
                <w:sz w:val="14"/>
                <w:szCs w:val="14"/>
              </w:rPr>
              <w:t>’</w:t>
            </w:r>
            <w:r w:rsidRPr="00A61595">
              <w:rPr>
                <w:rFonts w:ascii="Arial" w:eastAsia="Times New Roman" w:hAnsi="Arial" w:cs="Arial"/>
                <w:color w:val="000000" w:themeColor="text1"/>
                <w:sz w:val="14"/>
                <w:szCs w:val="14"/>
              </w:rPr>
              <w:t>s use of Twitter to influence food and health policy debates</w:t>
            </w:r>
          </w:p>
        </w:tc>
        <w:tc>
          <w:tcPr>
            <w:tcW w:w="318" w:type="pct"/>
          </w:tcPr>
          <w:p w14:paraId="12814373" w14:textId="13D3944B"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040546C8" w14:textId="36ECB459"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59791C61" w14:textId="31CF8F87" w:rsidR="000B21B4" w:rsidRPr="00A61595" w:rsidRDefault="000B21B4" w:rsidP="00380533">
            <w:pPr>
              <w:rPr>
                <w:rFonts w:ascii="Arial" w:hAnsi="Arial" w:cs="Arial"/>
                <w:sz w:val="14"/>
                <w:szCs w:val="14"/>
              </w:rPr>
            </w:pPr>
            <w:r w:rsidRPr="00A61595">
              <w:rPr>
                <w:rFonts w:ascii="Arial" w:hAnsi="Arial" w:cs="Arial"/>
                <w:color w:val="000000"/>
                <w:sz w:val="14"/>
                <w:szCs w:val="14"/>
              </w:rPr>
              <w:t>a, f, h</w:t>
            </w:r>
          </w:p>
        </w:tc>
        <w:tc>
          <w:tcPr>
            <w:tcW w:w="229" w:type="pct"/>
          </w:tcPr>
          <w:p w14:paraId="16429826" w14:textId="02C1F5AE"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89FAC57" w14:textId="65FABA33" w:rsidTr="00380533">
        <w:trPr>
          <w:trHeight w:val="285"/>
        </w:trPr>
        <w:tc>
          <w:tcPr>
            <w:tcW w:w="715" w:type="pct"/>
            <w:gridSpan w:val="2"/>
            <w:shd w:val="clear" w:color="auto" w:fill="auto"/>
            <w:noWrap/>
            <w:hideMark/>
          </w:tcPr>
          <w:p w14:paraId="6ED79110" w14:textId="3267A1A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Hu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{"citationID":"aiavf3ujsb","properties":{"formattedCitation":"(94)","plainCitation":"(94)","noteIndex":0},"citationItems":[{"id":17178,"uris":["http://zotero.org/groups/2477744/items/CUQHY2SY"],"itemData":{"id":17178,"type":"article-journal","abstract":"Since the 1990s, agricultural cooperatives—particularly what China calls Farmers’ Specialized Cooperatives—have experienced rapid expansion in China. After more than two decades of growth and policy support, what is the overall performance of the ever-increasing numbers of these cooperatives? We visited 50 cooperatives across the country, most of which had officially been lauded as successful, to make a first-hand evaluation of their overall status and performance. We argue that, judging by either international or Chinese standards, the vast majority of these agricultural cooperatives are not authentic and fail to deliver expected benefits to smallholders. We categorize them into five types: genuine cooperatives, shell cooperatives, de facto private agribusinesses, decooperativized cooperatives, and failed cooperatives. Four barriers impede the long-term prospects of authentic cooperatives: social differentiation, lack of trust, unpredictable markets, and poor policy design and implementation. © 2017 by The Australian National University. All rights reserved.","container-title":"China Journal","DOI":"10.1086/691786","journalAbbreviation":"China Journal","title":"Farmers’ cooperatives in china: A typology of fraud and failure","URL":"https://www.scopus.com/inward/record.uri?eid=2-s2.0-85032263418&amp;doi=10.1086%2f691786&amp;partnerID=40&amp;md5=b9f43af487ced8df69af6d65e0e1158f","volume":"78","author":[{"family":"Hu","given":"Z."},{"family":"Zhang","given":"Q.F."},{"family":"Donaldson","given":"J.A."}],"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(94)</w:t>
            </w:r>
            <w:r w:rsidRPr="00A61595">
              <w:rPr>
                <w:rFonts w:ascii="Arial" w:eastAsia="Times New Roman" w:hAnsi="Arial" w:cs="Arial"/>
                <w:sz w:val="14"/>
                <w:szCs w:val="14"/>
              </w:rPr>
              <w:fldChar w:fldCharType="end"/>
            </w:r>
          </w:p>
        </w:tc>
        <w:tc>
          <w:tcPr>
            <w:tcW w:w="192" w:type="pct"/>
            <w:shd w:val="clear" w:color="auto" w:fill="auto"/>
            <w:noWrap/>
            <w:hideMark/>
          </w:tcPr>
          <w:p w14:paraId="5EE4F4A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4556A90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development processes, causes, and impacts of the agricultural cooperatives</w:t>
            </w:r>
          </w:p>
        </w:tc>
        <w:tc>
          <w:tcPr>
            <w:tcW w:w="318" w:type="pct"/>
          </w:tcPr>
          <w:p w14:paraId="5EC613E4" w14:textId="676C15E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6FF5E8BE" w14:textId="38911CCE"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7EEB5D6" w14:textId="320AD52A" w:rsidR="000B21B4" w:rsidRPr="00A61595" w:rsidRDefault="000B21B4" w:rsidP="00380533">
            <w:pPr>
              <w:rPr>
                <w:rFonts w:ascii="Arial" w:hAnsi="Arial" w:cs="Arial"/>
                <w:sz w:val="14"/>
                <w:szCs w:val="14"/>
              </w:rPr>
            </w:pPr>
            <w:r w:rsidRPr="00A61595">
              <w:rPr>
                <w:rFonts w:ascii="Arial" w:hAnsi="Arial" w:cs="Arial"/>
                <w:color w:val="000000"/>
                <w:sz w:val="14"/>
                <w:szCs w:val="14"/>
              </w:rPr>
              <w:t>d, f</w:t>
            </w:r>
          </w:p>
        </w:tc>
        <w:tc>
          <w:tcPr>
            <w:tcW w:w="229" w:type="pct"/>
          </w:tcPr>
          <w:p w14:paraId="2BC2B37A" w14:textId="64A08D4A"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7B2E7BF" w14:textId="7E593256" w:rsidTr="00380533">
        <w:trPr>
          <w:trHeight w:val="285"/>
        </w:trPr>
        <w:tc>
          <w:tcPr>
            <w:tcW w:w="715" w:type="pct"/>
            <w:gridSpan w:val="2"/>
            <w:shd w:val="clear" w:color="auto" w:fill="auto"/>
            <w:noWrap/>
            <w:hideMark/>
          </w:tcPr>
          <w:p w14:paraId="10A358EE" w14:textId="3D62F4F2"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Ibrahim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{"citationID":"a1c60padpaf","properties":{"formattedCitation":"(95)","plainCitation":"(95)","noteIndex":0},"citationItems":[{"id":17072,"uris":["http://zotero.org/groups/2477744/items/YAGLZWWW"],"itemData":{"id":17072,"type":"article-journal","abstract":"Agriculture is the major component of the rural economy in Katsina State. Livestock production is a major component of agricultural activities practised there and is a source of income and a form of security for farmers. Increasing attacks by cattle rustlers have disrupted the stability that had been enjoyed by pastoralists in rural communities within the State. This study investigates the prospect of adopting community cattle ranches and radio frequency identification (RFID) as strategies for containing cattle rustling. Primary data were sourced via structured questionnaires and dichotomous dependent variable models in the form of probit and logit were used. Siting cattle ranches near rural communities is an important determinant for community acceptance of a cattle ranch, while fees as well as ranch sanitation levels would have significant effects on pastoralist decisions to use group ranch schemes. On the other hand, occupation, number of cattle rustled and education are significant factors in determining the use of RFID. There is growing scepticism over the cruelty in the military approach embarked upon by the current administration in combating cattle rustling, which seems analogous to the intervention used to combat the rise of the Boko Haram insurgency in Nigeria. Therefore, the time is ripe for the government to generate participatory policies whereby consultations should take centre stage in finding solutions to livestock theft. Relevant authorities should urgently build ranches in rural communities, while RFID will be vital to track livestock movement, which will ensure precision for the timely identification of stolen livestock.","container-title":"PASTORALISM-RESEARCH POLICY AND PRACTICE","DOI":"10.1186/s13570-016-0055-z","journalAbbreviation":"PASTORALISM-RESEARCH POLICY AND PRACTICE","title":"Building of a community cattle ranch and radio frequency identification (RFID) technology as alternative methods of curtailing cattle rustling in Katsina State","volume":"6","author":[{"family":"Ibrahim","given":"Saifullahi Sani"},{"family":"Ibrahim","given":"A"},{"family":"Allah","given":"Abdelrasq Na"},{"family":"Saulawa","given":"Lawal Abdu"}],"issued":{"date-parts":[["2016"]]}}}],"schema":"https://github.com/citation-style-language/schema/raw/master/csl-citation.json"}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(95)</w:t>
            </w:r>
            <w:r w:rsidRPr="00A61595">
              <w:rPr>
                <w:rFonts w:ascii="Arial" w:eastAsia="Times New Roman" w:hAnsi="Arial" w:cs="Arial"/>
                <w:sz w:val="14"/>
                <w:szCs w:val="14"/>
              </w:rPr>
              <w:fldChar w:fldCharType="end"/>
            </w:r>
          </w:p>
        </w:tc>
        <w:tc>
          <w:tcPr>
            <w:tcW w:w="192" w:type="pct"/>
            <w:shd w:val="clear" w:color="auto" w:fill="auto"/>
            <w:noWrap/>
            <w:hideMark/>
          </w:tcPr>
          <w:p w14:paraId="6597555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2FF5E73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Adopting community cattle ranches and radio frequency identification as strategies for containing cattle rustling</w:t>
            </w:r>
          </w:p>
        </w:tc>
        <w:tc>
          <w:tcPr>
            <w:tcW w:w="318" w:type="pct"/>
          </w:tcPr>
          <w:p w14:paraId="3EED0102" w14:textId="2E85CFB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254C75A2" w14:textId="5E7E9FFB"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01497B68" w14:textId="3ACC4DBB"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c>
          <w:tcPr>
            <w:tcW w:w="229" w:type="pct"/>
          </w:tcPr>
          <w:p w14:paraId="7B0FF70E" w14:textId="4ACEC7D7"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r>
      <w:tr w:rsidR="000B21B4" w:rsidRPr="00A61595" w14:paraId="66EFCEC6" w14:textId="79D552D3" w:rsidTr="00380533">
        <w:trPr>
          <w:trHeight w:val="285"/>
        </w:trPr>
        <w:tc>
          <w:tcPr>
            <w:tcW w:w="715" w:type="pct"/>
            <w:gridSpan w:val="2"/>
            <w:shd w:val="clear" w:color="auto" w:fill="auto"/>
            <w:noWrap/>
            <w:hideMark/>
          </w:tcPr>
          <w:p w14:paraId="75712C8D" w14:textId="6E3592CC"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Ingram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{"citationID":"a2kl7nbh92u","properties":{"formattedCitation":"(96)","plainCitation":"(96)","noteIndex":0},"citationItems":[{"id":17082,"uris":["http://zotero.org/groups/2477744/items/848JPIU7"],"itemData":{"id":17082,"type":"article-journal","abstract":"Across the Congo Basin, bush mango (Irvingia spp.) nuts have been harvested from forest landscapes for consumption, sold as a foodstuff and for medicine for centuries. Data on this trade however are sparse. A value chain approach was used to gather information on stakeholders in the chain from the harvesters in three major production areas in Cameroon to traders in Cameroon, Nigeria, and Equatorial Guinea, the socio-economic values, environmental sustainability and governance. Around 5190 people work in the complex chain in Cameroon with an estimated 4109 tons harvested on average annually in the period 2007 to 2010. Bush mango incomes contribute on average to 31% of harvester's annual incomes and dependence increases for those further from the forest Customary rules govern access to resources. Although regulations exist, most trade is illegal, with corruption and collective action governing access to markets. The majority of nuts harvested are sustainably collected. Although 51% of the harvest is sourced from the forest, trees are also managed on cultivated land. Forest degradation and deforestation threaten the species. Policy measures such as linking stakeholders, promoting cultivation, pragmatic regulation, and supporting processer groups may make trade in this forest food more sustainable. (C) 2016 Elsevier B.V. All rights reserved.","container-title":"FOREST POLICY AND ECONOMICS","DOI":"10.1016/j.forpol.2016.12.014","issue":"SI","journalAbbreviation":"FOREST POLICY AND ECONOMICS","page":"29-37","title":"Challenges to governing sustainable forest food: &amp;ITIrvingia&amp;IT spp. from southern Cameroon","volume":"84","author":[{"family":"Ingram","given":"Verina"},{"family":"Ewane","given":"Marcus"},{"family":"Ndumbe","given":"Louis Njie"},{"family":"Awono","given":"Abdon"}],"issued":{"date-parts":[["2017"]]}}}],"schema":"https://github.com/citation-style-language/schema/raw/master/csl-citation.json"}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(96)</w:t>
            </w:r>
            <w:r w:rsidRPr="00A61595">
              <w:rPr>
                <w:rFonts w:ascii="Arial" w:eastAsia="Times New Roman" w:hAnsi="Arial" w:cs="Arial"/>
                <w:sz w:val="14"/>
                <w:szCs w:val="14"/>
              </w:rPr>
              <w:fldChar w:fldCharType="end"/>
            </w:r>
          </w:p>
        </w:tc>
        <w:tc>
          <w:tcPr>
            <w:tcW w:w="192" w:type="pct"/>
            <w:shd w:val="clear" w:color="auto" w:fill="auto"/>
            <w:noWrap/>
            <w:hideMark/>
          </w:tcPr>
          <w:p w14:paraId="11C716D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790599F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Challenges to governing sustainable forest food</w:t>
            </w:r>
          </w:p>
        </w:tc>
        <w:tc>
          <w:tcPr>
            <w:tcW w:w="318" w:type="pct"/>
          </w:tcPr>
          <w:p w14:paraId="07D7730C" w14:textId="4C05809E"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6F6559B7" w14:textId="0A24122E"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371" w:type="pct"/>
          </w:tcPr>
          <w:p w14:paraId="1E2FB0D4" w14:textId="24DA2DF4" w:rsidR="000B21B4" w:rsidRPr="00A61595" w:rsidRDefault="000B21B4" w:rsidP="00380533">
            <w:pPr>
              <w:rPr>
                <w:rFonts w:ascii="Arial" w:hAnsi="Arial" w:cs="Arial"/>
                <w:sz w:val="14"/>
                <w:szCs w:val="14"/>
              </w:rPr>
            </w:pPr>
            <w:r w:rsidRPr="00A61595">
              <w:rPr>
                <w:rFonts w:ascii="Arial" w:hAnsi="Arial" w:cs="Arial"/>
                <w:color w:val="000000"/>
                <w:sz w:val="14"/>
                <w:szCs w:val="14"/>
              </w:rPr>
              <w:t>e, k</w:t>
            </w:r>
          </w:p>
        </w:tc>
        <w:tc>
          <w:tcPr>
            <w:tcW w:w="229" w:type="pct"/>
          </w:tcPr>
          <w:p w14:paraId="269F657F" w14:textId="6121A8CE"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r>
      <w:tr w:rsidR="000B21B4" w:rsidRPr="00A61595" w14:paraId="7CBEC40E" w14:textId="6355C565" w:rsidTr="00380533">
        <w:trPr>
          <w:trHeight w:val="285"/>
        </w:trPr>
        <w:tc>
          <w:tcPr>
            <w:tcW w:w="715" w:type="pct"/>
            <w:gridSpan w:val="2"/>
            <w:shd w:val="clear" w:color="auto" w:fill="auto"/>
            <w:noWrap/>
            <w:hideMark/>
          </w:tcPr>
          <w:p w14:paraId="18DC777F" w14:textId="6909AAD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Isaacs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{"citationID":"a1d176827bo","properties":{"formattedCitation":"(97)","plainCitation":"(97)","noteIndex":0},"citationItems":[{"id":18723,"uris":["http://zotero.org/groups/2477744/items/DHDQIXXA"],"itemData":{"id":18723,"type":"article-journal","abstract":"Marine fisheries plays an important role in ensuring food security and providing livelihoods in South Africa, as in many other developing coastal States. Transnational fisheries crime seriously undermines these goals. Drawing on empirical research this contribution highlights the complexity of law enforcement at the interface between low-level poaching and organised crime in the small-scale fisheries sector with reference to a South African case study. Specifically, this article examines the relationship between a fisheries-crime law enforcement approach and the envisaged management approach of the South African Small-Scale Fisheries Policy. © 2018 The Authors","container-title":"Marine Policy","DOI":"10.1016/j.marpol.2018.12.023","journalAbbreviation":"Marine Policy","page":"158-168","title":"Fisheries crime, human rights and small-scale fisheries in South Africa: A case of bigger fish to fry","URL":"https://www.scopus.com/inward/record.uri?eid=2-s2.0-85060328735&amp;doi=10.1016%2fj.marpol.2018.12.023&amp;partnerID=40&amp;md5=f9905f8eb9e51a475f25333983630fb1","volume":"105","author":[{"family":"Isaacs","given":"M."},{"family":"Witbooi","given":"E."}],"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(97)</w:t>
            </w:r>
            <w:r w:rsidRPr="00A61595">
              <w:rPr>
                <w:rFonts w:ascii="Arial" w:eastAsia="Times New Roman" w:hAnsi="Arial" w:cs="Arial"/>
                <w:sz w:val="14"/>
                <w:szCs w:val="14"/>
              </w:rPr>
              <w:fldChar w:fldCharType="end"/>
            </w:r>
          </w:p>
        </w:tc>
        <w:tc>
          <w:tcPr>
            <w:tcW w:w="192" w:type="pct"/>
            <w:shd w:val="clear" w:color="auto" w:fill="auto"/>
            <w:noWrap/>
            <w:hideMark/>
          </w:tcPr>
          <w:p w14:paraId="5CE0F66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1DD7D97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Low-level poaching and organized crime in the small-scale fisheries sector </w:t>
            </w:r>
          </w:p>
        </w:tc>
        <w:tc>
          <w:tcPr>
            <w:tcW w:w="318" w:type="pct"/>
          </w:tcPr>
          <w:p w14:paraId="6C82965F" w14:textId="00FED86D"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06" w:type="pct"/>
          </w:tcPr>
          <w:p w14:paraId="68CF9CD1" w14:textId="4BC172B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FBFE3C0" w14:textId="5759A068"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f, h, </w:t>
            </w:r>
            <w:proofErr w:type="spellStart"/>
            <w:r w:rsidRPr="00A61595">
              <w:rPr>
                <w:rFonts w:ascii="Arial" w:hAnsi="Arial" w:cs="Arial"/>
                <w:color w:val="000000"/>
                <w:sz w:val="14"/>
                <w:szCs w:val="14"/>
              </w:rPr>
              <w:t>i</w:t>
            </w:r>
            <w:proofErr w:type="spellEnd"/>
          </w:p>
        </w:tc>
        <w:tc>
          <w:tcPr>
            <w:tcW w:w="229" w:type="pct"/>
          </w:tcPr>
          <w:p w14:paraId="7F91372E" w14:textId="246B8C40"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E18A3C5" w14:textId="4CF03E41" w:rsidTr="00380533">
        <w:trPr>
          <w:trHeight w:val="285"/>
        </w:trPr>
        <w:tc>
          <w:tcPr>
            <w:tcW w:w="715" w:type="pct"/>
            <w:gridSpan w:val="2"/>
            <w:shd w:val="clear" w:color="auto" w:fill="auto"/>
            <w:noWrap/>
            <w:hideMark/>
          </w:tcPr>
          <w:p w14:paraId="3D7449C4" w14:textId="5C691D7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Ismalia</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{"citationID":"a2pcsq22ulf","properties":{"formattedCitation":"(98)","plainCitation":"(98)","noteIndex":0},"citationItems":[{"id":17183,"uris":["http://zotero.org/groups/2477744/items/KVSMC6MY"],"itemData":{"id":17183,"type":"article-journal","abstract":"The determinants of adoption of technologies are mostly focused on socio-economic and demographic characteristics of farmers, overlooking the impact of corruption and preferential treatments (partisanship, nepotism and tribalism). We extend technology adoption predictors to include preferential treatment, and the results are explained with Relative Deprivation Theory. We used survey data collected from participants and nonparticipants of Planting for Food and Jobs (PFJ) programme in 2019. Respondents were rice farmers from three regions (Northern, Savannah and North-East regions) of Northern Ghana. We analysed the data using Systematic Probit Regression model after satisfying variables differential and correlation assumptions. The results revealed that while partisanship and tribalism are significant inverse factors, corruption is an insignificant negative determinant of participation in PFJ. We find nepotism to have a strong positive correlation with participation in PFJ. We recommend that government should plug all the loopholes facilitating corruption and preferential treatment if it intends to increase participation and rice productivity effectively. © 2021","container-title":"Technology in Society","DOI":"10.1016/j.techsoc.2021.101556","journalAbbreviation":"Technology in Society","title":"Exploring relative deprivation theory in the rice industry: Planting for Food and Jobs (PFJ) in northern Ghana","URL":"https://www.scopus.com/inward/record.uri?eid=2-s2.0-85103953469&amp;doi=10.1016%2fj.techsoc.2021.101556&amp;partnerID=40&amp;md5=c4fe92126d20c91af707a37f64800104","volume":"65","author":[{"family":"Ismaila","given":"S."},{"family":"Tanko","given":"M."}],"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(98)</w:t>
            </w:r>
            <w:r w:rsidRPr="00A61595">
              <w:rPr>
                <w:rFonts w:ascii="Arial" w:eastAsia="Times New Roman" w:hAnsi="Arial" w:cs="Arial"/>
                <w:sz w:val="14"/>
                <w:szCs w:val="14"/>
              </w:rPr>
              <w:fldChar w:fldCharType="end"/>
            </w:r>
          </w:p>
        </w:tc>
        <w:tc>
          <w:tcPr>
            <w:tcW w:w="192" w:type="pct"/>
            <w:shd w:val="clear" w:color="auto" w:fill="auto"/>
            <w:noWrap/>
            <w:hideMark/>
          </w:tcPr>
          <w:p w14:paraId="313EC7A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76CFD48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Exploring relative deprivation theory in the rice industry</w:t>
            </w:r>
          </w:p>
        </w:tc>
        <w:tc>
          <w:tcPr>
            <w:tcW w:w="318" w:type="pct"/>
          </w:tcPr>
          <w:p w14:paraId="379116A2" w14:textId="4DFA77D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541E2895" w14:textId="1CD3A0E9"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2407ACE7" w14:textId="7DD0DA84" w:rsidR="000B21B4" w:rsidRPr="00A61595" w:rsidRDefault="000B21B4" w:rsidP="00380533">
            <w:pPr>
              <w:rPr>
                <w:rFonts w:ascii="Arial" w:hAnsi="Arial" w:cs="Arial"/>
                <w:sz w:val="14"/>
                <w:szCs w:val="14"/>
              </w:rPr>
            </w:pPr>
            <w:r w:rsidRPr="00A61595">
              <w:rPr>
                <w:rFonts w:ascii="Arial" w:hAnsi="Arial" w:cs="Arial"/>
                <w:color w:val="000000"/>
                <w:sz w:val="14"/>
                <w:szCs w:val="14"/>
              </w:rPr>
              <w:t>a, f, h</w:t>
            </w:r>
          </w:p>
        </w:tc>
        <w:tc>
          <w:tcPr>
            <w:tcW w:w="229" w:type="pct"/>
          </w:tcPr>
          <w:p w14:paraId="5580EC6A" w14:textId="505BEBEB"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6C1F7776" w14:textId="71767AD9" w:rsidTr="00380533">
        <w:trPr>
          <w:trHeight w:val="285"/>
        </w:trPr>
        <w:tc>
          <w:tcPr>
            <w:tcW w:w="715" w:type="pct"/>
            <w:gridSpan w:val="2"/>
            <w:shd w:val="clear" w:color="auto" w:fill="auto"/>
            <w:noWrap/>
            <w:hideMark/>
          </w:tcPr>
          <w:p w14:paraId="324F91E9" w14:textId="4417AFA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Jacoby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{"citationID":"a2cj48g9bhf","properties":{"formattedCitation":"(99)","plainCitation":"(99)","noteIndex":0},"citationItems":[{"id":18725,"uris":["http://zotero.org/groups/2477744/items/7P6RSHZP"],"itemData":{"id":18725,"type":"article-journal","abstract":"Does decentralizing the allocation of public resources reduce rent-seeking and improve equity? We study a governance reform in Pakistan's vast Indus Basin irrigation system, where corruption is endemic. Using canal discharge measurements across Punjab province from 2006 to 2014, we find that water theft increased on channels taken over by local farmer organizations compared to those that remained bureaucratically managed, reducing agricultural surplus and substantially redistributing wealth from downstream to upstream landowners. Water theft increased by more along channels with relatively larger (more influential) upstream landowners, suggesting that the political-economy context is critical to the success, or lack thereof, of decentralization. © 2021 The World Bank","container-title":"Journal of Public Economics","DOI":"10.1016/j.jpubeco.2021.104499","journalAbbreviation":"Journal of Public Economics","title":"Decentralizing corruption: Irrigation reform in Pakistan","URL":"https://www.scopus.com/inward/record.uri?eid=2-s2.0-85115242790&amp;doi=10.1016%2fj.jpubeco.2021.104499&amp;partnerID=40&amp;md5=dafce1beadd744377a52bb9f23fdbf05","volume":"202","author":[{"family":"Jacoby","given":"H.G."},{"family":"Mansuri","given":"G."},{"family":"Fatima","given":"F."}],"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(99)</w:t>
            </w:r>
            <w:r w:rsidRPr="00A61595">
              <w:rPr>
                <w:rFonts w:ascii="Arial" w:eastAsia="Times New Roman" w:hAnsi="Arial" w:cs="Arial"/>
                <w:sz w:val="14"/>
                <w:szCs w:val="14"/>
              </w:rPr>
              <w:fldChar w:fldCharType="end"/>
            </w:r>
          </w:p>
        </w:tc>
        <w:tc>
          <w:tcPr>
            <w:tcW w:w="192" w:type="pct"/>
            <w:shd w:val="clear" w:color="auto" w:fill="auto"/>
            <w:noWrap/>
            <w:hideMark/>
          </w:tcPr>
          <w:p w14:paraId="319D6D3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11119F7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Governance reform in the Indus Basin watershed canal irrigation system</w:t>
            </w:r>
          </w:p>
        </w:tc>
        <w:tc>
          <w:tcPr>
            <w:tcW w:w="318" w:type="pct"/>
          </w:tcPr>
          <w:p w14:paraId="6953C6EC" w14:textId="05D69BC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E0341BF" w14:textId="15235353"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6DFE1972" w14:textId="074060D0" w:rsidR="000B21B4" w:rsidRPr="00A61595" w:rsidRDefault="000B21B4" w:rsidP="00380533">
            <w:pPr>
              <w:rPr>
                <w:rFonts w:ascii="Arial" w:hAnsi="Arial" w:cs="Arial"/>
                <w:sz w:val="14"/>
                <w:szCs w:val="14"/>
              </w:rPr>
            </w:pPr>
            <w:r w:rsidRPr="00A61595">
              <w:rPr>
                <w:rFonts w:ascii="Arial" w:hAnsi="Arial" w:cs="Arial"/>
                <w:color w:val="000000"/>
                <w:sz w:val="14"/>
                <w:szCs w:val="14"/>
              </w:rPr>
              <w:t>a, f, h</w:t>
            </w:r>
          </w:p>
        </w:tc>
        <w:tc>
          <w:tcPr>
            <w:tcW w:w="229" w:type="pct"/>
          </w:tcPr>
          <w:p w14:paraId="48231B2E" w14:textId="4BCEADE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0BDAF915" w14:textId="52F171EB" w:rsidTr="00380533">
        <w:trPr>
          <w:trHeight w:val="285"/>
        </w:trPr>
        <w:tc>
          <w:tcPr>
            <w:tcW w:w="715" w:type="pct"/>
            <w:gridSpan w:val="2"/>
            <w:shd w:val="clear" w:color="auto" w:fill="auto"/>
            <w:noWrap/>
            <w:hideMark/>
          </w:tcPr>
          <w:p w14:paraId="0E36E4E7" w14:textId="09F498BA"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Jaichuen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{"citationID":"a23d83nip1v","properties":{"formattedCitation":"(100)","plainCitation":"(100)","noteIndex":0},"citationItems":[{"id":18726,"uris":["http://zotero.org/groups/2477744/items/IJ4Q5K4Y"],"itemData":{"id":18726,"type":"article-journal","abstract":"Background: The food industry can influence individual and population level food consumption behaviours, shape public preferences and interfere with government policy on obesity prevention and NCDs. This paper identifies the Corporate Political Activity (CPA) of major food companies in Thailand which relate to obesity and NCDs. Methods: Using the INFORMAS framework to classify CPA, we reviewed publicly available information by 12 food companies between August 2011 and July 2016 in order to identify, analyse and classify the CPA contents. Semi-structured interviews with 17 key stakeholders who are experts in this field supplemented evidence from the document review. Data analysis applied a thematic approach. Results: Food industry in Thailand applied a variety of CPA strategies and practices. The two most common strategies were constituency building and information and messaging. Conclusion: The diverse range of CPA strategies which influence government policy and public opinion can undermine efforts to prevent obesity and diet-related NCDs. We recommend systematic monitoring of their CPA, strengthening mechanisms to hold the food industry accountable for their role in protecting and promoting the nutrition and health of the population, introducing mandatory registration of lobbyists, mandatory disclosure of political donations, and stronger oversight of conflicts of interest among the government actors. © 2018 The Author(s).","container-title":"Globalization and Health","DOI":"10.1186/s12992-018-0432-z","issue":"1","journalAbbreviation":"Globalization and Health","title":"Corporate political activity of major food companies in Thailand: An assessment and policy recommendations","URL":"https://www.scopus.com/inward/record.uri?eid=2-s2.0-85057123906&amp;doi=10.1186%2fs12992-018-0432-z&amp;partnerID=40&amp;md5=8bd33958ee095d807e1d91c8b909b4a1","volume":"14","author":[{"family":"Jaichuen","given":"N."},{"family":"Phulkerd","given":"S."},{"family":"Certthkrikul","given":"N."},{"family":"Sacks","given":"G."},{"family":"Tangcharoensathien","given":"V."}],"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(100)</w:t>
            </w:r>
            <w:r w:rsidRPr="00A61595">
              <w:rPr>
                <w:rFonts w:ascii="Arial" w:eastAsia="Times New Roman" w:hAnsi="Arial" w:cs="Arial"/>
                <w:sz w:val="14"/>
                <w:szCs w:val="14"/>
              </w:rPr>
              <w:fldChar w:fldCharType="end"/>
            </w:r>
          </w:p>
        </w:tc>
        <w:tc>
          <w:tcPr>
            <w:tcW w:w="192" w:type="pct"/>
            <w:shd w:val="clear" w:color="auto" w:fill="auto"/>
            <w:noWrap/>
            <w:hideMark/>
          </w:tcPr>
          <w:p w14:paraId="6AF82F48"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41EF13E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Corporate Political Activity of major food companies in Thailand which relate to obesity and NCDs</w:t>
            </w:r>
          </w:p>
        </w:tc>
        <w:tc>
          <w:tcPr>
            <w:tcW w:w="318" w:type="pct"/>
          </w:tcPr>
          <w:p w14:paraId="13AC34C4" w14:textId="2CDDECDA" w:rsidR="000B21B4" w:rsidRPr="00A61595" w:rsidRDefault="000B21B4" w:rsidP="00380533">
            <w:pPr>
              <w:rPr>
                <w:rFonts w:ascii="Arial" w:hAnsi="Arial" w:cs="Arial"/>
                <w:sz w:val="14"/>
                <w:szCs w:val="14"/>
              </w:rPr>
            </w:pPr>
            <w:r w:rsidRPr="00A61595">
              <w:rPr>
                <w:rFonts w:ascii="Arial" w:hAnsi="Arial" w:cs="Arial"/>
                <w:color w:val="000000"/>
                <w:sz w:val="14"/>
                <w:szCs w:val="14"/>
              </w:rPr>
              <w:t>a, d</w:t>
            </w:r>
          </w:p>
        </w:tc>
        <w:tc>
          <w:tcPr>
            <w:tcW w:w="306" w:type="pct"/>
          </w:tcPr>
          <w:p w14:paraId="5071085C" w14:textId="58D43FD6"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B5AA45D" w14:textId="61A1CA02"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7F604FAF" w14:textId="16CFA3B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54D47E91" w14:textId="36C78588" w:rsidTr="00380533">
        <w:trPr>
          <w:trHeight w:val="285"/>
        </w:trPr>
        <w:tc>
          <w:tcPr>
            <w:tcW w:w="715" w:type="pct"/>
            <w:gridSpan w:val="2"/>
            <w:shd w:val="clear" w:color="auto" w:fill="auto"/>
            <w:noWrap/>
            <w:hideMark/>
          </w:tcPr>
          <w:p w14:paraId="6A9259A4" w14:textId="354342D9"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Jeffrey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{"citationID":"a11gfrqbbme","properties":{"formattedCitation":"(101)","plainCitation":"(101)","noteIndex":0},"citationItems":[{"id":17102,"uris":["http://zotero.org/groups/2477744/items/HUZ6K6MJ"],"itemData":{"id":17102,"type":"article-journal","abstract":"Corruption has reemerged as an important issue in research on geography and development, but there has been little research on the relationship between corruption and class reproduction in rural areas of poorer countries. This article presents insights into how low-level economic corruption actually works within institutions that are responsible for purchasing sugarcane in rural western Uttar Pradesh, India, and the role of this corruption in perpetuating material inequalities within rural society. The discussion is based on 12 months of intensive field research on the economic and social strategies of a dominant caste of rich farmers in Meerut District, western Uttar Pradesh. In this article, I note periodic rural protest against the government's mismanagement of sugarcane marketing and corruption and describe everyday, disguised, and discrete forms of corruption that allow rich farmers to obtain privileged access to lucrative marketing opportunities. I also show how discourses surrounding corruption are politicized along the lines of caste and class. I conclude by relating my empirical material to debates on local state-society relations in India. I stress the need to understand corruption with reference to local political economy and the broader distribution of social and economic opportunities in rural society and point to, future avenues for geographic research on corruption in the Indian countryside.","container-title":"ECONOMIC GEOGRAPHY","DOI":"10.2307/4140822","issue":"1","journalAbbreviation":"ECONOMIC GEOGRAPHY","page":"21-41","title":"Caste, class, and clientelism: A political economy of everyday corruption in rural north India","volume":"78","author":[{"family":"Jeffrey","given":"C"}],"issued":{"date-parts":[["2002"]]}}}],"schema":"https://github.com/citation-style-language/schema/raw/master/csl-citation.json"}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(101)</w:t>
            </w:r>
            <w:r w:rsidRPr="00A61595">
              <w:rPr>
                <w:rFonts w:ascii="Arial" w:eastAsia="Times New Roman" w:hAnsi="Arial" w:cs="Arial"/>
                <w:sz w:val="14"/>
                <w:szCs w:val="14"/>
              </w:rPr>
              <w:fldChar w:fldCharType="end"/>
            </w:r>
          </w:p>
        </w:tc>
        <w:tc>
          <w:tcPr>
            <w:tcW w:w="192" w:type="pct"/>
            <w:shd w:val="clear" w:color="auto" w:fill="auto"/>
            <w:noWrap/>
            <w:hideMark/>
          </w:tcPr>
          <w:p w14:paraId="0B85DF9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2002</w:t>
            </w:r>
          </w:p>
        </w:tc>
        <w:tc>
          <w:tcPr>
            <w:tcW w:w="2869" w:type="pct"/>
            <w:gridSpan w:val="4"/>
            <w:shd w:val="clear" w:color="auto" w:fill="auto"/>
            <w:noWrap/>
            <w:hideMark/>
          </w:tcPr>
          <w:p w14:paraId="5837195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Insights into low-level economic corruption within institutions responsible for purchasing sugarcane in rural India</w:t>
            </w:r>
          </w:p>
        </w:tc>
        <w:tc>
          <w:tcPr>
            <w:tcW w:w="318" w:type="pct"/>
          </w:tcPr>
          <w:p w14:paraId="1F5A9025" w14:textId="0FBCC631"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705897D5" w14:textId="580C105A" w:rsidR="000B21B4" w:rsidRPr="00A61595" w:rsidRDefault="000B21B4" w:rsidP="00380533">
            <w:pPr>
              <w:rPr>
                <w:rFonts w:ascii="Arial" w:hAnsi="Arial" w:cs="Arial"/>
                <w:sz w:val="14"/>
                <w:szCs w:val="14"/>
              </w:rPr>
            </w:pPr>
            <w:r w:rsidRPr="00A61595">
              <w:rPr>
                <w:rFonts w:ascii="Arial" w:hAnsi="Arial" w:cs="Arial"/>
                <w:color w:val="000000"/>
                <w:sz w:val="14"/>
                <w:szCs w:val="14"/>
              </w:rPr>
              <w:t>a, b, c</w:t>
            </w:r>
          </w:p>
        </w:tc>
        <w:tc>
          <w:tcPr>
            <w:tcW w:w="371" w:type="pct"/>
          </w:tcPr>
          <w:p w14:paraId="11C5AFA8" w14:textId="61DC42A1" w:rsidR="000B21B4" w:rsidRPr="00A61595" w:rsidRDefault="000B21B4" w:rsidP="00380533">
            <w:pPr>
              <w:rPr>
                <w:rFonts w:ascii="Arial" w:hAnsi="Arial" w:cs="Arial"/>
                <w:sz w:val="14"/>
                <w:szCs w:val="14"/>
              </w:rPr>
            </w:pPr>
            <w:r w:rsidRPr="00A61595">
              <w:rPr>
                <w:rFonts w:ascii="Arial" w:hAnsi="Arial" w:cs="Arial"/>
                <w:color w:val="000000"/>
                <w:sz w:val="14"/>
                <w:szCs w:val="14"/>
              </w:rPr>
              <w:t>a, f, h</w:t>
            </w:r>
          </w:p>
        </w:tc>
        <w:tc>
          <w:tcPr>
            <w:tcW w:w="229" w:type="pct"/>
          </w:tcPr>
          <w:p w14:paraId="67F07B73" w14:textId="59F516F1" w:rsidR="000B21B4" w:rsidRPr="00A61595" w:rsidRDefault="000B21B4" w:rsidP="00380533">
            <w:pPr>
              <w:rPr>
                <w:rFonts w:ascii="Arial" w:hAnsi="Arial" w:cs="Arial"/>
                <w:sz w:val="14"/>
                <w:szCs w:val="14"/>
              </w:rPr>
            </w:pPr>
            <w:r w:rsidRPr="00A61595">
              <w:rPr>
                <w:rFonts w:ascii="Arial" w:hAnsi="Arial" w:cs="Arial"/>
                <w:color w:val="000000"/>
                <w:sz w:val="14"/>
                <w:szCs w:val="14"/>
              </w:rPr>
              <w:t>a, f, g</w:t>
            </w:r>
          </w:p>
        </w:tc>
      </w:tr>
      <w:tr w:rsidR="000B21B4" w:rsidRPr="00A61595" w14:paraId="08D6EAF8" w14:textId="2A7E1071" w:rsidTr="00380533">
        <w:trPr>
          <w:trHeight w:val="285"/>
        </w:trPr>
        <w:tc>
          <w:tcPr>
            <w:tcW w:w="715" w:type="pct"/>
            <w:gridSpan w:val="2"/>
            <w:shd w:val="clear" w:color="auto" w:fill="auto"/>
            <w:noWrap/>
            <w:hideMark/>
          </w:tcPr>
          <w:p w14:paraId="77085797" w14:textId="37B7A22C"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Kaitibie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{"citationID":"aieobk05hp","properties":{"formattedCitation":"(102)","plainCitation":"(102)","noteIndex":0},"citationItems":[{"id":18647,"uris":["http://zotero.org/groups/2477744/items/U7DVWD3Q"],"itemData":{"id":18647,"type":"article-journal","abstract":"This analysis of food imports used an enhanced gravity model of trade, with food imports from approximately 136 countries from 2004 to 2014. Using improved panel data techniques, we show that total income, inflation in the food exporting country, corruption perception in the food exporting country, trade openness in the food exporting economy, GCC membership are important determinants of food imports by Qatar. In addition, we show that Qatari food imports mostly originate in countries with, on average, similar economic sizes. Finally, Qatar’s factor endowment is dissimilar to those of most of its trading partners, a situation that potentially fosters international food trade in accordance with the Heckscher-Ohlin theory of trade.","archive_location":"1945847651","container-title":"Review of Middle East Economics &amp; Finance","DOI":"10.1515/rmeef-2016-0033","issue":"2","journalAbbreviation":"Review of Middle East Economics &amp; Finance","note":"publisher-place: Berlin\npublisher: Walter de Gruyter GmbH","page":"106-116","title":"Analysis of Food Imports in a Highly Import Dependent Economy","URL":"http://ezproxy.library.yorku.ca/login?url=https://search.proquest.com/docview/1945847651?accountid=15182","volume":"13","author":[{"family":"Kaitibie","given":"Simeon"},{"family":"Munshi","given":"Masudul Haq"},{"family":"Rakotoarisoa","given":"Manitra A"}],"issued":{"date-parts":[["2017"]]}}}],"schema":"https://github.com/citation-style-language/schema/raw/master/csl-citation.json"}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(102)</w:t>
            </w:r>
            <w:r w:rsidRPr="00A61595">
              <w:rPr>
                <w:rFonts w:ascii="Arial" w:eastAsia="Times New Roman" w:hAnsi="Arial" w:cs="Arial"/>
                <w:sz w:val="14"/>
                <w:szCs w:val="14"/>
              </w:rPr>
              <w:fldChar w:fldCharType="end"/>
            </w:r>
          </w:p>
        </w:tc>
        <w:tc>
          <w:tcPr>
            <w:tcW w:w="192" w:type="pct"/>
            <w:shd w:val="clear" w:color="auto" w:fill="auto"/>
            <w:noWrap/>
            <w:hideMark/>
          </w:tcPr>
          <w:p w14:paraId="161530A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7A3CC82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The impact of corruption on Qatari food imports and associated costs </w:t>
            </w:r>
          </w:p>
        </w:tc>
        <w:tc>
          <w:tcPr>
            <w:tcW w:w="318" w:type="pct"/>
          </w:tcPr>
          <w:p w14:paraId="41498050" w14:textId="7A59EBC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3BCC5EEB" w14:textId="66B836C5"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2A623FC1" w14:textId="441A0400" w:rsidR="000B21B4" w:rsidRPr="00A61595" w:rsidRDefault="000B21B4" w:rsidP="00380533">
            <w:pPr>
              <w:rPr>
                <w:rFonts w:ascii="Arial" w:hAnsi="Arial" w:cs="Arial"/>
                <w:sz w:val="14"/>
                <w:szCs w:val="14"/>
              </w:rPr>
            </w:pPr>
            <w:r w:rsidRPr="00A61595">
              <w:rPr>
                <w:rFonts w:ascii="Arial" w:hAnsi="Arial" w:cs="Arial"/>
                <w:color w:val="000000"/>
                <w:sz w:val="14"/>
                <w:szCs w:val="14"/>
              </w:rPr>
              <w:t>f, j</w:t>
            </w:r>
          </w:p>
        </w:tc>
        <w:tc>
          <w:tcPr>
            <w:tcW w:w="229" w:type="pct"/>
          </w:tcPr>
          <w:p w14:paraId="1634958C" w14:textId="35184513"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r>
      <w:tr w:rsidR="000B21B4" w:rsidRPr="00A61595" w14:paraId="48D144E1" w14:textId="7F1EB1E8" w:rsidTr="00380533">
        <w:trPr>
          <w:trHeight w:val="285"/>
        </w:trPr>
        <w:tc>
          <w:tcPr>
            <w:tcW w:w="715" w:type="pct"/>
            <w:gridSpan w:val="2"/>
            <w:shd w:val="clear" w:color="auto" w:fill="auto"/>
            <w:noWrap/>
            <w:hideMark/>
          </w:tcPr>
          <w:p w14:paraId="3800D023" w14:textId="5E1D805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Kalaora</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{"citationID":"a2g5k6qks5p","properties":{"formattedCitation":"(103)","plainCitation":"(103)","noteIndex":0},"citationItems":[{"id":17184,"uris":["http://zotero.org/groups/2477744/items/73AHGNPA"],"itemData":{"id":17184,"type":"article-journal","abstract":"Since the launch by the Zimbabwean government in 2000 of its 'fast-track land reform programme', many white farmers have been expelled from their farms. This article focuses not on the evictions themselves, but rather on what their effects reveal about the social order of the white farming community, its values and changing ideas about otherness and belonging. The effects of displacement are analysed indirectly through an examination of those farmers who have managed to remain on their land. In particular, this article considers the social meaning of the opprobrium faced by some of those who are still on their farms. In the cases considered here, this opprobrium takes two forms: accusations of corruption and labelling of people as 'crazy' or 'mad'. Those who manage to remain on their farms are seen as a threat to a social order that is based on separation between white farmers and black Africans. The racial cohabitation that currently takes place on some farms is experienced by the rest of the white farming community as a form of symbolic, social and mental disorder, a betrayal of the values and 'habitus' (to borrow from Bourdieu) of their community. Opprobrium can then be understood as a final attempt by some members of the white community to contain this disorder. Indeed, many of those who have left their farms but stayed on in Zimbabwe have tried to keep the values of the white community intact. They are maintaining these values in the face of the community's disintegration as a result of farm occupations, which have put them in a position akin to internal exile. © 2011 The Editorial Board of the Journal of Southern African Studies.","container-title":"Journal of Southern African Studies","DOI":"10.1080/03057070.2011.609341","issue":"4","journalAbbreviation":"Journal of Southern African Studies","page":"747-762","title":"Madness, corruption and exile: On Zimbabwe's remaining white commercial farmers","URL":"https://www.scopus.com/inward/record.uri?eid=2-s2.0-84858374949&amp;doi=10.1080%2f03057070.2011.609341&amp;partnerID=40&amp;md5=f5ad4df30a9edf97381ddd68dc767866","volume":"37","author":[{"family":"Kalaora","given":"L."}],"issued":{"date-parts":[["2011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(103)</w:t>
            </w:r>
            <w:r w:rsidRPr="00A61595">
              <w:rPr>
                <w:rFonts w:ascii="Arial" w:eastAsia="Times New Roman" w:hAnsi="Arial" w:cs="Arial"/>
                <w:sz w:val="14"/>
                <w:szCs w:val="14"/>
              </w:rPr>
              <w:fldChar w:fldCharType="end"/>
            </w:r>
          </w:p>
        </w:tc>
        <w:tc>
          <w:tcPr>
            <w:tcW w:w="192" w:type="pct"/>
            <w:shd w:val="clear" w:color="auto" w:fill="auto"/>
            <w:noWrap/>
            <w:hideMark/>
          </w:tcPr>
          <w:p w14:paraId="123D905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2011</w:t>
            </w:r>
          </w:p>
        </w:tc>
        <w:tc>
          <w:tcPr>
            <w:tcW w:w="2869" w:type="pct"/>
            <w:gridSpan w:val="4"/>
            <w:shd w:val="clear" w:color="auto" w:fill="auto"/>
            <w:noWrap/>
            <w:hideMark/>
          </w:tcPr>
          <w:p w14:paraId="12C91FA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The effect of farmland evictions due to corruption on the white farming community </w:t>
            </w:r>
          </w:p>
        </w:tc>
        <w:tc>
          <w:tcPr>
            <w:tcW w:w="318" w:type="pct"/>
          </w:tcPr>
          <w:p w14:paraId="579C0079" w14:textId="1EA8802C"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16CB1114" w14:textId="4149E10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075AEE0E" w14:textId="4A4B1A4B"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w:t>
            </w:r>
            <w:proofErr w:type="spellStart"/>
            <w:r w:rsidRPr="00A61595">
              <w:rPr>
                <w:rFonts w:ascii="Arial" w:hAnsi="Arial" w:cs="Arial"/>
                <w:color w:val="000000"/>
                <w:sz w:val="14"/>
                <w:szCs w:val="14"/>
              </w:rPr>
              <w:t>i</w:t>
            </w:r>
            <w:proofErr w:type="spellEnd"/>
          </w:p>
        </w:tc>
        <w:tc>
          <w:tcPr>
            <w:tcW w:w="229" w:type="pct"/>
          </w:tcPr>
          <w:p w14:paraId="466B54FE" w14:textId="3E3C8B09" w:rsidR="000B21B4" w:rsidRPr="00A61595" w:rsidRDefault="000B21B4" w:rsidP="00380533">
            <w:pPr>
              <w:rPr>
                <w:rFonts w:ascii="Arial" w:hAnsi="Arial" w:cs="Arial"/>
                <w:sz w:val="14"/>
                <w:szCs w:val="14"/>
              </w:rPr>
            </w:pPr>
            <w:r w:rsidRPr="00A61595">
              <w:rPr>
                <w:rFonts w:ascii="Arial" w:hAnsi="Arial" w:cs="Arial"/>
                <w:color w:val="000000"/>
                <w:sz w:val="14"/>
                <w:szCs w:val="14"/>
              </w:rPr>
              <w:t>g</w:t>
            </w:r>
          </w:p>
        </w:tc>
      </w:tr>
      <w:tr w:rsidR="000B21B4" w:rsidRPr="00A61595" w14:paraId="7B31A51A" w14:textId="33AE9F4D" w:rsidTr="00380533">
        <w:trPr>
          <w:trHeight w:val="285"/>
        </w:trPr>
        <w:tc>
          <w:tcPr>
            <w:tcW w:w="715" w:type="pct"/>
            <w:gridSpan w:val="2"/>
            <w:shd w:val="clear" w:color="auto" w:fill="auto"/>
            <w:noWrap/>
            <w:hideMark/>
          </w:tcPr>
          <w:p w14:paraId="1F4C5072" w14:textId="73D06FD5"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Kansanga</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{"citationID":"aik0m9cuug","properties":{"formattedCitation":"(104)","plainCitation":"(104)","noteIndex":0},"citationItems":[{"id":17094,"uris":["http://zotero.org/groups/2477744/items/3PZIQ46N"],"itemData":{"id":17094,"type":"article-journal","abstract":"Drawing on theoretical insights from agrarian political economy, and based on empirical research in the High Forest Zone of Ghana using in-depth interviews and participant observation, this paper examined the context-specific but often less highlighted impacts of REDD+-based carbon forest development activities on local agrarian livelihoods. We find that although REDD+ intends to align local communities to benefit financially for contributions to carbon forestry, its uptake in the Ghanaian context has created entry points for the displacement of smallholder farmers through unregulated profit-driven and restrictive plantation-style carbon forest activities. This yields landless smallholder farmers whose labour is craftily integrated into a capitalist carbon forestry regime as tree planters, with many others striving to reproduce themselves through exploitative sharecropping arrangements and corrupt `backdoor' land deals. We emphasize that, `more than carbon' accumulation engendered by REDD+ is fast moving beyond land grabs to a more complex dimension in which the labour and financial resources of marginalized groups are further appropriated by forest investors, and their relatively powerful counterparts in what we term intimate exploitation. Given the ongoing plight of smallholder farmers, particularly the multitude of `hungry' migrant farmers who seek `salvation' in the High Forest Zone, it is obvious that REDD+ is pushed at the expense of ensuring food security. To sustainably address current land-related agricultural production bottlenecks and empower local communities to directly benefit from REDD+, we recommend that rather than centralizing both carbon rights and land rights in the hands of the state and a few private investors, community forestlands should be returned to local people under community-led forest management approaches. Local control of both land and carbon stocks will promote sustainable coexistence of smallholder agriculture and carbon forestry. (C) 2018 Elsevier Ltd. All rights reserved.","container-title":"WORLD DEVELOPMENT","DOI":"10.1016/j.worlddev.2018.09.002","journalAbbreviation":"WORLD DEVELOPMENT","page":"131-142","title":"Agrarian livelihoods under siege: Carbon forestry, tenure constraints and the rise of capitalist forest enclosures in Ghana","volume":"113","author":[{"family":"Kansanga","given":"Moses Mosonsieyiri"},{"family":"Luginaah","given":"Isaac"}],"issued":{"date-parts":[["2019"]]}}}],"schema":"https://github.com/citation-style-language/schema/raw/master/csl-citation.json"}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(104)</w:t>
            </w:r>
            <w:r w:rsidRPr="00A61595">
              <w:rPr>
                <w:rFonts w:ascii="Arial" w:eastAsia="Times New Roman" w:hAnsi="Arial" w:cs="Arial"/>
                <w:sz w:val="14"/>
                <w:szCs w:val="14"/>
              </w:rPr>
              <w:fldChar w:fldCharType="end"/>
            </w:r>
          </w:p>
        </w:tc>
        <w:tc>
          <w:tcPr>
            <w:tcW w:w="192" w:type="pct"/>
            <w:shd w:val="clear" w:color="auto" w:fill="auto"/>
            <w:noWrap/>
            <w:hideMark/>
          </w:tcPr>
          <w:p w14:paraId="4DB6DDA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303BA4E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Threats to agrarian livelihoods from displacement and exploitation of smallholder farmers</w:t>
            </w:r>
          </w:p>
        </w:tc>
        <w:tc>
          <w:tcPr>
            <w:tcW w:w="318" w:type="pct"/>
          </w:tcPr>
          <w:p w14:paraId="4D222E4E" w14:textId="2FA7CF6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33573E4E" w14:textId="53CCC636"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34FDF341" w14:textId="71DCE200" w:rsidR="000B21B4" w:rsidRPr="00A61595" w:rsidRDefault="000B21B4" w:rsidP="00380533">
            <w:pPr>
              <w:rPr>
                <w:rFonts w:ascii="Arial" w:hAnsi="Arial" w:cs="Arial"/>
                <w:sz w:val="14"/>
                <w:szCs w:val="14"/>
              </w:rPr>
            </w:pPr>
            <w:r w:rsidRPr="00A61595">
              <w:rPr>
                <w:rFonts w:ascii="Arial" w:hAnsi="Arial" w:cs="Arial"/>
                <w:color w:val="000000"/>
                <w:sz w:val="14"/>
                <w:szCs w:val="14"/>
              </w:rPr>
              <w:t>a, k</w:t>
            </w:r>
          </w:p>
        </w:tc>
        <w:tc>
          <w:tcPr>
            <w:tcW w:w="229" w:type="pct"/>
          </w:tcPr>
          <w:p w14:paraId="0D69D1F1" w14:textId="41D718C7" w:rsidR="000B21B4" w:rsidRPr="00A61595" w:rsidRDefault="000B21B4" w:rsidP="00380533">
            <w:pPr>
              <w:rPr>
                <w:rFonts w:ascii="Arial" w:hAnsi="Arial" w:cs="Arial"/>
                <w:sz w:val="14"/>
                <w:szCs w:val="14"/>
              </w:rPr>
            </w:pPr>
            <w:r w:rsidRPr="00A61595">
              <w:rPr>
                <w:rFonts w:ascii="Arial" w:hAnsi="Arial" w:cs="Arial"/>
                <w:color w:val="000000"/>
                <w:sz w:val="14"/>
                <w:szCs w:val="14"/>
              </w:rPr>
              <w:t>c, f</w:t>
            </w:r>
          </w:p>
        </w:tc>
      </w:tr>
      <w:tr w:rsidR="000B21B4" w:rsidRPr="00A61595" w14:paraId="77F30198" w14:textId="73DE7104" w:rsidTr="00380533">
        <w:trPr>
          <w:trHeight w:val="285"/>
        </w:trPr>
        <w:tc>
          <w:tcPr>
            <w:tcW w:w="715" w:type="pct"/>
            <w:gridSpan w:val="2"/>
            <w:shd w:val="clear" w:color="auto" w:fill="auto"/>
            <w:noWrap/>
            <w:hideMark/>
          </w:tcPr>
          <w:p w14:paraId="3A97D453" w14:textId="3B2C021F"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Kantel</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{"citationID":"a3odf0agi","properties":{"formattedCitation":"(105)","plainCitation":"(105)","noteIndex":0},"citationItems":[{"id":17185,"uris":["http://zotero.org/groups/2477744/items/X35UFAD6"],"itemData":{"id":17185,"type":"article-journal","abstract":"A few months before Uganda’s 2016 presidential elections, the government issued an executive order dissolving community-based Beach Management Units, the local and democratic governance bodies responsible for managing fishing activities. The official narrative cited rampant corruption and the exploitation of Uganda’s valuable fishing resources as justification for the suspension. A popular counternarrative, however—told in carrying whispers at fishing landing sites around Lake Victoria—painted the order as President Museveni’s attempt to secure votes during a tough presidential campaign. Drawing on seven months of ethnographic research on fisheries management in Uganda and critical studies on the nexus of coloniality, securitization, and common pool resource theories, this article analyzes sociopolitical narratives around fisheries governance a year before and after the presidential elections in Uganda. The author illustrates how recent policy changes in the country’s fisheries governance sector are underlined by a powerful narrative of peace and security and argues that the political intervention can be interpreted as efforts by the national government to secure the ruling elite’s increasingly authoritarian hold on state power. Key Words: authoritarianism, coloniality, fisheries governance, securitization, Uganda. © 2019, © 2019 by American Association of Geographers.","container-title":"Annals of the American Association of Geographers","DOI":"10.1080/24694452.2018.1527679","issue":"2","journalAbbreviation":"Annals of the American Association of Geographers","page":"443-455","title":"Fishing for Power: Incursions of the Ugandan Authoritarian State","URL":"https://www.scopus.com/inward/record.uri?eid=2-s2.0-85060933856&amp;doi=10.1080%2f24694452.2018.1527679&amp;partnerID=40&amp;md5=0da5ca6abe14bb0bae4e0a4726267141","volume":"109","author":[{"family":"Kantel","given":"A.J."}],"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(105)</w:t>
            </w:r>
            <w:r w:rsidRPr="00A61595">
              <w:rPr>
                <w:rFonts w:ascii="Arial" w:eastAsia="Times New Roman" w:hAnsi="Arial" w:cs="Arial"/>
                <w:sz w:val="14"/>
                <w:szCs w:val="14"/>
              </w:rPr>
              <w:fldChar w:fldCharType="end"/>
            </w:r>
          </w:p>
        </w:tc>
        <w:tc>
          <w:tcPr>
            <w:tcW w:w="192" w:type="pct"/>
            <w:shd w:val="clear" w:color="auto" w:fill="auto"/>
            <w:noWrap/>
            <w:hideMark/>
          </w:tcPr>
          <w:p w14:paraId="6DB953F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676A66B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Socio-political narratives around fisheries governance</w:t>
            </w:r>
          </w:p>
        </w:tc>
        <w:tc>
          <w:tcPr>
            <w:tcW w:w="318" w:type="pct"/>
          </w:tcPr>
          <w:p w14:paraId="37A2A7C8" w14:textId="5036F48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760B6AE9" w14:textId="67500CA6" w:rsidR="000B21B4" w:rsidRPr="00A61595" w:rsidRDefault="000B21B4" w:rsidP="00380533">
            <w:pPr>
              <w:rPr>
                <w:rFonts w:ascii="Arial" w:hAnsi="Arial" w:cs="Arial"/>
                <w:sz w:val="14"/>
                <w:szCs w:val="14"/>
              </w:rPr>
            </w:pPr>
            <w:r w:rsidRPr="00A61595">
              <w:rPr>
                <w:rFonts w:ascii="Arial" w:hAnsi="Arial" w:cs="Arial"/>
                <w:color w:val="000000"/>
                <w:sz w:val="14"/>
                <w:szCs w:val="14"/>
              </w:rPr>
              <w:t>a, b, c</w:t>
            </w:r>
          </w:p>
        </w:tc>
        <w:tc>
          <w:tcPr>
            <w:tcW w:w="371" w:type="pct"/>
          </w:tcPr>
          <w:p w14:paraId="2F1162E2" w14:textId="05023731"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g, </w:t>
            </w:r>
            <w:proofErr w:type="spellStart"/>
            <w:r w:rsidRPr="00A61595">
              <w:rPr>
                <w:rFonts w:ascii="Arial" w:hAnsi="Arial" w:cs="Arial"/>
                <w:color w:val="000000"/>
                <w:sz w:val="14"/>
                <w:szCs w:val="14"/>
              </w:rPr>
              <w:t>i</w:t>
            </w:r>
            <w:proofErr w:type="spellEnd"/>
          </w:p>
        </w:tc>
        <w:tc>
          <w:tcPr>
            <w:tcW w:w="229" w:type="pct"/>
          </w:tcPr>
          <w:p w14:paraId="490B43DB" w14:textId="410C0215" w:rsidR="000B21B4" w:rsidRPr="00A61595" w:rsidRDefault="000B21B4" w:rsidP="00380533">
            <w:pPr>
              <w:rPr>
                <w:rFonts w:ascii="Arial" w:hAnsi="Arial" w:cs="Arial"/>
                <w:sz w:val="14"/>
                <w:szCs w:val="14"/>
              </w:rPr>
            </w:pPr>
            <w:r w:rsidRPr="00A61595">
              <w:rPr>
                <w:rFonts w:ascii="Arial" w:hAnsi="Arial" w:cs="Arial"/>
                <w:color w:val="000000"/>
                <w:sz w:val="14"/>
                <w:szCs w:val="14"/>
              </w:rPr>
              <w:t>a, g</w:t>
            </w:r>
          </w:p>
        </w:tc>
      </w:tr>
      <w:tr w:rsidR="000B21B4" w:rsidRPr="00A61595" w14:paraId="0AE1549E" w14:textId="04B8AAB6" w:rsidTr="00380533">
        <w:trPr>
          <w:trHeight w:val="285"/>
        </w:trPr>
        <w:tc>
          <w:tcPr>
            <w:tcW w:w="715" w:type="pct"/>
            <w:gridSpan w:val="2"/>
            <w:shd w:val="clear" w:color="auto" w:fill="auto"/>
            <w:noWrap/>
            <w:hideMark/>
          </w:tcPr>
          <w:p w14:paraId="40912E3D" w14:textId="3D1792ED"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Kassem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{"citationID":"a2kkt47e7h","properties":{"formattedCitation":"(106)","plainCitation":"(106)","noteIndex":0},"citationItems":[{"id":17252,"uris":["http://zotero.org/groups/2477744/items/2VCC4YPB"],"itemData":{"id":17252,"type":"article-journal","abstract":"The growth of fraudulent pesticide trade has become a threat to farmers' health, agrochemical businesses, and agricultural sustainability, as well as to the environment. However, assessment of the levels of farmers' exposure to fraudulent pesticides in the literature is often limited. This paper conducted a quantitative study of farmers' recognition and purchasing behaviors with regard to fraudulent pesticides in the Dakhalia governorate of Egypt. Using a structured questionnaire, data were collected by face-to-face interviews with 368 farmers in three districts of the governorate. The questionnaire included questions on socioeconomic characteristics, risk perception, recognition behavior, and purchasing behavior regarding fraudulent pesticides. The findings indicate that farmers perceived high risks to farmer health and crop yield (a score of 4 out of 5) and a moderate risk to the environment (3.5 out of 5) from fraudulent pesticides. Nonetheless, nearly three-fourths of the farmers had purchased fraudulent pesticides anyway. The statistical analysis suggests that farmers who resist purchasing fraudulent pesticides have higher education, longer experience in farming, and better recognition of fraudulent pesticides. To improve farmers' ability to distinguish and avoid fraudulent pesticides, the paper recommends communication-related anti-counterfeiting measures such as awareness extension programs, as well as distribution measures in cooperation with other stakeholders.","archive_location":"WOS:000699090600001","container-title":"AGRONOMY-BASEL","DOI":"10.3390/agronomy11091882","issue":"9","journalAbbreviation":"AGRONOMY-BASEL","title":"Toward Fraudulent Pesticides in Rural Areas: Do Farmers' Recognition and Purchasing Behaviors Matter?","volume":"11","author":[{"family":"Kassem","given":"HS"},{"family":"Hussein","given":"MA"},{"family":"Ismail","given":"H"}],"issued":{"date-parts":[["2021"]]}}}],"schema":"https://github.com/citation-style-language/schema/raw/master/csl-citation.json"}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(106)</w:t>
            </w:r>
            <w:r w:rsidRPr="00A61595">
              <w:rPr>
                <w:rFonts w:ascii="Arial" w:eastAsia="Times New Roman" w:hAnsi="Arial" w:cs="Arial"/>
                <w:sz w:val="14"/>
                <w:szCs w:val="14"/>
              </w:rPr>
              <w:fldChar w:fldCharType="end"/>
            </w:r>
          </w:p>
        </w:tc>
        <w:tc>
          <w:tcPr>
            <w:tcW w:w="192" w:type="pct"/>
            <w:shd w:val="clear" w:color="auto" w:fill="auto"/>
            <w:noWrap/>
            <w:hideMark/>
          </w:tcPr>
          <w:p w14:paraId="1CA7A41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1F15300E"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Farmers’ risk perception </w:t>
            </w:r>
            <w:bookmarkStart w:id="3" w:name="_Int_ZuPRMcL7"/>
            <w:r w:rsidRPr="00A61595">
              <w:rPr>
                <w:rFonts w:ascii="Arial" w:eastAsia="Times New Roman" w:hAnsi="Arial" w:cs="Arial"/>
                <w:color w:val="000000" w:themeColor="text1"/>
                <w:sz w:val="14"/>
                <w:szCs w:val="14"/>
              </w:rPr>
              <w:t>regarding</w:t>
            </w:r>
            <w:bookmarkEnd w:id="3"/>
            <w:r w:rsidRPr="00A61595">
              <w:rPr>
                <w:rFonts w:ascii="Arial" w:eastAsia="Times New Roman" w:hAnsi="Arial" w:cs="Arial"/>
                <w:color w:val="000000" w:themeColor="text1"/>
                <w:sz w:val="14"/>
                <w:szCs w:val="14"/>
              </w:rPr>
              <w:t xml:space="preserve"> fraudulent pesticides</w:t>
            </w:r>
          </w:p>
        </w:tc>
        <w:tc>
          <w:tcPr>
            <w:tcW w:w="318" w:type="pct"/>
          </w:tcPr>
          <w:p w14:paraId="3B79BBBE" w14:textId="35724C88"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482447A2" w14:textId="7CEEC68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2DCE300" w14:textId="6F435A65" w:rsidR="000B21B4" w:rsidRPr="00A61595" w:rsidRDefault="000B21B4" w:rsidP="00380533">
            <w:pPr>
              <w:rPr>
                <w:rFonts w:ascii="Arial" w:hAnsi="Arial" w:cs="Arial"/>
                <w:sz w:val="14"/>
                <w:szCs w:val="14"/>
              </w:rPr>
            </w:pPr>
            <w:r w:rsidRPr="00A61595">
              <w:rPr>
                <w:rFonts w:ascii="Arial" w:hAnsi="Arial" w:cs="Arial"/>
                <w:color w:val="000000"/>
                <w:sz w:val="14"/>
                <w:szCs w:val="14"/>
              </w:rPr>
              <w:t>a, c, d</w:t>
            </w:r>
          </w:p>
        </w:tc>
        <w:tc>
          <w:tcPr>
            <w:tcW w:w="229" w:type="pct"/>
          </w:tcPr>
          <w:p w14:paraId="5EFD45F9" w14:textId="05EFD2CD"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5C32373D" w14:textId="5C76AA8F" w:rsidTr="00380533">
        <w:trPr>
          <w:trHeight w:val="285"/>
        </w:trPr>
        <w:tc>
          <w:tcPr>
            <w:tcW w:w="715" w:type="pct"/>
            <w:gridSpan w:val="2"/>
            <w:shd w:val="clear" w:color="auto" w:fill="auto"/>
            <w:noWrap/>
            <w:hideMark/>
          </w:tcPr>
          <w:p w14:paraId="0177E87A" w14:textId="550E8D0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Kassem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{"citationID":"a2jei7eds8v","properties":{"formattedCitation":"(106)","plainCitation":"(106)","noteIndex":0},"citationItems":[{"id":17252,"uris":["http://zotero.org/groups/2477744/items/2VCC4YPB"],"itemData":{"id":17252,"type":"article-journal","abstract":"The growth of fraudulent pesticide trade has become a threat to farmers' health, agrochemical businesses, and agricultural sustainability, as well as to the environment. However, assessment of the levels of farmers' exposure to fraudulent pesticides in the literature is often limited. This paper conducted a quantitative study of farmers' recognition and purchasing behaviors with regard to fraudulent pesticides in the Dakhalia governorate of Egypt. Using a structured questionnaire, data were collected by face-to-face interviews with 368 farmers in three districts of the governorate. The questionnaire included questions on socioeconomic characteristics, risk perception, recognition behavior, and purchasing behavior regarding fraudulent pesticides. The findings indicate that farmers perceived high risks to farmer health and crop yield (a score of 4 out of 5) and a moderate risk to the environment (3.5 out of 5) from fraudulent pesticides. Nonetheless, nearly three-fourths of the farmers had purchased fraudulent pesticides anyway. The statistical analysis suggests that farmers who resist purchasing fraudulent pesticides have higher education, longer experience in farming, and better recognition of fraudulent pesticides. To improve farmers' ability to distinguish and avoid fraudulent pesticides, the paper recommends communication-related anti-counterfeiting measures such as awareness extension programs, as well as distribution measures in cooperation with other stakeholders.","archive_location":"WOS:000699090600001","container-title":"AGRONOMY-BASEL","DOI":"10.3390/agronomy11091882","issue":"9","journalAbbreviation":"AGRONOMY-BASEL","title":"Toward Fraudulent Pesticides in Rural Areas: Do Farmers' Recognition and Purchasing Behaviors Matter?","volume":"11","author":[{"family":"Kassem","given":"HS"},{"family":"Hussein","given":"MA"},{"family":"Ismail","given":"H"}],"issued":{"date-parts":[["2021"]]}}}],"schema":"https://github.com/citation-style-language/schema/raw/master/csl-citation.json"}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(106)</w:t>
            </w:r>
            <w:r w:rsidRPr="00A61595">
              <w:rPr>
                <w:rFonts w:ascii="Arial" w:eastAsia="Times New Roman" w:hAnsi="Arial" w:cs="Arial"/>
                <w:sz w:val="14"/>
                <w:szCs w:val="14"/>
              </w:rPr>
              <w:fldChar w:fldCharType="end"/>
            </w:r>
          </w:p>
        </w:tc>
        <w:tc>
          <w:tcPr>
            <w:tcW w:w="192" w:type="pct"/>
            <w:shd w:val="clear" w:color="auto" w:fill="auto"/>
            <w:noWrap/>
            <w:hideMark/>
          </w:tcPr>
          <w:p w14:paraId="701E30D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4B42C95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Farmers’ recognition and purchasing behaviors </w:t>
            </w:r>
            <w:bookmarkStart w:id="4" w:name="_Int_ARWBt756"/>
            <w:r w:rsidRPr="00A61595">
              <w:rPr>
                <w:rFonts w:ascii="Arial" w:eastAsia="Times New Roman" w:hAnsi="Arial" w:cs="Arial"/>
                <w:color w:val="000000" w:themeColor="text1"/>
                <w:sz w:val="14"/>
                <w:szCs w:val="14"/>
              </w:rPr>
              <w:t>regarding</w:t>
            </w:r>
            <w:bookmarkEnd w:id="4"/>
            <w:r w:rsidRPr="00A61595">
              <w:rPr>
                <w:rFonts w:ascii="Arial" w:eastAsia="Times New Roman" w:hAnsi="Arial" w:cs="Arial"/>
                <w:color w:val="000000" w:themeColor="text1"/>
                <w:sz w:val="14"/>
                <w:szCs w:val="14"/>
              </w:rPr>
              <w:t xml:space="preserve"> fraudulent pesticides</w:t>
            </w:r>
          </w:p>
        </w:tc>
        <w:tc>
          <w:tcPr>
            <w:tcW w:w="318" w:type="pct"/>
          </w:tcPr>
          <w:p w14:paraId="4F7A109B" w14:textId="06532132"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18DBF04A" w14:textId="3E2D25A6"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89E0287" w14:textId="650A2AC4"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229" w:type="pct"/>
          </w:tcPr>
          <w:p w14:paraId="70D3BEFF" w14:textId="52179CC2"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31F4C4D0" w14:textId="6EE5AC78" w:rsidTr="00380533">
        <w:trPr>
          <w:trHeight w:val="285"/>
        </w:trPr>
        <w:tc>
          <w:tcPr>
            <w:tcW w:w="715" w:type="pct"/>
            <w:gridSpan w:val="2"/>
            <w:shd w:val="clear" w:color="auto" w:fill="auto"/>
            <w:noWrap/>
            <w:hideMark/>
          </w:tcPr>
          <w:p w14:paraId="0D7E00F2" w14:textId="271BD90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Kaul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{"citationID":"a18eqvoc4c9","properties":{"formattedCitation":"(107)","plainCitation":"(107)","noteIndex":0},"citationItems":[{"id":17041,"uris":["http://zotero.org/groups/2477744/items/ESH4NPGE"],"itemData":{"id":17041,"type":"article-journal","abstract":"The Indian Public Distribution System is one of the world’s largest food security programs and provides a monthly quota of cereals at discounted prices to poor households. I study the effect of the program on nutritional outcomes by exploiting variations in value of the subsidy resulting from differences in state program rules and local market prices. Using household consumption data, I find a small but positive impact on calories from all food groups, not just cereals. The impact on caloric intake is substantially smaller in states where corruption is high.","container-title":"Economic Development and Cultural Change","DOI":"10.1086/697553","issue":"1","journalAbbreviation":"Economic Development and Cultural Change","page":"95-129","title":"Household responses to food subsidies: Evidence from India","volume":"67","author":[{"family":"Kaul","given":"Tara"}],"issued":{"date-parts":[["2018"]]}}}],"schema":"https://github.com/citation-style-language/schema/raw/master/csl-citation.json"}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(107)</w:t>
            </w:r>
            <w:r w:rsidRPr="00A61595">
              <w:rPr>
                <w:rFonts w:ascii="Arial" w:eastAsia="Times New Roman" w:hAnsi="Arial" w:cs="Arial"/>
                <w:sz w:val="14"/>
                <w:szCs w:val="14"/>
              </w:rPr>
              <w:fldChar w:fldCharType="end"/>
            </w:r>
          </w:p>
        </w:tc>
        <w:tc>
          <w:tcPr>
            <w:tcW w:w="192" w:type="pct"/>
            <w:shd w:val="clear" w:color="auto" w:fill="auto"/>
            <w:noWrap/>
            <w:hideMark/>
          </w:tcPr>
          <w:p w14:paraId="35F6F8F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1CC44E1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Household responses to an inefficient public distribution food subsidy program</w:t>
            </w:r>
          </w:p>
        </w:tc>
        <w:tc>
          <w:tcPr>
            <w:tcW w:w="318" w:type="pct"/>
          </w:tcPr>
          <w:p w14:paraId="7C166A4E" w14:textId="40DA92EC"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2F93624" w14:textId="1C434193"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D9EA3AC" w14:textId="5B377613" w:rsidR="000B21B4" w:rsidRPr="00A61595" w:rsidRDefault="000B21B4" w:rsidP="00380533">
            <w:pPr>
              <w:rPr>
                <w:rFonts w:ascii="Arial" w:hAnsi="Arial" w:cs="Arial"/>
                <w:sz w:val="14"/>
                <w:szCs w:val="14"/>
              </w:rPr>
            </w:pPr>
            <w:r w:rsidRPr="00A61595">
              <w:rPr>
                <w:rFonts w:ascii="Arial" w:hAnsi="Arial" w:cs="Arial"/>
                <w:color w:val="000000"/>
                <w:sz w:val="14"/>
                <w:szCs w:val="14"/>
              </w:rPr>
              <w:t>a, c, f</w:t>
            </w:r>
          </w:p>
        </w:tc>
        <w:tc>
          <w:tcPr>
            <w:tcW w:w="229" w:type="pct"/>
          </w:tcPr>
          <w:p w14:paraId="39F9D7DA" w14:textId="79B9904A" w:rsidR="000B21B4" w:rsidRPr="00A61595" w:rsidRDefault="000B21B4" w:rsidP="00380533">
            <w:pPr>
              <w:rPr>
                <w:rFonts w:ascii="Arial" w:hAnsi="Arial" w:cs="Arial"/>
                <w:sz w:val="14"/>
                <w:szCs w:val="14"/>
              </w:rPr>
            </w:pPr>
            <w:r w:rsidRPr="00A61595">
              <w:rPr>
                <w:rFonts w:ascii="Arial" w:hAnsi="Arial" w:cs="Arial"/>
                <w:color w:val="000000"/>
                <w:sz w:val="14"/>
                <w:szCs w:val="14"/>
              </w:rPr>
              <w:t>a, c, d</w:t>
            </w:r>
          </w:p>
        </w:tc>
      </w:tr>
      <w:tr w:rsidR="000B21B4" w:rsidRPr="00A61595" w14:paraId="5C7B9411" w14:textId="5EE15B78" w:rsidTr="00380533">
        <w:trPr>
          <w:trHeight w:val="285"/>
        </w:trPr>
        <w:tc>
          <w:tcPr>
            <w:tcW w:w="715" w:type="pct"/>
            <w:gridSpan w:val="2"/>
            <w:shd w:val="clear" w:color="auto" w:fill="auto"/>
            <w:noWrap/>
            <w:hideMark/>
          </w:tcPr>
          <w:p w14:paraId="162F2E17" w14:textId="1E85E20D"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Kendall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{"citationID":"a1r03irj3os","properties":{"formattedCitation":"(108)","plainCitation":"(108)","noteIndex":0},"citationItems":[{"id":17186,"uris":["http://zotero.org/groups/2477744/items/6BB3NI99"],"itemData":{"id":17186,"type":"article-journal","abstract":"Regulation of food systems exists to ensure safety and enhance consumer confidence in the food which they purchase and consume. However, some regulatory systems fail to instil public confidence. In China for example, trust in the domestic food system is low as a consequence of multiple high-profile food scandals, many of which linked to food fraud. Fraud occurs when food is intentionally adulterated for economic gain and may, but not always, pose a risk to the safety of food. Food authenticity and quality may also be compromised. The focus of this research relates to how Chinese consumers perceive food fraud and make choices in the absence of trust in regulatory systems. Seven focus groups with middle class Chinese participants in tier 1 and 2 cities (Beijing, Guangzhou and Chengdu) were conducted to explore attitudes of and perception towards food fraud. Infant milk formula, olive oil and Scotch whisky were used as prompts for attitudinal and perceptual elicitation. The findings indicated that Chinese consumers consider food fraud to represent a food hazard that poses a threat to the authenticity, quality and reliability of food and increased the risk of purchasing and consuming of unsafe food. Consumers were found to rely on informal kinship networks as trusted sources of information regarding food products’ authenticity and safety. Behavioural responses included a range of risk relieving strategies to support food purchasing judgements, in the perceived absence of regulatory protection, that included: pre-purchase and consumption information seeking; the use of product attributes as authenticity cues; carefully selected acquisition sources; as well as a range of domestically-situated food practices. The strategic implications for food companies and policy are discussed. © 2018","container-title":"Food Control","DOI":"10.1016/j.foodcont.2018.08.006","journalAbbreviation":"Food Control","page":"339-351","title":"Chinese consumer's attitudes, perceptions and behavioural responses towards food fraud","URL":"https://www.scopus.com/inward/record.uri?eid=2-s2.0-85053210940&amp;doi=10.1016%2fj.foodcont.2018.08.006&amp;partnerID=40&amp;md5=b9eb8bb10ec15e0f04a6e12603be91f6","volume":"95","author":[{"family":"Kendall","given":"H."},{"family":"Kuznesof","given":"S."},{"family":"Dean","given":"M."},{"family":"Chan","given":"M.-Y."},{"family":"Clark","given":"B."},{"family":"Home","given":"R."},{"family":"Stolz","given":"H."},{"family":"Zhong","given":"Q."},{"family":"Liu","given":"C."},{"family":"Brereton","given":"P."},{"family":"Frewer","given":"L."}],"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(108)</w:t>
            </w:r>
            <w:r w:rsidRPr="00A61595">
              <w:rPr>
                <w:rFonts w:ascii="Arial" w:eastAsia="Times New Roman" w:hAnsi="Arial" w:cs="Arial"/>
                <w:sz w:val="14"/>
                <w:szCs w:val="14"/>
              </w:rPr>
              <w:fldChar w:fldCharType="end"/>
            </w:r>
          </w:p>
        </w:tc>
        <w:tc>
          <w:tcPr>
            <w:tcW w:w="192" w:type="pct"/>
            <w:shd w:val="clear" w:color="auto" w:fill="auto"/>
            <w:noWrap/>
            <w:hideMark/>
          </w:tcPr>
          <w:p w14:paraId="2B07E99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5BD383FE" w14:textId="62BFCE25"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Chinese consumers</w:t>
            </w:r>
            <w:r w:rsidR="00362BF4">
              <w:rPr>
                <w:rFonts w:ascii="Arial" w:eastAsia="Times New Roman" w:hAnsi="Arial" w:cs="Arial"/>
                <w:color w:val="000000" w:themeColor="text1"/>
                <w:sz w:val="14"/>
                <w:szCs w:val="14"/>
              </w:rPr>
              <w:t>’</w:t>
            </w:r>
            <w:r w:rsidRPr="00A61595">
              <w:rPr>
                <w:rFonts w:ascii="Arial" w:eastAsia="Times New Roman" w:hAnsi="Arial" w:cs="Arial"/>
                <w:color w:val="000000" w:themeColor="text1"/>
                <w:sz w:val="14"/>
                <w:szCs w:val="14"/>
              </w:rPr>
              <w:t xml:space="preserve"> perceptions of food fraud</w:t>
            </w:r>
          </w:p>
        </w:tc>
        <w:tc>
          <w:tcPr>
            <w:tcW w:w="318" w:type="pct"/>
          </w:tcPr>
          <w:p w14:paraId="067EFCB7" w14:textId="0CC609E1"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50B19E18" w14:textId="2475A175"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90ADF9A" w14:textId="4FBFB921"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b, e, </w:t>
            </w:r>
            <w:proofErr w:type="spellStart"/>
            <w:r w:rsidRPr="00A61595">
              <w:rPr>
                <w:rFonts w:ascii="Arial" w:hAnsi="Arial" w:cs="Arial"/>
                <w:color w:val="000000"/>
                <w:sz w:val="14"/>
                <w:szCs w:val="14"/>
              </w:rPr>
              <w:t>i</w:t>
            </w:r>
            <w:proofErr w:type="spellEnd"/>
          </w:p>
        </w:tc>
        <w:tc>
          <w:tcPr>
            <w:tcW w:w="229" w:type="pct"/>
          </w:tcPr>
          <w:p w14:paraId="4130EB77" w14:textId="092E069A" w:rsidR="000B21B4" w:rsidRPr="00A61595" w:rsidRDefault="000B21B4" w:rsidP="00380533">
            <w:pPr>
              <w:rPr>
                <w:rFonts w:ascii="Arial" w:hAnsi="Arial" w:cs="Arial"/>
                <w:sz w:val="14"/>
                <w:szCs w:val="14"/>
              </w:rPr>
            </w:pPr>
            <w:r w:rsidRPr="00A61595">
              <w:rPr>
                <w:rFonts w:ascii="Arial" w:hAnsi="Arial" w:cs="Arial"/>
                <w:color w:val="000000"/>
                <w:sz w:val="14"/>
                <w:szCs w:val="14"/>
              </w:rPr>
              <w:t>d, e</w:t>
            </w:r>
          </w:p>
        </w:tc>
      </w:tr>
      <w:tr w:rsidR="000B21B4" w:rsidRPr="00A61595" w14:paraId="5A49FF2F" w14:textId="45BFECBB" w:rsidTr="00380533">
        <w:trPr>
          <w:trHeight w:val="285"/>
        </w:trPr>
        <w:tc>
          <w:tcPr>
            <w:tcW w:w="715" w:type="pct"/>
            <w:gridSpan w:val="2"/>
            <w:shd w:val="clear" w:color="auto" w:fill="auto"/>
            <w:noWrap/>
            <w:hideMark/>
          </w:tcPr>
          <w:p w14:paraId="0BEC467E" w14:textId="171EF4B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Kendall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{"citationID":"a2cke0tcc51","properties":{"formattedCitation":"(109)","plainCitation":"(109)","noteIndex":0},"citationItems":[{"id":17187,"uris":["http://zotero.org/groups/2477744/items/I95KT23B"],"itemData":{"id":17187,"type":"article-journal","abstract":"Background/Aims Persistent incidents of food fraud in China have resulted in low levels of consumer trust in the authenticity and safety of food that is domestically produced. We examined the relationship between the concerns of Chinese consumers regarding food fraud, and the role that demonstrating authenticity may play in relieving those concerns. Methods A two-stage mixed method design research design was adopted. First, qualitative research (focus groups n = 7) was conducted in three Chinese cities, Beijing, Guangzhou and Chengdu to explore concerns held by Chinese consumers in relation to food fraud. A subsequent quantitative survey (n = 850) tested hypotheses derived from the qualitative research and theoretical literature regarding the relationship between attitudinal measures (including risk perceptions, social trust, and perceptions of benefit associated with demonstrating authenticity), and behavioral intention to purchase “authentic” European products using structural equation modelling. Results Chinese consumers perceive food fraud to be a hazard that represents a food safety risk. Food hazard concern was identified to be geographically influenced. Consumers in Chengdu (tier 2 city) possessed higher levels of hazard concern compared to consumers in Beijing and Guangzhou (tier 1). Structural trust (i.e. trust in actors and the governance of the food supply chain) was not a significant predictor of attitude and intention to purchase authenticated food products. Consumers were shown to have developed ‘risk-relieving’ strategies to compensate for the lack of trust in Chinese food and the dissonance experienced as a consequence of food fraud. Indexical and iconic authenticity cues provided by food manufacturers and regulators were important elements of product evaluations, although geographical differences in their perceived importance were observed. Conclusions Targeted communication of authenticity assurance measures, including; regulations; enforcement; product testing; and actions taken by industry may improve Chinese consumer trust in the domestic food supply chain and reduce consumer concerns regarding the food safety risks associated with food fraud. To support product differentiation and retain prestige, European food manufactures operating within the Chinese market should recognise regional disparities in consumer risk perceptions regarding food fraud and the importance of personal risk mitigation strategies adopted by Chinese consumers to support the identification of authentic products. © 2018 Kendall et al. This is an open access article distributed under the terms of the Creative Commons Attribution License, which permits unrestricted use, distribution, and reproduction in any medium, provided the original author and source are credited.","container-title":"PLoS ONE","DOI":"10.1371/journal.pone.0195817","issue":"5","journalAbbreviation":"PLoS ONE","title":"Food fraud and the perceived integrity of European food imports into China","URL":"https://www.scopus.com/inward/record.uri?eid=2-s2.0-85047484951&amp;doi=10.1371%2fjournal.pone.0195817&amp;partnerID=40&amp;md5=3f2741895249543e1333049612f33cb2","volume":"13","author":[{"family":"Kendall","given":"H."},{"family":"Naughton","given":"P."},{"family":"Kuznesof","given":"S."},{"family":"Raley","given":"M."},{"family":"Dean","given":"M."},{"family":"Clark","given":"B."},{"family":"Stolz","given":"H."},{"family":"Home","given":"R."},{"family":"Chan","given":"M.Y."},{"family":"Zhong","given":"Q."},{"family":"Brereton","given":"P."},{"family":"Frewer","given":"L.J."}],"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(109)</w:t>
            </w:r>
            <w:r w:rsidRPr="00A61595">
              <w:rPr>
                <w:rFonts w:ascii="Arial" w:eastAsia="Times New Roman" w:hAnsi="Arial" w:cs="Arial"/>
                <w:sz w:val="14"/>
                <w:szCs w:val="14"/>
              </w:rPr>
              <w:fldChar w:fldCharType="end"/>
            </w:r>
          </w:p>
        </w:tc>
        <w:tc>
          <w:tcPr>
            <w:tcW w:w="192" w:type="pct"/>
            <w:shd w:val="clear" w:color="auto" w:fill="auto"/>
            <w:noWrap/>
            <w:hideMark/>
          </w:tcPr>
          <w:p w14:paraId="0258FBF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49303AB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Food fraud and the perceived integrity of European food imports into China</w:t>
            </w:r>
          </w:p>
        </w:tc>
        <w:tc>
          <w:tcPr>
            <w:tcW w:w="318" w:type="pct"/>
          </w:tcPr>
          <w:p w14:paraId="6EE990E8" w14:textId="43A592BC"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1168FF5B" w14:textId="41FAFE14"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04190F44" w14:textId="54F21F8E"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b, e, </w:t>
            </w:r>
            <w:proofErr w:type="spellStart"/>
            <w:r w:rsidRPr="00A61595">
              <w:rPr>
                <w:rFonts w:ascii="Arial" w:hAnsi="Arial" w:cs="Arial"/>
                <w:color w:val="000000"/>
                <w:sz w:val="14"/>
                <w:szCs w:val="14"/>
              </w:rPr>
              <w:t>i</w:t>
            </w:r>
            <w:proofErr w:type="spellEnd"/>
          </w:p>
        </w:tc>
        <w:tc>
          <w:tcPr>
            <w:tcW w:w="229" w:type="pct"/>
          </w:tcPr>
          <w:p w14:paraId="506B68F0" w14:textId="67B15FB4"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7B72F98F" w14:textId="1AB1636B" w:rsidTr="00380533">
        <w:trPr>
          <w:trHeight w:val="285"/>
        </w:trPr>
        <w:tc>
          <w:tcPr>
            <w:tcW w:w="715" w:type="pct"/>
            <w:gridSpan w:val="2"/>
            <w:shd w:val="clear" w:color="auto" w:fill="auto"/>
            <w:noWrap/>
            <w:hideMark/>
          </w:tcPr>
          <w:p w14:paraId="63CF9373" w14:textId="335D5E03"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lastRenderedPageBreak/>
              <w:t>Kimanthi</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{"citationID":"aub7dukfg5","properties":{"formattedCitation":"(110)","plainCitation":"(110)","noteIndex":0},"citationItems":[{"id":18549,"uris":["http://zotero.org/groups/2477744/items/BLBX6BFK"],"itemData":{"id":18549,"type":"article-journal","abstract":"Millennium Villages Project (MVP) was implemented in various villages across sub-Saharan African countries to catalyse the achievement of the Millennium Development Goals (MDGs) and provide evidence of step-wise societal transformation by 2015. This paper critically analyses from an assemblage perspective the MVP's ‘quick win’ strategy to achieve the MDGs with a focus on the implementation of agricultural interventions and their impacts on the socio-technical fabric in Sauri Millennium Village (SMV) in western Kenya. Our anatomy of MVP highlights that MVP is a continuation of a decades-long of development approaches that sets out to fix development. Analysis of our qualitatively collected longitudinal data show that the SMV was blind to individual and collective forms of agency and heterogeneity among the social actors; hence grassroots corruption, elite capture of agricultural inputs, injury of social relations and exacerbation of the existing inequalities within the community. It spawned tensions and suspicions within the community. The farmers reworked the introduced ideas and technologies to fit to their needs and actively engaged with their own locally produced and exchanged resources. Typical for SMV was also an extremely questionable style of reporting that hid its achievements and failures from the general public. The “Big Promise” that MVP would deliver did not materialise; it simply failed to achieve its objectives and was unable to learn from previous interventionist strategies, it fractured communities and faded into oblivion.","container-title":"Journal of Rural Studies","DOI":"10.1016/j.jrurstud.2017.12.019","journalAbbreviation":"Journal of Rural Studies","page":"157-170","title":"‘Castle in the sky’: The anomaly of the millennium villages project fixing food and markets in Sauri, western Kenya","volume":"57","author":[{"family":"Kimanthi","given":"Hellen"},{"family":"Hebinck","given":"Paul"}],"issued":{"date-parts":[["2018"]]}}}],"schema":"https://github.com/citation-style-language/schema/raw/master/csl-citation.json"}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(110)</w:t>
            </w:r>
            <w:r w:rsidRPr="00A61595">
              <w:rPr>
                <w:rFonts w:ascii="Arial" w:eastAsia="Times New Roman" w:hAnsi="Arial" w:cs="Arial"/>
                <w:sz w:val="14"/>
                <w:szCs w:val="14"/>
              </w:rPr>
              <w:fldChar w:fldCharType="end"/>
            </w:r>
          </w:p>
        </w:tc>
        <w:tc>
          <w:tcPr>
            <w:tcW w:w="192" w:type="pct"/>
            <w:shd w:val="clear" w:color="auto" w:fill="auto"/>
            <w:noWrap/>
            <w:hideMark/>
          </w:tcPr>
          <w:p w14:paraId="2D5899C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652FF26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anomaly of the millennium villages project fixing food and markets in Kenya</w:t>
            </w:r>
          </w:p>
        </w:tc>
        <w:tc>
          <w:tcPr>
            <w:tcW w:w="318" w:type="pct"/>
          </w:tcPr>
          <w:p w14:paraId="223FD059" w14:textId="2C441D2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5289CF5" w14:textId="4C1F963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021A2672" w14:textId="72D1D002"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229" w:type="pct"/>
          </w:tcPr>
          <w:p w14:paraId="404182CF" w14:textId="7625C061" w:rsidR="000B21B4" w:rsidRPr="00A61595" w:rsidRDefault="000B21B4" w:rsidP="00380533">
            <w:pPr>
              <w:rPr>
                <w:rFonts w:ascii="Arial" w:hAnsi="Arial" w:cs="Arial"/>
                <w:sz w:val="14"/>
                <w:szCs w:val="14"/>
              </w:rPr>
            </w:pPr>
            <w:r w:rsidRPr="00A61595">
              <w:rPr>
                <w:rFonts w:ascii="Arial" w:hAnsi="Arial" w:cs="Arial"/>
                <w:color w:val="000000"/>
                <w:sz w:val="14"/>
                <w:szCs w:val="14"/>
              </w:rPr>
              <w:t>a, g</w:t>
            </w:r>
          </w:p>
        </w:tc>
      </w:tr>
      <w:tr w:rsidR="000B21B4" w:rsidRPr="00A61595" w14:paraId="15EDA326" w14:textId="2152398F" w:rsidTr="00380533">
        <w:trPr>
          <w:trHeight w:val="285"/>
        </w:trPr>
        <w:tc>
          <w:tcPr>
            <w:tcW w:w="715" w:type="pct"/>
            <w:gridSpan w:val="2"/>
            <w:shd w:val="clear" w:color="auto" w:fill="auto"/>
            <w:noWrap/>
            <w:hideMark/>
          </w:tcPr>
          <w:p w14:paraId="04DCE03C" w14:textId="7A9EC3B1"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Kopytko</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{"citationID":"a2na6hoictk","properties":{"formattedCitation":"(111)","plainCitation":"(111)","noteIndex":0},"citationItems":[{"id":17052,"uris":["http://zotero.org/groups/2477744/items/UCMBAXPM"],"itemData":{"id":17052,"type":"article-journal","abstract":"The agri-food sector has contributed significantly to climate change, but has an important role to play in climate change mitigation and adaptation. The agri-food sector has many potential win–win–win strategies that benefit mitigation and adaptation, and also deliver gains in rural income and land management. Post-Soviet transition economies provide a good model for understanding some of the barriers to adaptation and mitigation in the agri-food sector, due to their significant unmet agricultural potential combined with inefficient energy use. Ukraine is used as a case study to explore the barriers and bridges to addressing climate change in a post-Soviet state. A variety of stakeholders and farmers were interviewed about mitigation and adaptation and the current response capacity. Grounded theory analysis revealed themes that are perceived to function as barriers including: pandering, oligarchs and market interventions; corruption and transparency; and survival, freedom and law enforcement. Foreign involvement and investment emerged as a bridge to overcoming these barriers. The results indicate that significant progress in climate mitigation and adaptation in the agri-food sector in Ukraine will only be achieved if some of the wider political and social issues facing the country can be addressed. Policy relevance Ukraine has considerable potential for both agricultural production and climate change mitigation; however, this potential can only be met by identifying and addressing barriers currently impeding progress. This article found that barriers to effective climate change are perceived to stem from wider post-Soviet transition issues. These wider issues need to be addressed during the implementation of climate policy since they are viewed to be important by a wide variety of stakeholders. International negotiations have provided little incentive for Ukraine to achieve effective mitigation, and corrupt practices further impair mitigation projects. In addition, export quotas currently function as a maladaptive climate policy and reduce both farmers' capacity in Ukraine and international food security. Meanwhile, foreign involvement, not just financial investment, but also the investment of ideas can provide a bridge to effective climate policy. The international community needs to provide a legal framework and assist Ukraine in adopting transparent processes in order to successfully execute climate policy.","container-title":"Climate Policy","DOI":"10.1080/14693062.2014.979131","issue":"1","journalAbbreviation":"Climate Policy","page":"68-87","title":"Change and transition: the climate of Ukraine's agri-food sector","volume":"16","author":[{"family":"Kopytko","given":"Natalie"}],"issued":{"date-parts":[["2016"]]}}}],"schema":"https://github.com/citation-style-language/schema/raw/master/csl-citation.json"}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(111)</w:t>
            </w:r>
            <w:r w:rsidRPr="00A61595">
              <w:rPr>
                <w:rFonts w:ascii="Arial" w:eastAsia="Times New Roman" w:hAnsi="Arial" w:cs="Arial"/>
                <w:sz w:val="14"/>
                <w:szCs w:val="14"/>
              </w:rPr>
              <w:fldChar w:fldCharType="end"/>
            </w:r>
          </w:p>
        </w:tc>
        <w:tc>
          <w:tcPr>
            <w:tcW w:w="192" w:type="pct"/>
            <w:shd w:val="clear" w:color="auto" w:fill="auto"/>
            <w:noWrap/>
            <w:hideMark/>
          </w:tcPr>
          <w:p w14:paraId="289305E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0C78EB7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Barriers to climate change capacity building, adaptation, and mitigation in Ukraine’s agri-food sector</w:t>
            </w:r>
          </w:p>
        </w:tc>
        <w:tc>
          <w:tcPr>
            <w:tcW w:w="318" w:type="pct"/>
          </w:tcPr>
          <w:p w14:paraId="6A76E136" w14:textId="523B3DB1"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306" w:type="pct"/>
          </w:tcPr>
          <w:p w14:paraId="6DAAD2A5" w14:textId="45BA9055"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4D5FF1B6" w14:textId="213FEF56"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w:t>
            </w: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k</w:t>
            </w:r>
          </w:p>
        </w:tc>
        <w:tc>
          <w:tcPr>
            <w:tcW w:w="229" w:type="pct"/>
          </w:tcPr>
          <w:p w14:paraId="74C8B100" w14:textId="2CCD83A5" w:rsidR="000B21B4" w:rsidRPr="00A61595" w:rsidRDefault="000B21B4" w:rsidP="00380533">
            <w:pPr>
              <w:rPr>
                <w:rFonts w:ascii="Arial" w:hAnsi="Arial" w:cs="Arial"/>
                <w:sz w:val="14"/>
                <w:szCs w:val="14"/>
              </w:rPr>
            </w:pPr>
            <w:r w:rsidRPr="00A61595">
              <w:rPr>
                <w:rFonts w:ascii="Arial" w:hAnsi="Arial" w:cs="Arial"/>
                <w:color w:val="000000"/>
                <w:sz w:val="14"/>
                <w:szCs w:val="14"/>
              </w:rPr>
              <w:t>a, b, e</w:t>
            </w:r>
          </w:p>
        </w:tc>
      </w:tr>
      <w:tr w:rsidR="000B21B4" w:rsidRPr="00A61595" w14:paraId="0D4C200D" w14:textId="63401CC4" w:rsidTr="00380533">
        <w:trPr>
          <w:trHeight w:val="285"/>
        </w:trPr>
        <w:tc>
          <w:tcPr>
            <w:tcW w:w="715" w:type="pct"/>
            <w:gridSpan w:val="2"/>
            <w:shd w:val="clear" w:color="auto" w:fill="auto"/>
            <w:noWrap/>
            <w:hideMark/>
          </w:tcPr>
          <w:p w14:paraId="5898B2C2" w14:textId="66A22350"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Koubová</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{"citationID":"ahevn5cfiq","properties":{"formattedCitation":"(112)","plainCitation":"(112)","noteIndex":0},"citationItems":[{"id":17188,"uris":["http://zotero.org/groups/2477744/items/MSMER2PS"],"itemData":{"id":17188,"type":"article-journal","abstract":"Purpose: The purpose of this paper is to evaluate food fraud detection in the Czech food retail market based on the findings of the Czech Agricultural and Food Inspection Authority (CAFIA). Design/methodology/approach: The outcomes of administrative proceedings from 2009 and 2013 were used. Data were collected from e-databases of the CAFIA and sorted by the current valid qualification for food fraud following Article 16, Regulation (EC) No. 178/2002 of the European Parliament and of the Council. Findings: Food fraud was detected, almost to the same extent, in both selected years by laboratory testing as well as on the basis of “on the spot” controls in retail establishments. The meat products were a food group with the most fraudulent tendency in both selected years. Originality/value: This paper contributes to the overview of food fraud and could help to detect ways of food deception for the competent authorities and consumers. © 2018, Emerald Publishing Limited.","container-title":"British Food Journal","DOI":"10.1108/BFJ-07-2017-0367","issue":"4","journalAbbreviation":"British Food Journal","page":"930-938","title":"Food fraud detection by Czech Agricultural and Food Inspection Authority in retail market","URL":"https://www.scopus.com/inward/record.uri?eid=2-s2.0-85045020078&amp;doi=10.1108%2fBFJ-07-2017-0367&amp;partnerID=40&amp;md5=eb7668503b1dec67fb5fd8bb9d322a14","volume":"120","author":[{"family":"Koubová","given":"J."},{"family":"Samková","given":"E."},{"family":"Hasonová","given":"L."}],"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(112)</w:t>
            </w:r>
            <w:r w:rsidRPr="00A61595">
              <w:rPr>
                <w:rFonts w:ascii="Arial" w:eastAsia="Times New Roman" w:hAnsi="Arial" w:cs="Arial"/>
                <w:sz w:val="14"/>
                <w:szCs w:val="14"/>
              </w:rPr>
              <w:fldChar w:fldCharType="end"/>
            </w:r>
          </w:p>
        </w:tc>
        <w:tc>
          <w:tcPr>
            <w:tcW w:w="192" w:type="pct"/>
            <w:shd w:val="clear" w:color="auto" w:fill="auto"/>
            <w:noWrap/>
            <w:hideMark/>
          </w:tcPr>
          <w:p w14:paraId="750EA10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580685E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Food fraud detection in retail markets</w:t>
            </w:r>
          </w:p>
        </w:tc>
        <w:tc>
          <w:tcPr>
            <w:tcW w:w="318" w:type="pct"/>
          </w:tcPr>
          <w:p w14:paraId="2D9C8483" w14:textId="586B90A8"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68947259" w14:textId="319958E5"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1F3BB97" w14:textId="62F41731"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1E7061FB" w14:textId="492A9003"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32DC29D" w14:textId="00E39B6F" w:rsidTr="00380533">
        <w:trPr>
          <w:trHeight w:val="285"/>
        </w:trPr>
        <w:tc>
          <w:tcPr>
            <w:tcW w:w="715" w:type="pct"/>
            <w:gridSpan w:val="2"/>
            <w:shd w:val="clear" w:color="auto" w:fill="auto"/>
            <w:noWrap/>
            <w:hideMark/>
          </w:tcPr>
          <w:p w14:paraId="3C76557C" w14:textId="7FD94932"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Kowalska</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{"citationID":"a2lj5u1vc04","properties":{"formattedCitation":"(113)","plainCitation":"(113)","noteIndex":0},"citationItems":[{"id":17189,"uris":["http://zotero.org/groups/2477744/items/2ZES4Y9I"],"itemData":{"id":17189,"type":"article-journal","abstract":"The first purpose of this paper is to collate and conceptualize two problems: food fraud / adulteration and food authenticity. The second aim is to investigate students' understanding of these concepts and their implications for consumers and producers (processors and / or farmers) to include food fraud course in university programme for business majors. In the theoretical part of the paper, the cognitive-critical analysis of the world's literature was applied; the analysis was enriched with instantiations coming from Polish economy, market issues and legislative framework. In the empirical (applicable) part, questionnaire survey was conducted among students of Economics Faculty at Polish university in 2016. Since food supply chains are more and more vulnerable to fraud, the issue has been getting significance rapidly. Both food fraud / adulteration and food authenticity may be treated in terms of instruments that entrepreneurs have in their hands while trying to succeed. The point is that consumers should be aware of these problems, appropriate educational program including university syllabus would help to raise this awareness. The surveyed students' understanding of the phenomenon is quite appropriate. The proposition is to conduct a social campaign covering researched issues. Knowledgeable consumers impose additional pressure on food industry to become more disciplined. The original contribution of this paper to theory is showing the intersection between food fraud / adulteration and authenticity concepts and recognising Polish students' perception of these issues. © 2018 Mendel University of Agriculture and Forestry Brno. All rights reserved.","container-title":"Acta Universitatis Agriculturae et Silviculturae Mendelianae Brunensis","DOI":"10.11118/actaun201866051275","issue":"5","journalAbbreviation":"Acta Universitatis Agriculturae et Silviculturae Mendelianae Brunensis","page":"1275-1286","title":"The study of the intersection between food FR aud / adulter ation and authenticity","URL":"https://www.scopus.com/inward/record.uri?eid=2-s2.0-85056270819&amp;doi=10.11118%2factaun201866051275&amp;partnerID=40&amp;md5=a929a1d50ade81c21c9640e8e7d16ff7","volume":"66","author":[{"family":"Kowalska","given":"A."}],"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(113)</w:t>
            </w:r>
            <w:r w:rsidRPr="00A61595">
              <w:rPr>
                <w:rFonts w:ascii="Arial" w:eastAsia="Times New Roman" w:hAnsi="Arial" w:cs="Arial"/>
                <w:sz w:val="14"/>
                <w:szCs w:val="14"/>
              </w:rPr>
              <w:fldChar w:fldCharType="end"/>
            </w:r>
          </w:p>
        </w:tc>
        <w:tc>
          <w:tcPr>
            <w:tcW w:w="192" w:type="pct"/>
            <w:shd w:val="clear" w:color="auto" w:fill="auto"/>
            <w:noWrap/>
            <w:hideMark/>
          </w:tcPr>
          <w:p w14:paraId="22BA49D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4C2D5BF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Understandings of food fraud among students</w:t>
            </w:r>
          </w:p>
        </w:tc>
        <w:tc>
          <w:tcPr>
            <w:tcW w:w="318" w:type="pct"/>
          </w:tcPr>
          <w:p w14:paraId="36CEAAB8" w14:textId="2F2F147C"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317833EE" w14:textId="3C31A76C"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6B6D03A8" w14:textId="57F0B3E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w:t>
            </w:r>
            <w:proofErr w:type="spellStart"/>
            <w:r w:rsidRPr="00A61595">
              <w:rPr>
                <w:rFonts w:ascii="Arial" w:hAnsi="Arial" w:cs="Arial"/>
                <w:color w:val="000000"/>
                <w:sz w:val="14"/>
                <w:szCs w:val="14"/>
              </w:rPr>
              <w:t>i</w:t>
            </w:r>
            <w:proofErr w:type="spellEnd"/>
          </w:p>
        </w:tc>
        <w:tc>
          <w:tcPr>
            <w:tcW w:w="229" w:type="pct"/>
          </w:tcPr>
          <w:p w14:paraId="503227D6" w14:textId="48334ED5"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4495D0FF" w14:textId="73642302" w:rsidTr="00380533">
        <w:trPr>
          <w:trHeight w:val="285"/>
        </w:trPr>
        <w:tc>
          <w:tcPr>
            <w:tcW w:w="715" w:type="pct"/>
            <w:gridSpan w:val="2"/>
            <w:shd w:val="clear" w:color="auto" w:fill="auto"/>
            <w:noWrap/>
            <w:hideMark/>
          </w:tcPr>
          <w:p w14:paraId="0D8FB723" w14:textId="00995078"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Kroetz</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{"citationID":"a1lahcgttsv","properties":{"formattedCitation":"(114)","plainCitation":"(114)","noteIndex":0},"citationItems":[{"id":17190,"uris":["http://zotero.org/groups/2477744/items/VPYBP2XV"],"itemData":{"id":17190,"type":"article-journal","abstract":"Over the past decade, seafood mislabeling has been increasingly documented, raising public concern over the identity, safety, and sustainability of seafood. Negative outcomes from seafood mislabeling are suspected to be substantial and pervasive as seafood is the world’s most highly traded food commodity. Here we provide empirical systems-level evidence that enabling conditions exist for seafood mislabeling in the United States (US) to lead to negative impacts on marine populations and support consumption of products from poorly managed fisheries. Using trade, production, and mislabeling data, we determine that substituted products are more likely to be imported than the product listed on the label. We also estimate that about 60% of US mislabeled apparent consumption associated with the established pairs involves products that are exclusively wild caught. We use these wild-caught pairs to explore population and management consequences of mislabeling. We find that, compared to the product on the label, substituted products come from fisheries with less healthy stocks and greater impacts of fishing on other species. Additionally, substituted products are from fisheries with less effective management and with management policies less likely to mitigate impacts of fishing on habitats and ecosystems compared with the label product. While we provide systematic evidence of environmental impacts from food fraud, our results also highlight the current challenges with production, trade, and mislabeling data, which increase the uncertainty surrounding seafood mislabeling consequences. More integrated, holistic, and collaborative approaches are needed to understand mislabeling impacts and design interventions to minimize mislabeling. © 2020 National Academy of Sciences. All rights reserved.","container-title":"Proceedings of the National Academy of Sciences of the United States of America","DOI":"10.1073/pnas.2003741117","issue":"48","journalAbbreviation":"Proceedings of the National Academy of Sciences of the United States of America","page":"30318-30323","title":"Consequences of seafood mislabeling for marine populations and fisheries management","URL":"https://www.scopus.com/inward/record.uri?eid=2-s2.0-85097211489&amp;doi=10.1073%2fpnas.2003741117&amp;partnerID=40&amp;md5=3b022ca48abab4958413d9b5dbe2028e","volume":"117","author":[{"family":"Kroetz","given":"K."},{"family":"Luque","given":"G.M."},{"family":"Gephart","given":"J.A."},{"family":"Jardine","given":"S.L."},{"family":"Lee","given":"P."},{"family":"Moore","given":"K.C."},{"family":"Cole","given":"C."},{"family":"Steinkruger","given":"A."},{"family":"Josh Donlan","given":"C."}],"issued":{"date-parts":[["2020"]]}}}],"schema":"https://github.com/citation-style-language/schema/raw/master/csl-citation.json"}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(114)</w:t>
            </w:r>
            <w:r w:rsidRPr="00A61595">
              <w:rPr>
                <w:rFonts w:ascii="Arial" w:eastAsia="Times New Roman" w:hAnsi="Arial" w:cs="Arial"/>
                <w:sz w:val="14"/>
                <w:szCs w:val="14"/>
              </w:rPr>
              <w:fldChar w:fldCharType="end"/>
            </w:r>
          </w:p>
        </w:tc>
        <w:tc>
          <w:tcPr>
            <w:tcW w:w="192" w:type="pct"/>
            <w:shd w:val="clear" w:color="auto" w:fill="auto"/>
            <w:noWrap/>
            <w:hideMark/>
          </w:tcPr>
          <w:p w14:paraId="5D7172B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41DC898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enabling conditions for seafood mislabeling</w:t>
            </w:r>
          </w:p>
        </w:tc>
        <w:tc>
          <w:tcPr>
            <w:tcW w:w="318" w:type="pct"/>
          </w:tcPr>
          <w:p w14:paraId="639FF790" w14:textId="5D3A1686"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0AE948A0" w14:textId="187EEF85"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3293D886" w14:textId="58B776D0" w:rsidR="000B21B4" w:rsidRPr="00A61595" w:rsidRDefault="000B21B4" w:rsidP="00380533">
            <w:pPr>
              <w:rPr>
                <w:rFonts w:ascii="Arial" w:hAnsi="Arial" w:cs="Arial"/>
                <w:sz w:val="14"/>
                <w:szCs w:val="14"/>
              </w:rPr>
            </w:pPr>
            <w:r w:rsidRPr="00A61595">
              <w:rPr>
                <w:rFonts w:ascii="Arial" w:hAnsi="Arial" w:cs="Arial"/>
                <w:color w:val="000000"/>
                <w:sz w:val="14"/>
                <w:szCs w:val="14"/>
              </w:rPr>
              <w:t>f, j</w:t>
            </w:r>
          </w:p>
        </w:tc>
        <w:tc>
          <w:tcPr>
            <w:tcW w:w="229" w:type="pct"/>
          </w:tcPr>
          <w:p w14:paraId="6CE66192" w14:textId="1155FDEE"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r>
      <w:tr w:rsidR="000B21B4" w:rsidRPr="00A61595" w14:paraId="5A3194AC" w14:textId="2AFB4A4F" w:rsidTr="00380533">
        <w:trPr>
          <w:trHeight w:val="285"/>
        </w:trPr>
        <w:tc>
          <w:tcPr>
            <w:tcW w:w="715" w:type="pct"/>
            <w:gridSpan w:val="2"/>
            <w:shd w:val="clear" w:color="auto" w:fill="auto"/>
            <w:noWrap/>
            <w:hideMark/>
          </w:tcPr>
          <w:p w14:paraId="427F9A42" w14:textId="530ADF0A"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Kumar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{"citationID":"a9p1u4tq3c","properties":{"formattedCitation":"(115)","plainCitation":"(115)","noteIndex":0},"citationItems":[{"id":17059,"uris":["http://zotero.org/groups/2477744/items/AWNCVKI7"],"itemData":{"id":17059,"type":"paper-conference","abstract":"Public distribution system in India, a government created system intended to ensure food security and supply of other essentials to the rural poor has failed to protect the interests of the poor. The failure has been primarily due to corruption in the system. This paper focuses on the magnitude of such corruption at micro level, its implications and suggestions for revamping. The role of ``Consumer Clubs{''} which have been established in the rural schools to strengthen PDS and to provide food security was examined in this context. (C) 2012 Published by Elsevier Ltd.","DOI":"10.1016/j.sbspro.2012.11.116","event-title":"INTERNATIONAL CONGRESS ON INTERDISCIPLINARY BUSINESS AND SOCIAL SCIENCES 2012 (ICIBSOS 2012)","page":"232-238","title":"Public distribution system in rural India: Implications for food safety and consumer protection","volume":"65","author":[{"family":"Kumar","given":"Basanta"},{"family":"Mohanty","given":"Brajraj"}],"issued":{"date-parts":[["2012"]]}}}],"schema":"https://github.com/citation-style-language/schema/raw/master/csl-citation.json"}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(115)</w:t>
            </w:r>
            <w:r w:rsidRPr="00A61595">
              <w:rPr>
                <w:rFonts w:ascii="Arial" w:eastAsia="Times New Roman" w:hAnsi="Arial" w:cs="Arial"/>
                <w:sz w:val="14"/>
                <w:szCs w:val="14"/>
              </w:rPr>
              <w:fldChar w:fldCharType="end"/>
            </w:r>
          </w:p>
        </w:tc>
        <w:tc>
          <w:tcPr>
            <w:tcW w:w="192" w:type="pct"/>
            <w:shd w:val="clear" w:color="auto" w:fill="auto"/>
            <w:noWrap/>
            <w:hideMark/>
          </w:tcPr>
          <w:p w14:paraId="344DA4B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2012</w:t>
            </w:r>
          </w:p>
        </w:tc>
        <w:tc>
          <w:tcPr>
            <w:tcW w:w="2869" w:type="pct"/>
            <w:gridSpan w:val="4"/>
            <w:shd w:val="clear" w:color="auto" w:fill="auto"/>
            <w:noWrap/>
            <w:hideMark/>
          </w:tcPr>
          <w:p w14:paraId="42DAAD27"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Corrupt practices in public distribution system</w:t>
            </w:r>
          </w:p>
        </w:tc>
        <w:tc>
          <w:tcPr>
            <w:tcW w:w="318" w:type="pct"/>
          </w:tcPr>
          <w:p w14:paraId="055E910B" w14:textId="112EA3FC"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17EF0C65" w14:textId="4555BCA2" w:rsidR="000B21B4" w:rsidRPr="00A61595" w:rsidRDefault="000B21B4" w:rsidP="00380533">
            <w:pPr>
              <w:rPr>
                <w:rFonts w:ascii="Arial" w:hAnsi="Arial" w:cs="Arial"/>
                <w:sz w:val="14"/>
                <w:szCs w:val="14"/>
              </w:rPr>
            </w:pPr>
            <w:r w:rsidRPr="00A61595">
              <w:rPr>
                <w:rFonts w:ascii="Arial" w:hAnsi="Arial" w:cs="Arial"/>
                <w:color w:val="000000"/>
                <w:sz w:val="14"/>
                <w:szCs w:val="14"/>
              </w:rPr>
              <w:t>a, b, d</w:t>
            </w:r>
          </w:p>
        </w:tc>
        <w:tc>
          <w:tcPr>
            <w:tcW w:w="371" w:type="pct"/>
          </w:tcPr>
          <w:p w14:paraId="48BB3769" w14:textId="053274A3"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f, h, </w:t>
            </w:r>
            <w:proofErr w:type="spellStart"/>
            <w:r w:rsidRPr="00A61595">
              <w:rPr>
                <w:rFonts w:ascii="Arial" w:hAnsi="Arial" w:cs="Arial"/>
                <w:color w:val="000000"/>
                <w:sz w:val="14"/>
                <w:szCs w:val="14"/>
              </w:rPr>
              <w:t>i</w:t>
            </w:r>
            <w:proofErr w:type="spellEnd"/>
          </w:p>
        </w:tc>
        <w:tc>
          <w:tcPr>
            <w:tcW w:w="229" w:type="pct"/>
          </w:tcPr>
          <w:p w14:paraId="5149A43D" w14:textId="7BB14643"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r>
      <w:tr w:rsidR="000B21B4" w:rsidRPr="00A61595" w14:paraId="3832D4CA" w14:textId="5AE16941" w:rsidTr="00380533">
        <w:trPr>
          <w:trHeight w:val="285"/>
        </w:trPr>
        <w:tc>
          <w:tcPr>
            <w:tcW w:w="715" w:type="pct"/>
            <w:gridSpan w:val="2"/>
            <w:shd w:val="clear" w:color="auto" w:fill="auto"/>
            <w:noWrap/>
            <w:hideMark/>
          </w:tcPr>
          <w:p w14:paraId="3B216CB7" w14:textId="69DCAA4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Lammer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{"citationID":"a1qfkgovf1n","properties":{"formattedCitation":"(116)","plainCitation":"(116)","noteIndex":0},"citationItems":[{"id":18648,"uris":["http://zotero.org/groups/2477744/items/RQNVNN2T"],"itemData":{"id":18648,"type":"article-journal","abstract":"Blurred boundaries between public and private have long been presented as signs of the Chinese state's \"otherness.\" This othering is prone to continue in discussions of food safety regulation in China. In the dominant Western model of the independent regulator, personal relations are framed as corruption and presented as a threat to institutions. Anthropological writing on post-socialism offers the reverse argument, that personalistic ties such as guanxi compensate for institutional deficiencies. Both interpretations are limited because of their reliance on economic theory rather than on ethnographic theorising. During fieldwork in a food network of peasant cooperatives and consumer associations in Sichuan, I observed that images of personal relations are nurturing both urban middle class consumers' distrust in the state's regulatory capacity regarding organic food and their hope for transparency in a civic alternative. To understand these ambivalent interpretations of personal relatedness as either inducing corruption or enabling transparency, I adopt a relational approach to the state. The article shows how positive evaluations of personal relatedness emerge as state officials and other citizens in the food network distance \"the state.\" This analytical focus on performative boundary work promises a way out of the dead-end of presupposed otherness in debates on regulation in China.","archive_location":"2230824658","container-title":"Urban Anthropology and Studies of Cultural Systems and World Economic Development","issue":"3/4","journalAbbreviation":"Urban Anthropology and Studies of Cultural Systems and World Economic Development","note":"publisher-place: Brockport\npublisher: Institute for the Study of Man","page":"369","title":"Distancing The Regulating State: Corruption, Transparency, And rhe Puzzle of Personal Relatedness In A Food Network In Sichuan","URL":"http://ezproxy.library.yorku.ca/login?url=https://search.proquest.com/docview/2230824658?accountid=15182","volume":"47","author":[{"family":"Lammer","given":"Christof"}],"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(116)</w:t>
            </w:r>
            <w:r w:rsidRPr="00A61595">
              <w:rPr>
                <w:rFonts w:ascii="Arial" w:eastAsia="Times New Roman" w:hAnsi="Arial" w:cs="Arial"/>
                <w:sz w:val="14"/>
                <w:szCs w:val="14"/>
              </w:rPr>
              <w:fldChar w:fldCharType="end"/>
            </w:r>
          </w:p>
        </w:tc>
        <w:tc>
          <w:tcPr>
            <w:tcW w:w="192" w:type="pct"/>
            <w:shd w:val="clear" w:color="auto" w:fill="auto"/>
            <w:noWrap/>
            <w:hideMark/>
          </w:tcPr>
          <w:p w14:paraId="0C548758"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1A011FE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Corruption, Transparency, and the puzzle of personal relatedness in a Chinese food network</w:t>
            </w:r>
          </w:p>
        </w:tc>
        <w:tc>
          <w:tcPr>
            <w:tcW w:w="318" w:type="pct"/>
          </w:tcPr>
          <w:p w14:paraId="148FD8A1" w14:textId="233F0817"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6D764F2F" w14:textId="44262AFA" w:rsidR="000B21B4" w:rsidRPr="00A61595" w:rsidRDefault="000B21B4" w:rsidP="00380533">
            <w:pPr>
              <w:rPr>
                <w:rFonts w:ascii="Arial" w:hAnsi="Arial" w:cs="Arial"/>
                <w:sz w:val="14"/>
                <w:szCs w:val="14"/>
              </w:rPr>
            </w:pPr>
            <w:r w:rsidRPr="00A61595">
              <w:rPr>
                <w:rFonts w:ascii="Arial" w:hAnsi="Arial" w:cs="Arial"/>
                <w:color w:val="000000"/>
                <w:sz w:val="14"/>
                <w:szCs w:val="14"/>
              </w:rPr>
              <w:t>a, d, e</w:t>
            </w:r>
          </w:p>
        </w:tc>
        <w:tc>
          <w:tcPr>
            <w:tcW w:w="371" w:type="pct"/>
          </w:tcPr>
          <w:p w14:paraId="6EC8AED7" w14:textId="074BA3BF"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23E8562F" w14:textId="7BD59194"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r>
      <w:tr w:rsidR="000B21B4" w:rsidRPr="00A61595" w14:paraId="19F80E74" w14:textId="4B3EC7A3" w:rsidTr="00380533">
        <w:trPr>
          <w:trHeight w:val="285"/>
        </w:trPr>
        <w:tc>
          <w:tcPr>
            <w:tcW w:w="715" w:type="pct"/>
            <w:gridSpan w:val="2"/>
            <w:shd w:val="clear" w:color="auto" w:fill="auto"/>
            <w:noWrap/>
            <w:hideMark/>
          </w:tcPr>
          <w:p w14:paraId="111A0F5E" w14:textId="656F74F9"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Lander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{"citationID":"a2n24h91vuo","properties":{"formattedCitation":"(117)","plainCitation":"(117)","noteIndex":0},"citationItems":[{"id":18625,"uris":["http://zotero.org/groups/2477744/items/U2YHKMLW"],"itemData":{"id":18625,"type":"article-journal","abstract":"This paper utilises a qualitative narrative analysis approach to examine smaller foreign investors operating within the Russian agricultural sector as private farmers: the foreign versions of the krestyansko-fermerskiye khoziaistva (peasant farms) that were the early focus of agrarian reform. With difficulty experienced by foreign investment in Russian agriculture, and with the Putin administration shifting its focus to larger scale agriculture, interest lies in the fate of these smaller foreign investors, set in the broader question of: `Is there really a future for smaller foreign investors in Russia?' The investors were aligned along a performance and narrative spectrum, and the construction of their identities - guided by their adaptive processes on the `Turnerian' frontier - were found to shape their business conduct, and interactions with labour forces and regional authorities. Negative prejudgment of the labour force existed amongst the investors - with associated negative notions of trust, inefficiency, laziness, morality, and sexual deviancy - and they were involved in explicit or ambiguous forms of gift-gifting, drawing parallels to Soviet blat behaviour. This paper concludes that despite efforts to construct identity, the narratives of the investors betrayed themselves in certain aspects, with elements of `undoing' in the identity process.","container-title":"JOURNAL OF PEASANT STUDIES","DOI":"10.1080/03066150.2017.1371142","issue":"1","journalAbbreviation":"JOURNAL OF PEASANT STUDIES","page":"165-187","title":"Adaptive strategies of smaller foreign investors in the Russian agricultural sector: identity, narrative and performance","volume":"46","author":[{"family":"Lander","given":"Christopher D"}],"issued":{"date-parts":[["2019"]]}}}],"schema":"https://github.com/citation-style-language/schema/raw/master/csl-citation.json"}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(117)</w:t>
            </w:r>
            <w:r w:rsidRPr="00A61595">
              <w:rPr>
                <w:rFonts w:ascii="Arial" w:eastAsia="Times New Roman" w:hAnsi="Arial" w:cs="Arial"/>
                <w:sz w:val="14"/>
                <w:szCs w:val="14"/>
              </w:rPr>
              <w:fldChar w:fldCharType="end"/>
            </w:r>
          </w:p>
        </w:tc>
        <w:tc>
          <w:tcPr>
            <w:tcW w:w="192" w:type="pct"/>
            <w:shd w:val="clear" w:color="auto" w:fill="auto"/>
            <w:noWrap/>
            <w:hideMark/>
          </w:tcPr>
          <w:p w14:paraId="2FCC55A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61306DF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Adaptive strategies of smaller foreign investors in the Russian agricultural sector</w:t>
            </w:r>
          </w:p>
        </w:tc>
        <w:tc>
          <w:tcPr>
            <w:tcW w:w="318" w:type="pct"/>
          </w:tcPr>
          <w:p w14:paraId="427D8F35" w14:textId="0B7C361C"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65EBB9AC" w14:textId="37348586"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71" w:type="pct"/>
          </w:tcPr>
          <w:p w14:paraId="1F3ED806" w14:textId="74F325BE" w:rsidR="000B21B4" w:rsidRPr="00A61595" w:rsidRDefault="000B21B4" w:rsidP="00380533">
            <w:pPr>
              <w:rPr>
                <w:rFonts w:ascii="Arial" w:hAnsi="Arial" w:cs="Arial"/>
                <w:sz w:val="14"/>
                <w:szCs w:val="14"/>
              </w:rPr>
            </w:pPr>
            <w:r w:rsidRPr="00A61595">
              <w:rPr>
                <w:rFonts w:ascii="Arial" w:hAnsi="Arial" w:cs="Arial"/>
                <w:color w:val="000000"/>
                <w:sz w:val="14"/>
                <w:szCs w:val="14"/>
              </w:rPr>
              <w:t>a, d, g</w:t>
            </w:r>
          </w:p>
        </w:tc>
        <w:tc>
          <w:tcPr>
            <w:tcW w:w="229" w:type="pct"/>
          </w:tcPr>
          <w:p w14:paraId="48F21E2B" w14:textId="2EFBCF7A"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D77B587" w14:textId="0D535311" w:rsidTr="00380533">
        <w:trPr>
          <w:trHeight w:val="285"/>
        </w:trPr>
        <w:tc>
          <w:tcPr>
            <w:tcW w:w="715" w:type="pct"/>
            <w:gridSpan w:val="2"/>
            <w:shd w:val="clear" w:color="auto" w:fill="auto"/>
            <w:noWrap/>
            <w:hideMark/>
          </w:tcPr>
          <w:p w14:paraId="5C4F2A91" w14:textId="27F3EFD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Larmour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{"citationID":"a2jmuf1l22i","properties":{"formattedCitation":"(118)","plainCitation":"(118)","noteIndex":0},"citationItems":[{"id":17104,"uris":["http://zotero.org/groups/2477744/items/3DDKHHRA"],"itemData":{"id":17104,"type":"article-journal","abstract":"The leaders of Fiji's 2006 military coup launched a `cleanup campaign' and set up an Independent Commission Against Corruption. So far it has brought court cases against about 24 people. Among them is the former Prime Minister, who was charged with corruption for his role in institutions designed to promote the economic interests of indigenous Fijians (who constitute about 56% of the population). The article considers what counts as `corruption' in these Affirmative Action policies: a so-called `Agriculture Scam', which distributed farm implements free to Fijian farmers; a company called Fijian Holdings, which received concessional finance from the government; and a Native Land Trust Board, which collects rent on behalf of indigenous landowners. It concludes that army and popular opinion in Fiji hold conceptions of corruption that are much broader than the offences set out in the country's penal code, and which the new ICAC is attempting to enforce.","container-title":"CRIME LAW AND SOCIAL CHANGE","DOI":"10.1007/s10611-009-9212-2","issue":"1, SI","journalAbbreviation":"CRIME LAW AND SOCIAL CHANGE","page":"55-66","title":"From clean up to FICAC: Anti-corruption in Fiji's post coup politics","volume":"53","author":[{"family":"Larmour","given":"Peter"}],"issued":{"date-parts":[["2010"]]}}}],"schema":"https://github.com/citation-style-language/schema/raw/master/csl-citation.json"}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(118)</w:t>
            </w:r>
            <w:r w:rsidRPr="00A61595">
              <w:rPr>
                <w:rFonts w:ascii="Arial" w:eastAsia="Times New Roman" w:hAnsi="Arial" w:cs="Arial"/>
                <w:sz w:val="14"/>
                <w:szCs w:val="14"/>
              </w:rPr>
              <w:fldChar w:fldCharType="end"/>
            </w:r>
          </w:p>
        </w:tc>
        <w:tc>
          <w:tcPr>
            <w:tcW w:w="192" w:type="pct"/>
            <w:shd w:val="clear" w:color="auto" w:fill="auto"/>
            <w:noWrap/>
            <w:hideMark/>
          </w:tcPr>
          <w:p w14:paraId="6420DFE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2010</w:t>
            </w:r>
          </w:p>
        </w:tc>
        <w:tc>
          <w:tcPr>
            <w:tcW w:w="2869" w:type="pct"/>
            <w:gridSpan w:val="4"/>
            <w:shd w:val="clear" w:color="auto" w:fill="auto"/>
            <w:noWrap/>
            <w:hideMark/>
          </w:tcPr>
          <w:p w14:paraId="2ADA22D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Anti-corruption in Fiji’s post-coup politics</w:t>
            </w:r>
          </w:p>
        </w:tc>
        <w:tc>
          <w:tcPr>
            <w:tcW w:w="318" w:type="pct"/>
          </w:tcPr>
          <w:p w14:paraId="50A65B30" w14:textId="45BA96A8"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19051A21" w14:textId="223284CC"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3C827B8" w14:textId="071D50D1"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g, </w:t>
            </w:r>
            <w:proofErr w:type="spellStart"/>
            <w:r w:rsidRPr="00A61595">
              <w:rPr>
                <w:rFonts w:ascii="Arial" w:hAnsi="Arial" w:cs="Arial"/>
                <w:color w:val="000000"/>
                <w:sz w:val="14"/>
                <w:szCs w:val="14"/>
              </w:rPr>
              <w:t>i</w:t>
            </w:r>
            <w:proofErr w:type="spellEnd"/>
          </w:p>
        </w:tc>
        <w:tc>
          <w:tcPr>
            <w:tcW w:w="229" w:type="pct"/>
          </w:tcPr>
          <w:p w14:paraId="60A8C5D6" w14:textId="0AB21914" w:rsidR="000B21B4" w:rsidRPr="00A61595" w:rsidRDefault="000B21B4" w:rsidP="00380533">
            <w:pPr>
              <w:rPr>
                <w:rFonts w:ascii="Arial" w:hAnsi="Arial" w:cs="Arial"/>
                <w:sz w:val="14"/>
                <w:szCs w:val="14"/>
              </w:rPr>
            </w:pPr>
            <w:r w:rsidRPr="00A61595">
              <w:rPr>
                <w:rFonts w:ascii="Arial" w:hAnsi="Arial" w:cs="Arial"/>
                <w:color w:val="000000"/>
                <w:sz w:val="14"/>
                <w:szCs w:val="14"/>
              </w:rPr>
              <w:t>a, e, f</w:t>
            </w:r>
          </w:p>
        </w:tc>
      </w:tr>
      <w:tr w:rsidR="000B21B4" w:rsidRPr="00A61595" w14:paraId="10F1422C" w14:textId="6D78BBC0" w:rsidTr="00380533">
        <w:trPr>
          <w:trHeight w:val="285"/>
        </w:trPr>
        <w:tc>
          <w:tcPr>
            <w:tcW w:w="715" w:type="pct"/>
            <w:gridSpan w:val="2"/>
            <w:shd w:val="clear" w:color="auto" w:fill="auto"/>
            <w:noWrap/>
            <w:hideMark/>
          </w:tcPr>
          <w:p w14:paraId="447BB597" w14:textId="261748AE"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Lauber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{"citationID":"a1nvfosj2cl","properties":{"formattedCitation":"(119)","plainCitation":"(119)","noteIndex":0},"citationItems":[{"id":12942,"uris":["http://zotero.org/groups/2477744/items/4LAGMV8H"],"itemData":{"id":12942,"type":"article-journal","abstract":"Introduction  There is an urgent need for effective action to address the over 10 million annual deaths attributable to unhealthy diets. Food industry interference with policies aimed at reducing non-­ communicable diseases (NCDs) is widely documented at the national level but remains under-­researched at the global level. Thus, this study explores how ultra-­ processed food industry actors have attempted to influence NCD policy at WHO.\nMethods  A combination of inductive and deductive thematic coding of internal industry documents, academic literature and interviews with key informants from international organisations and global civil society was used to identify action-­based strategies ultra-­ processed food industry actors employ to influence global-­level policy.\nResults  Ultra-­processed food industry actors have attempted to influence WHO and its policies through three main action-­based strategies: coalition management, involvement in policy formulation, and information management. Coalition management includes the creation and use of overt alliances between corporations—business associations—and more covert science-­focused and policy-­focused intermediaries, the hiring of former WHO staff and attempted co-­option of civil society organisations. Industry involvement in policy formulation is operationalised largely through the lobbying of Member States to support industry positions, and business associations gaining access to WHO through formal consultations and hearings. Information management involves funding and disseminating research favourable to commercial interests, and challenging unfavourable evidence.\nConclusion  We provide novel insights into how ultra-­ processed food industry actors shape global-­level NCD policy and identify a clear need to guard against commercial interference to advance NCD policy. In their approach, the political behaviour of multinational food corporations bears similarities to that of the tobacco industry. Increased awareness of, and safeguarding against, commercial interference at the national as well as the global level have the potential to strengthen the crucial work of WHO.","container-title":"BMJ Global Health","DOI":"10.1136/bmjgh-2021-005216","ISSN":"2059-7908","issue":"6","journalAbbreviation":"BMJ Glob Health","language":"en","page":"e005216","source":"DOI.org (Crossref)","title":"Big food and the World Health Organization: a qualitative study of industry attempts to influence global-level non-communicable disease policy","title-short":"Big food and the World Health Organization","URL":"https://gh.bmj.com/lookup/doi/10.1136/bmjgh-2021-005216","volume":"6","author":[{"family":"Lauber","given":"Kathrin"},{"family":"Rutter","given":"Harry"},{"family":"Gilmore","given":"Anna B"}],"accessed":{"date-parts":[["2021",9,7]]},"issued":{"date-parts":[["2021",6]]}}}],"schema":"https://github.com/citation-style-language/schema/raw/master/csl-citation.json"}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(119)</w:t>
            </w:r>
            <w:r w:rsidRPr="00A61595">
              <w:rPr>
                <w:rFonts w:ascii="Arial" w:eastAsia="Times New Roman" w:hAnsi="Arial" w:cs="Arial"/>
                <w:sz w:val="14"/>
                <w:szCs w:val="14"/>
              </w:rPr>
              <w:fldChar w:fldCharType="end"/>
            </w:r>
          </w:p>
        </w:tc>
        <w:tc>
          <w:tcPr>
            <w:tcW w:w="192" w:type="pct"/>
            <w:shd w:val="clear" w:color="auto" w:fill="auto"/>
            <w:noWrap/>
            <w:hideMark/>
          </w:tcPr>
          <w:p w14:paraId="58F2288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3F7BF19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Attempts of ultra-processed food industry actors in influencing NCD policy at WHO</w:t>
            </w:r>
          </w:p>
        </w:tc>
        <w:tc>
          <w:tcPr>
            <w:tcW w:w="318" w:type="pct"/>
          </w:tcPr>
          <w:p w14:paraId="4BC7AA63" w14:textId="30AF3748"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45E078B2" w14:textId="4CE87FD3"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F83319C" w14:textId="0E7CA41D"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77130B8E" w14:textId="5EB09392"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2BF9312" w14:textId="371A3A3B" w:rsidTr="00380533">
        <w:trPr>
          <w:trHeight w:val="285"/>
        </w:trPr>
        <w:tc>
          <w:tcPr>
            <w:tcW w:w="715" w:type="pct"/>
            <w:gridSpan w:val="2"/>
            <w:shd w:val="clear" w:color="auto" w:fill="auto"/>
            <w:noWrap/>
            <w:hideMark/>
          </w:tcPr>
          <w:p w14:paraId="12844A8F" w14:textId="41D6638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Lee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{"citationID":"a17mt3rn2mr","properties":{"formattedCitation":"(120)","plainCitation":"(120)","noteIndex":0},"citationItems":[{"id":17192,"uris":["http://zotero.org/groups/2477744/items/QLM6F8L7"],"itemData":{"id":17192,"type":"article-journal","abstract":"Food fraud is a widespread problem that involves the act of defrauding consumers for economic gain. Food fraud incidents pose a considerable threat to the economic stability of agri-food industry as well as the health and welfare of consumers. With the increasing use of online grocery shopping, the Internet has facilitated deceptive and fraudulent practices by criminals. Using a sample of U.S. consumers, the current study explores the applicability of routine activities theory in the context of food fraud. The findings show that online routine activities, online target suitability, exposure to food ads, and perceived risk are significantly linked to food fraud victimization. Our study demonstrates that the routine activities theory is a useful framework to understand the vulnerabilities associated with food fraud. Implications for research and policy are discussed. © 2021, The Author(s), under exclusive licence to Springer Nature Limited.","container-title":"Security Journal","DOI":"10.1057/s41284-021-00287-1","journalAbbreviation":"Security Journal","title":"Routine activities theory and food fraud victimization","URL":"https://www.scopus.com/inward/record.uri?eid=2-s2.0-85102363303&amp;doi=10.1057%2fs41284-021-00287-1&amp;partnerID=40&amp;md5=0abc2e2c009bb99bf263db8dcc38d82d","author":[{"family":"Lee","given":"B."},{"family":"Fenoff","given":"R."},{"family":"Spink","given":"J."}],"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(120)</w:t>
            </w:r>
            <w:r w:rsidRPr="00A61595">
              <w:rPr>
                <w:rFonts w:ascii="Arial" w:eastAsia="Times New Roman" w:hAnsi="Arial" w:cs="Arial"/>
                <w:sz w:val="14"/>
                <w:szCs w:val="14"/>
              </w:rPr>
              <w:fldChar w:fldCharType="end"/>
            </w:r>
          </w:p>
        </w:tc>
        <w:tc>
          <w:tcPr>
            <w:tcW w:w="192" w:type="pct"/>
            <w:shd w:val="clear" w:color="auto" w:fill="auto"/>
            <w:noWrap/>
            <w:hideMark/>
          </w:tcPr>
          <w:p w14:paraId="782D08B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318E14C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Prevalence and correlates of food fraud</w:t>
            </w:r>
          </w:p>
        </w:tc>
        <w:tc>
          <w:tcPr>
            <w:tcW w:w="318" w:type="pct"/>
          </w:tcPr>
          <w:p w14:paraId="0438BC62" w14:textId="232F7EE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0F9FB201" w14:textId="7024196A"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C7C7EE4" w14:textId="33EFEBDF"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w:t>
            </w:r>
            <w:proofErr w:type="spellStart"/>
            <w:r w:rsidRPr="00A61595">
              <w:rPr>
                <w:rFonts w:ascii="Arial" w:hAnsi="Arial" w:cs="Arial"/>
                <w:color w:val="000000"/>
                <w:sz w:val="14"/>
                <w:szCs w:val="14"/>
              </w:rPr>
              <w:t>i</w:t>
            </w:r>
            <w:proofErr w:type="spellEnd"/>
          </w:p>
        </w:tc>
        <w:tc>
          <w:tcPr>
            <w:tcW w:w="229" w:type="pct"/>
          </w:tcPr>
          <w:p w14:paraId="4F1CE950" w14:textId="1638A74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4A80C92" w14:textId="1676EDEC" w:rsidTr="00380533">
        <w:trPr>
          <w:trHeight w:val="285"/>
        </w:trPr>
        <w:tc>
          <w:tcPr>
            <w:tcW w:w="715" w:type="pct"/>
            <w:gridSpan w:val="2"/>
            <w:shd w:val="clear" w:color="auto" w:fill="auto"/>
            <w:noWrap/>
            <w:hideMark/>
          </w:tcPr>
          <w:p w14:paraId="7A79FAA5" w14:textId="0675DFC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Levy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{"citationID":"ao9c05k2jv","properties":{"formattedCitation":"(121)","plainCitation":"(121)","noteIndex":0},"citationItems":[{"id":11229,"uris":["http://zotero.org/users/8559175/items/ZHU4S8CB"],"itemData":{"id":11229,"type":"article-journal","abstract":"Purpose: The current research focused on attitudes toward food fraud (AFF) and examined the impact of types of food fraud, gender differences, and country of residence. Design/methodology/approach: A convenience sample of German (n = 151) and Israeli (n = 496) participants was recruited through an online survey. They filled out a sociodemographic questionnaire and AFF scale, which includes three subscales: organic fraud, kosher fraud, and spraying fraud. Findings: The results indicate that there is a significant effect of type of fraud, country of residence, and gender. German participants expressed more negative attitudes toward organic food fraud and less negative attitudes toward kosher fraud than Israeli participants. Women expressed more negative attitudes toward organic and kosher food frauds than men. Originality/value: This study offers insight into cross-cultural and gender differences in attitudes toward food fraud. The findings suggest that public attitudes toward food fraud represent not just severity of possible consequences, but also environmental and religious aspects of consumption, norms and culture. © 2020, Emerald Publishing Limited.","container-title":"British Food Journal","DOI":"10.1108/BFJ-10-2019-0785","issue":"7","journalAbbreviation":"British Food Journal","page":"2219-2232","title":"Attitudes toward food fraud in Israel and Germany","URL":"https://www.scopus.com/inward/record.uri?eid=2-s2.0-85083576528&amp;doi=10.1108%2fBFJ-10-2019-0785&amp;partnerID=40&amp;md5=29294dfe185979b0fa9e35b9db0829c3","volume":"122","author":[{"family":"Levy","given":"I."},{"family":"Kerschke-Risch","given":"P."}],"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(121)</w:t>
            </w:r>
            <w:r w:rsidRPr="00A61595">
              <w:rPr>
                <w:rFonts w:ascii="Arial" w:eastAsia="Times New Roman" w:hAnsi="Arial" w:cs="Arial"/>
                <w:sz w:val="14"/>
                <w:szCs w:val="14"/>
              </w:rPr>
              <w:fldChar w:fldCharType="end"/>
            </w:r>
          </w:p>
        </w:tc>
        <w:tc>
          <w:tcPr>
            <w:tcW w:w="192" w:type="pct"/>
            <w:shd w:val="clear" w:color="auto" w:fill="auto"/>
            <w:noWrap/>
            <w:hideMark/>
          </w:tcPr>
          <w:p w14:paraId="3491755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6593080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Cross-cultural and gender differences in attitudes toward food fraud</w:t>
            </w:r>
          </w:p>
        </w:tc>
        <w:tc>
          <w:tcPr>
            <w:tcW w:w="318" w:type="pct"/>
          </w:tcPr>
          <w:p w14:paraId="6B922C02" w14:textId="2F05836C"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61AF282F" w14:textId="018F9729"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7A57CCD" w14:textId="7CA6B9F6"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42B18343" w14:textId="233909CE"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5C6EEA27" w14:textId="5E39F761" w:rsidTr="00380533">
        <w:trPr>
          <w:trHeight w:val="285"/>
        </w:trPr>
        <w:tc>
          <w:tcPr>
            <w:tcW w:w="715" w:type="pct"/>
            <w:gridSpan w:val="2"/>
            <w:shd w:val="clear" w:color="auto" w:fill="auto"/>
            <w:noWrap/>
            <w:hideMark/>
          </w:tcPr>
          <w:p w14:paraId="4DF72BEF" w14:textId="62A224D9"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Lio</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{"citationID":"a1eqcuhb0si","properties":{"formattedCitation":"(122)","plainCitation":"(122)","noteIndex":0},"citationItems":[{"id":17193,"uris":["http://zotero.org/groups/2477744/items/24PJBZYI"],"itemData":{"id":17193,"type":"article-journal","abstract":"This study uses a stochastic frontier approach to investigate the relationship between six governance indicators and agricultural efficiency. We find that improvements in rule of law, control of corruption and government effectiveness enhance agricultural productivity significantly if each indicator enters the inefficiency equation independently. When all six indicators are included in the equation, we find that an improvement in rule of law raises agricultural efficiency significantly, but increases in voice and accountability and political stability appear to significantly reduce agricultural efficiency. Grouping the six indicators into three dimensions, we find that an improvement in 'respect for institutional framework' raises agricultural efficiency significantly, but an enhancement in 'selection of authority' reduces agricultural efficiency significantly. Our results imply that poorer countries can enhance their agricultural efficiency substantially by strengthening the state and citizens' respect for institutional framework. However, our results show that greater democracy is associated with lower agricultural efficiency. This finding is consistent with interest group capture and political failure arguments of the political economy literature. © 2009 The Authors. Journal compilation © 2009 The Agricultural Economics Society.","container-title":"Journal of Agricultural Economics","DOI":"10.1111/j.1477-9552.2008.00172.x","issue":"1","journalAbbreviation":"Journal of Agricultural Economics","page":"40-61","title":"Governance and agricultural production efficiency: A cross-country aggregate frontier analysis","URL":"https://www.scopus.com/inward/record.uri?eid=2-s2.0-58149513397&amp;doi=10.1111%2fj.1477-9552.2008.00172.x&amp;partnerID=40&amp;md5=a11edf56862a234f6a9db14e084551fd","volume":"60","author":[{"family":"Lio","given":"M.-C."},{"family":"Hu","given":"J.-L."}],"issued":{"date-parts":[["2009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(122)</w:t>
            </w:r>
            <w:r w:rsidRPr="00A61595">
              <w:rPr>
                <w:rFonts w:ascii="Arial" w:eastAsia="Times New Roman" w:hAnsi="Arial" w:cs="Arial"/>
                <w:sz w:val="14"/>
                <w:szCs w:val="14"/>
              </w:rPr>
              <w:fldChar w:fldCharType="end"/>
            </w:r>
          </w:p>
        </w:tc>
        <w:tc>
          <w:tcPr>
            <w:tcW w:w="192" w:type="pct"/>
            <w:shd w:val="clear" w:color="auto" w:fill="auto"/>
            <w:noWrap/>
            <w:hideMark/>
          </w:tcPr>
          <w:p w14:paraId="1E5D431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2009</w:t>
            </w:r>
          </w:p>
        </w:tc>
        <w:tc>
          <w:tcPr>
            <w:tcW w:w="2869" w:type="pct"/>
            <w:gridSpan w:val="4"/>
            <w:shd w:val="clear" w:color="auto" w:fill="auto"/>
            <w:noWrap/>
            <w:hideMark/>
          </w:tcPr>
          <w:p w14:paraId="6C177EF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Governance and Agricultural Production Efficiency</w:t>
            </w:r>
          </w:p>
        </w:tc>
        <w:tc>
          <w:tcPr>
            <w:tcW w:w="318" w:type="pct"/>
          </w:tcPr>
          <w:p w14:paraId="70D43261" w14:textId="34A54FE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179DB3E5" w14:textId="44F7A17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80B0706" w14:textId="6AF9594B"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c>
          <w:tcPr>
            <w:tcW w:w="229" w:type="pct"/>
          </w:tcPr>
          <w:p w14:paraId="7A1938CF" w14:textId="7AE38C0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r>
      <w:tr w:rsidR="000B21B4" w:rsidRPr="00A61595" w14:paraId="5E0FA467" w14:textId="067EE2A6" w:rsidTr="00380533">
        <w:trPr>
          <w:trHeight w:val="285"/>
        </w:trPr>
        <w:tc>
          <w:tcPr>
            <w:tcW w:w="715" w:type="pct"/>
            <w:gridSpan w:val="2"/>
            <w:shd w:val="clear" w:color="auto" w:fill="auto"/>
            <w:noWrap/>
            <w:hideMark/>
          </w:tcPr>
          <w:p w14:paraId="2619AFF6" w14:textId="2AEC3DD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Liu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{"citationID":"a11mmapgluu","properties":{"formattedCitation":"(123)","plainCitation":"(123)","noteIndex":0},"citationItems":[{"id":17036,"uris":["http://zotero.org/groups/2477744/items/MCSZU4EM"],"itemData":{"id":17036,"type":"article-journal","abstract":"A number of high-profile mislabeling incidents have led to many studies exploring the decision-making processes that firms make around performing illegal acts. However, it remains unclear why the proportion of firms conducting these acts constantly fluctuates and never disappears. Therefore, this study investigated this by carrying out a longitudinal analysis of food labeling in the Taiwanese rice industry. Drawing on the institutional isomorphism theory, it was found that the degree of mislabeling is negatively correlated with both the level of control of inspection regulations and public attention toward food regulations, and positively correlated with the previous proportion of firms mislabeling their products. Thus, there is a feedback loop between regulatory control, public attention, and the amount of mislabeling, with the amount of mislabeling not only being affected by the former degree of regulatory control, public attention, and mislabeling, but also modifying the future status of each of these. These findings further our understanding of the causal effects of illegal actions in the institutional agricultural environment.","container-title":"Journal of Agricultural and Environmental Ethics","DOI":"10.1007/s10806-016-9623-x","issue":"4","journalAbbreviation":"Journal of Agricultural and Environmental Ethics","page":"607-630","title":"Institutional Isomorphism and Food Fraud: A Longitudinal Study of the Mislabeling of Rice in Taiwan","volume":"29","author":[{"family":"Liu","given":"Chia Yi"}],"issued":{"date-parts":[["2016"]]}}}],"schema":"https://github.com/citation-style-language/schema/raw/master/csl-citation.json"}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(123)</w:t>
            </w:r>
            <w:r w:rsidRPr="00A61595">
              <w:rPr>
                <w:rFonts w:ascii="Arial" w:eastAsia="Times New Roman" w:hAnsi="Arial" w:cs="Arial"/>
                <w:sz w:val="14"/>
                <w:szCs w:val="14"/>
              </w:rPr>
              <w:fldChar w:fldCharType="end"/>
            </w:r>
          </w:p>
        </w:tc>
        <w:tc>
          <w:tcPr>
            <w:tcW w:w="192" w:type="pct"/>
            <w:shd w:val="clear" w:color="auto" w:fill="auto"/>
            <w:noWrap/>
            <w:hideMark/>
          </w:tcPr>
          <w:p w14:paraId="4280496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6CDC64B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Longitudinal analysis of rice industry food labeling</w:t>
            </w:r>
          </w:p>
        </w:tc>
        <w:tc>
          <w:tcPr>
            <w:tcW w:w="318" w:type="pct"/>
          </w:tcPr>
          <w:p w14:paraId="4CC9BD84" w14:textId="42DA325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7278482B" w14:textId="47CA0367"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0B7583F3" w14:textId="2BF1716B"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b, </w:t>
            </w:r>
            <w:proofErr w:type="spellStart"/>
            <w:r w:rsidRPr="00A61595">
              <w:rPr>
                <w:rFonts w:ascii="Arial" w:hAnsi="Arial" w:cs="Arial"/>
                <w:color w:val="000000"/>
                <w:sz w:val="14"/>
                <w:szCs w:val="14"/>
              </w:rPr>
              <w:t>i</w:t>
            </w:r>
            <w:proofErr w:type="spellEnd"/>
          </w:p>
        </w:tc>
        <w:tc>
          <w:tcPr>
            <w:tcW w:w="229" w:type="pct"/>
          </w:tcPr>
          <w:p w14:paraId="3653AB2A" w14:textId="6898D808"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3168FF39" w14:textId="4AA493A8" w:rsidTr="00380533">
        <w:trPr>
          <w:trHeight w:val="285"/>
        </w:trPr>
        <w:tc>
          <w:tcPr>
            <w:tcW w:w="715" w:type="pct"/>
            <w:gridSpan w:val="2"/>
            <w:shd w:val="clear" w:color="auto" w:fill="auto"/>
            <w:noWrap/>
            <w:hideMark/>
          </w:tcPr>
          <w:p w14:paraId="1922F5FC" w14:textId="189F63D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Liu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{"citationID":"a1ui4ojg13v","properties":{"formattedCitation":"(124)","plainCitation":"(124)","noteIndex":0},"citationItems":[{"id":17194,"uris":["http://zotero.org/groups/2477744/items/JYFXMAAF"],"itemData":{"id":17194,"type":"article-journal","abstract":"Beijing, as the capital of the world's most populous nation, has been at the forefront in food safety management in mainland China. Yet, food safety incidents have frequently occurred. To gain insights into the nature of food safety incidents occurred in Beijing, content analysis was carried out on an Internet database of food safety incidents, the \"Throwing out the window net\", which has collected a representative subset of food safety incidents occurred in China since 2001. It is found 1) among the 295 food safety incidents, 150 were issued by governmental agencies, and 145 were reported by news media; 2) the government alone, as an originator, has the highest percentage of 52.5% for exposing the incidents; 3) the types of food involved in food safety incidents mainly include (i) fruits and vegetables, (ii) meat and meat products, (iii) cereals and cereal products, and (iv) confectionery. They account for 19.3%, 18.0%, 14.9%, 13.6%, respectively; 4) the main stage detected for the 295 food safety incidents happened over the past decade is the stage of production and processing, accounting for 73.4%; and 5) human factor is the major underlying cause, accounting for 99% of the cases collected by the database. A little fortunately, the number of food safety incidents caused by fraud is less than those caused by un-intentional human errors. Otherwise, one would have been exceedingly depressed. © 2014 Elsevier Ltd.","container-title":"Food Control","DOI":"10.1016/j.foodcont.2014.11.017","journalAbbreviation":"Food Control","page":"206-211","title":"Insights into the nature of food safety issues in Beijing through content analysis of an Internet database of food safety incidents inChina","URL":"https://www.scopus.com/inward/record.uri?eid=2-s2.0-84949116415&amp;doi=10.1016%2fj.foodcont.2014.11.017&amp;partnerID=40&amp;md5=f31b238bcb1aed1b38d948ea6df7faeb","volume":"51","author":[{"family":"Liu","given":"Y."},{"family":"Liu","given":"F."},{"family":"Zhang","given":"J."},{"family":"Gao","given":"J."}],"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(124)</w:t>
            </w:r>
            <w:r w:rsidRPr="00A61595">
              <w:rPr>
                <w:rFonts w:ascii="Arial" w:eastAsia="Times New Roman" w:hAnsi="Arial" w:cs="Arial"/>
                <w:sz w:val="14"/>
                <w:szCs w:val="14"/>
              </w:rPr>
              <w:fldChar w:fldCharType="end"/>
            </w:r>
          </w:p>
        </w:tc>
        <w:tc>
          <w:tcPr>
            <w:tcW w:w="192" w:type="pct"/>
            <w:shd w:val="clear" w:color="auto" w:fill="auto"/>
            <w:noWrap/>
            <w:hideMark/>
          </w:tcPr>
          <w:p w14:paraId="6D4393F8"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467C80E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Causes of food safety incidents</w:t>
            </w:r>
          </w:p>
        </w:tc>
        <w:tc>
          <w:tcPr>
            <w:tcW w:w="318" w:type="pct"/>
          </w:tcPr>
          <w:p w14:paraId="26C16B53" w14:textId="49772036"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653F1A14" w14:textId="7A1B8DA2"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0D863AE" w14:textId="0E156DC6"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b, </w:t>
            </w:r>
            <w:proofErr w:type="spellStart"/>
            <w:r w:rsidRPr="00A61595">
              <w:rPr>
                <w:rFonts w:ascii="Arial" w:hAnsi="Arial" w:cs="Arial"/>
                <w:color w:val="000000"/>
                <w:sz w:val="14"/>
                <w:szCs w:val="14"/>
              </w:rPr>
              <w:t>i</w:t>
            </w:r>
            <w:proofErr w:type="spellEnd"/>
          </w:p>
        </w:tc>
        <w:tc>
          <w:tcPr>
            <w:tcW w:w="229" w:type="pct"/>
          </w:tcPr>
          <w:p w14:paraId="4874F210" w14:textId="67210A63"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143E2F2" w14:textId="79986069" w:rsidTr="00380533">
        <w:trPr>
          <w:trHeight w:val="285"/>
        </w:trPr>
        <w:tc>
          <w:tcPr>
            <w:tcW w:w="715" w:type="pct"/>
            <w:gridSpan w:val="2"/>
            <w:shd w:val="clear" w:color="auto" w:fill="auto"/>
            <w:noWrap/>
            <w:hideMark/>
          </w:tcPr>
          <w:p w14:paraId="2413EC20" w14:textId="2F9A664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Lord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{"citationID":"app99ab1pp","properties":{"formattedCitation":"(125)","plainCitation":"(125)","noteIndex":0},"citationItems":[{"id":17081,"uris":["http://zotero.org/groups/2477744/items/GLLDWYE5"],"itemData":{"id":17081,"type":"article-journal","abstract":"This article conceptualizes food fraud' by shifting analytical focus away from popular/policy conceptions foregrounding the centrality of organized crime towards understanding the factors that shape the organization of food frauds. We argue that food fraud, rather than being an exogenous' phenomenon perpetrated by externally organized (transnational) criminal enterprise', is better understood as an endogenous' phenomenon within the food system where legitimate occupational actors and organizations are in some way necessarily involved. Criminal opportunities arise under conducive conditions as part of legitimate actors' routine behaviours. Our contention is that the common definition of food fraud is too prescriptive and fails to allow space to understand the role of different actors and their motivations. We analyse a case study in soft drinks, presenting the necessary role of legitimate, occupational actors within/between legitimate organizational settings and markets, and demonstrate how criminal behaviours can be concealed and disguised within ready-made' market and business structures.","container-title":"CRIMINOLOGY &amp; CRIMINAL JUSTICE","DOI":"10.1177/1748895816684539","issue":"5","journalAbbreviation":"CRIMINOLOGY &amp; CRIMINAL JUSTICE","page":"605-623","title":"The dynamics of food fraud: The interactions between criminal opportunity and market (dys)functionality in legitimate business","volume":"17","author":[{"family":"Lord","given":"Nicholas"},{"family":"Elizondo","given":"Cecilia Juliana Flores"},{"family":"Spencer","given":"Jon"}],"issued":{"date-parts":[["2017"]]}}}],"schema":"https://github.com/citation-style-language/schema/raw/master/csl-citation.json"}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(125)</w:t>
            </w:r>
            <w:r w:rsidRPr="00A61595">
              <w:rPr>
                <w:rFonts w:ascii="Arial" w:eastAsia="Times New Roman" w:hAnsi="Arial" w:cs="Arial"/>
                <w:sz w:val="14"/>
                <w:szCs w:val="14"/>
              </w:rPr>
              <w:fldChar w:fldCharType="end"/>
            </w:r>
          </w:p>
        </w:tc>
        <w:tc>
          <w:tcPr>
            <w:tcW w:w="192" w:type="pct"/>
            <w:shd w:val="clear" w:color="auto" w:fill="auto"/>
            <w:noWrap/>
            <w:hideMark/>
          </w:tcPr>
          <w:p w14:paraId="2B5646D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41C0171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Factors and conditions that shape the organization of food fraud</w:t>
            </w:r>
          </w:p>
        </w:tc>
        <w:tc>
          <w:tcPr>
            <w:tcW w:w="318" w:type="pct"/>
          </w:tcPr>
          <w:p w14:paraId="65B7A44A" w14:textId="5CA83FAC"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5126865F" w14:textId="3D9F9ADA"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DFDBC08" w14:textId="2F04703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1A2370BA" w14:textId="5851D1B5"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360BC30" w14:textId="55E703E4" w:rsidTr="00380533">
        <w:trPr>
          <w:trHeight w:val="285"/>
        </w:trPr>
        <w:tc>
          <w:tcPr>
            <w:tcW w:w="715" w:type="pct"/>
            <w:gridSpan w:val="2"/>
            <w:shd w:val="clear" w:color="auto" w:fill="auto"/>
            <w:noWrap/>
            <w:hideMark/>
          </w:tcPr>
          <w:p w14:paraId="246619DC" w14:textId="451507A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Lovett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{"citationID":"a1rihn38nk6","properties":{"formattedCitation":"(126)","plainCitation":"(126)","noteIndex":0},"citationItems":[{"id":17077,"uris":["http://zotero.org/groups/2477744/items/RRN3Y6NM"],"itemData":{"id":17077,"type":"article-journal","abstract":"Purpose - The purpose of this paper is to investigate electronic benefits transfer (EBT) card reforms in California's Food Stamp Program, and its impact on food insecurity. Design/methodology/approach - The authors test the hypothesis that EBT cards reduce food insecurity by reducing the food costs associated with loss and theft of benefits, as well as by decreasing fraudulent sales of benefits. The authors use a natural experiment in the form of the time-varying roll-out of EBT card reforms across California counties in conjunction with the California Health Interview Survey, to conduct an event study. Findings - The findings suggest no evidence for a decrease in food insecurity. The authors do, however, find evidence of a transitory increase in food insecurity immediately following implementation of EBT reforms. Reforms increase the likelihood of food insecurity by about 3 percent for up to two months. The result is distinguishable from zero, and robust to changes in specification, inclusion of controls, and measurement choices. The authors posit the increase was due to frictions in the transition to EBT card systems. Originality/value - Although a considerable literature with regard to the FSP exists, very little has been written investigating a specific linkage between EBT cards and food security. The findings are not supportive of policy makers' hypothesis that a positive externality of EBT benefits delivery is a lasting reduction in food insecurity.","container-title":"JOURNAL OF ECONOMIC STUDIES","DOI":"10.1108/JES-10-2016-0193","issue":"6","journalAbbreviation":"JOURNAL OF ECONOMIC STUDIES","page":"958-975","title":"Have electronic benefits cards improved food access for food stamp recipients?","volume":"44","author":[{"family":"Lovett","given":"Nicholas"},{"family":"Xue","given":"Yuhan"}],"issued":{"date-parts":[["2017"]]}}}],"schema":"https://github.com/citation-style-language/schema/raw/master/csl-citation.json"}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(126)</w:t>
            </w:r>
            <w:r w:rsidRPr="00A61595">
              <w:rPr>
                <w:rFonts w:ascii="Arial" w:eastAsia="Times New Roman" w:hAnsi="Arial" w:cs="Arial"/>
                <w:sz w:val="14"/>
                <w:szCs w:val="14"/>
              </w:rPr>
              <w:fldChar w:fldCharType="end"/>
            </w:r>
          </w:p>
        </w:tc>
        <w:tc>
          <w:tcPr>
            <w:tcW w:w="192" w:type="pct"/>
            <w:shd w:val="clear" w:color="auto" w:fill="auto"/>
            <w:noWrap/>
            <w:hideMark/>
          </w:tcPr>
          <w:p w14:paraId="7BFACC6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459655A7"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Investigation of electronic benefits transfer card reforms in California’s Food Stamp Program</w:t>
            </w:r>
          </w:p>
        </w:tc>
        <w:tc>
          <w:tcPr>
            <w:tcW w:w="318" w:type="pct"/>
          </w:tcPr>
          <w:p w14:paraId="1A8D1454" w14:textId="5CF74024"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06" w:type="pct"/>
          </w:tcPr>
          <w:p w14:paraId="31518D78" w14:textId="1464897C"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71" w:type="pct"/>
          </w:tcPr>
          <w:p w14:paraId="20ACFBDA" w14:textId="6FFB1CCE"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h, </w:t>
            </w:r>
            <w:proofErr w:type="spellStart"/>
            <w:r w:rsidRPr="00A61595">
              <w:rPr>
                <w:rFonts w:ascii="Arial" w:hAnsi="Arial" w:cs="Arial"/>
                <w:color w:val="000000"/>
                <w:sz w:val="14"/>
                <w:szCs w:val="14"/>
              </w:rPr>
              <w:t>i</w:t>
            </w:r>
            <w:proofErr w:type="spellEnd"/>
          </w:p>
        </w:tc>
        <w:tc>
          <w:tcPr>
            <w:tcW w:w="229" w:type="pct"/>
          </w:tcPr>
          <w:p w14:paraId="2746AA12" w14:textId="0F8D04F9"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700CE3DE" w14:textId="30047AEE" w:rsidTr="00380533">
        <w:trPr>
          <w:trHeight w:val="285"/>
        </w:trPr>
        <w:tc>
          <w:tcPr>
            <w:tcW w:w="715" w:type="pct"/>
            <w:gridSpan w:val="2"/>
            <w:shd w:val="clear" w:color="auto" w:fill="auto"/>
            <w:noWrap/>
            <w:hideMark/>
          </w:tcPr>
          <w:p w14:paraId="21205315" w14:textId="341B79A5"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Mangla</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{"citationID":"a2qh02vfvjn","properties":{"formattedCitation":"(127)","plainCitation":"(127)","noteIndex":0},"citationItems":[{"id":17197,"uris":["http://zotero.org/groups/2477744/items/RHPZDVQQ"],"itemData":{"id":17197,"type":"article-journal","abstract":"The integration of blockchain technologies in the food sector has significant social impacts. The objectives of this research are firstly, to map the milk supply chains to explore information flow among different members for higher traceability; secondly, to investigate the societal impacts of blockchain technology in a milk supply chain to build social sustainability. The systems theory in integration with system dynamics (SD) provides the necessary theoretical underpinning to this research. We collect data from an agricultural development cooperative founded to support dairy farmers in Turkey. This work evaluates the societal impacts of blockchain technology on farmers, the community and animals using parameters such as local embedding, rural development, decreasing food fraud, animal health and welfare, proximity to food markets, food security, educating and promoting people towards healthy eating, assisting food access and social acceptability for transparency. In the last 18 years, the cooperative has encouraged dairy farmers in the district to become partners with a resultant increase in milk production from 30 thousand tons in 2002 to 330 thousand tons in 2019. According to our findings, population growth of the country and adult population increases in the district, it is expected that by 2025 the number of partners will rise to approximately 2800. The increase in number of partners proves the network expansion. Furthermore, blockchain technology can be incorporated into the existing system so that transparent and end-to-end accurate tracking of the supply chain is made possible, while creating decentralized recording of transactions. Moreover, the critical traceability points of a milk supply chain are evaluated with the blockchain adoption. This will help achieve the sustainable development goals (SDGs) of providing safe food, promoting good health and better well-being for everyone. © 2021","container-title":"Transportation Research Part E: Logistics and Transportation Review","DOI":"10.1016/j.tre.2021.102289","journalAbbreviation":"Transportation Research Part E: Logistics and Transportation Review","title":"Using system dynamics to analyze the societal impacts of blockchain technology in milk supply chainsrefer","URL":"https://www.scopus.com/inward/record.uri?eid=2-s2.0-85103011950&amp;doi=10.1016%2fj.tre.2021.102289&amp;partnerID=40&amp;md5=a7527014d3671d34785d03867d06a049","volume":"149","author":[{"family":"Mangla","given":"S.K."},{"family":"Kazancoglu","given":"Y."},{"family":"Ekinci","given":"E."},{"family":"Liu","given":"M."},{"family":"Özbiltekin","given":"M."},{"family":"Sezer","given":"M.D."}],"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(127)</w:t>
            </w:r>
            <w:r w:rsidRPr="00A61595">
              <w:rPr>
                <w:rFonts w:ascii="Arial" w:eastAsia="Times New Roman" w:hAnsi="Arial" w:cs="Arial"/>
                <w:sz w:val="14"/>
                <w:szCs w:val="14"/>
              </w:rPr>
              <w:fldChar w:fldCharType="end"/>
            </w:r>
          </w:p>
        </w:tc>
        <w:tc>
          <w:tcPr>
            <w:tcW w:w="192" w:type="pct"/>
            <w:shd w:val="clear" w:color="auto" w:fill="auto"/>
            <w:noWrap/>
            <w:hideMark/>
          </w:tcPr>
          <w:p w14:paraId="702017B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4AD1DCB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Food fraud traceability using blockchain technologies in milk supply chains</w:t>
            </w:r>
          </w:p>
        </w:tc>
        <w:tc>
          <w:tcPr>
            <w:tcW w:w="318" w:type="pct"/>
          </w:tcPr>
          <w:p w14:paraId="36ECD853" w14:textId="1CFEF58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3733B627" w14:textId="7C1DF4C3"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55DFD361" w14:textId="2443C9F0"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w:t>
            </w:r>
            <w:proofErr w:type="spellStart"/>
            <w:r w:rsidRPr="00A61595">
              <w:rPr>
                <w:rFonts w:ascii="Arial" w:hAnsi="Arial" w:cs="Arial"/>
                <w:color w:val="000000"/>
                <w:sz w:val="14"/>
                <w:szCs w:val="14"/>
              </w:rPr>
              <w:t>i</w:t>
            </w:r>
            <w:proofErr w:type="spellEnd"/>
          </w:p>
        </w:tc>
        <w:tc>
          <w:tcPr>
            <w:tcW w:w="229" w:type="pct"/>
          </w:tcPr>
          <w:p w14:paraId="06BD0895" w14:textId="57A6C1A5"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9547014" w14:textId="335FBF64" w:rsidTr="00380533">
        <w:trPr>
          <w:trHeight w:val="285"/>
        </w:trPr>
        <w:tc>
          <w:tcPr>
            <w:tcW w:w="715" w:type="pct"/>
            <w:gridSpan w:val="2"/>
            <w:shd w:val="clear" w:color="auto" w:fill="auto"/>
            <w:noWrap/>
            <w:hideMark/>
          </w:tcPr>
          <w:p w14:paraId="398EACDE" w14:textId="19E0C3CA"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Mariath</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{"citationID":"a7dft80q8i","properties":{"formattedCitation":"(128)","plainCitation":"(128)","noteIndex":0},"citationItems":[{"id":17256,"uris":["http://zotero.org/groups/2477744/items/UU7CMUFQ"],"itemData":{"id":17256,"type":"article-journal","abstract":"OBJECTIVE: To assess the strategies, practices and arguments used by the industry to lobby legislators against sugary drinks taxation in Brazil. DESIGN: We performed a content analysis of arguments put forward by sugary drink and sugar industries against sugary drinks taxation, using the framework developed by the International Network for Food and Obesity/Non-Communicable Diseases Research, Monitoring and Action Support to assess corporate political activity of the food industry. SETTING: Two public hearings held in 2017 and 2018 in the Brazilian Legislature. PARTICIPANTS: Representatives from two prominent industry associations - one representing Big Soda and the other representing the main sugar, ethanol and bioelectricity producers. RESULTS: The 'Information and messaging' and 'Policy substitution' strategies were identified. Five practices were identified in the 'Information and messaging' strategy (four described in the original framework and an additional practice, 'Stress the environmental importance of the industry'). Mechanisms not included in the original framework identified were 'Stress the reduction of CO2 emissions promoted by the industry'; 'Question the effectiveness of regulation'; 'Suggest public-private partnerships'; 'Shift the blame away from the product' and 'Question sugary drinks taxation as a public health recommendation'. No new practices or mechanisms to the original framework emerged in the 'Policy substitution' strategy. CONCLUSIONS: The strategies and practices are used collectively and complement each other. Arguments herein identified are in line with those reported in other countries under different contexts and using different methodologies. Future research should address whether and under what conditions lobbying from this industry sector is effective in the Brazilian Legislature.","archive_location":"33820589","container-title":"Public Health Nutr","DOI":"10.1017/s136898002100149x","journalAbbreviation":"Public Health Nutr","page":"1-10","title":"Sugary drinks taxation: industry's lobbying strategies, practices and arguments in the Brazilian Legislature","author":[{"family":"Mariath","given":"A. B."},{"family":"Martins","given":"A. P. B."}],"issued":{"date-parts":[["2021"]]}}}],"schema":"https://github.com/citation-style-language/schema/raw/master/csl-citation.json"}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(128)</w:t>
            </w:r>
            <w:r w:rsidRPr="00A61595">
              <w:rPr>
                <w:rFonts w:ascii="Arial" w:eastAsia="Times New Roman" w:hAnsi="Arial" w:cs="Arial"/>
                <w:sz w:val="14"/>
                <w:szCs w:val="14"/>
              </w:rPr>
              <w:fldChar w:fldCharType="end"/>
            </w:r>
          </w:p>
        </w:tc>
        <w:tc>
          <w:tcPr>
            <w:tcW w:w="192" w:type="pct"/>
            <w:shd w:val="clear" w:color="auto" w:fill="auto"/>
            <w:noWrap/>
            <w:hideMark/>
          </w:tcPr>
          <w:p w14:paraId="318A85C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600EF83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Strategies, </w:t>
            </w:r>
            <w:bookmarkStart w:id="5" w:name="_Int_JTtIG15g"/>
            <w:r w:rsidRPr="00A61595">
              <w:rPr>
                <w:rFonts w:ascii="Arial" w:eastAsia="Times New Roman" w:hAnsi="Arial" w:cs="Arial"/>
                <w:color w:val="000000" w:themeColor="text1"/>
                <w:sz w:val="14"/>
                <w:szCs w:val="14"/>
              </w:rPr>
              <w:t>practices,</w:t>
            </w:r>
            <w:bookmarkEnd w:id="5"/>
            <w:r w:rsidRPr="00A61595">
              <w:rPr>
                <w:rFonts w:ascii="Arial" w:eastAsia="Times New Roman" w:hAnsi="Arial" w:cs="Arial"/>
                <w:color w:val="000000" w:themeColor="text1"/>
                <w:sz w:val="14"/>
                <w:szCs w:val="14"/>
              </w:rPr>
              <w:t xml:space="preserve"> and arguments used by the industry to lobby legislators against sugary drinks taxation</w:t>
            </w:r>
          </w:p>
        </w:tc>
        <w:tc>
          <w:tcPr>
            <w:tcW w:w="318" w:type="pct"/>
          </w:tcPr>
          <w:p w14:paraId="7B3E411B" w14:textId="489A74EB"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1E54AA96" w14:textId="688429E5"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3121070C" w14:textId="31481DD2"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5B1826EF" w14:textId="36ACBCC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969789D" w14:textId="1BD3270A" w:rsidTr="00380533">
        <w:trPr>
          <w:trHeight w:val="285"/>
        </w:trPr>
        <w:tc>
          <w:tcPr>
            <w:tcW w:w="715" w:type="pct"/>
            <w:gridSpan w:val="2"/>
            <w:shd w:val="clear" w:color="auto" w:fill="auto"/>
            <w:noWrap/>
            <w:hideMark/>
          </w:tcPr>
          <w:p w14:paraId="775C87E7" w14:textId="4995657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Martinez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{"citationID":"a14qm66l5t5","properties":{"formattedCitation":"(129)","plainCitation":"(129)","noteIndex":0},"citationItems":[{"id":18594,"uris":["http://zotero.org/groups/2477744/items/DG7UD475"],"itemData":{"id":18594,"type":"article-journal","abstract":"This article explores the importance and impact of a set of actions through which bakers manipulate laws and regulations that seek to organize and regulate how they do business. It builds on eighteen months of fieldwork conducted in Jordan, twelve of which were spent working in three different bakeries in the capital, Amman. Moving away from the idea that public policies are simply imposed, the article looks in detail at the social relations through which they are enacted. By honing in on the bakery, and examining arrangements between bakery owners, workers, consumers and ministerial employees, it illuminates modes of political agency that escape conventional binaries of domination/resistance, state/society and legality/illegality. I argue against seeing these practices as easily categorized forms of resistance or frivolous acts of corruption. Nor are they simply reinforcements of hegemonic control. Instead, `tactics' at the bakery subvert the order of things to serve other ends. Foregrounding them in this analysis seeks not only to challenge views of power relations as strictly binary but to elucidate some of the ways in which citizens inhabit and engage with the neoliberal and authoritarian logics that pervade everyday life in Jordan.","container-title":"MIDDLE EAST LAW AND GOVERNANCE","DOI":"10.1163/18763375-01002002","issue":"2","journalAbbreviation":"MIDDLE EAST LAW AND GOVERNANCE","page":"160-184","title":"Site of Resistance or Apparatus of Acquiescence? Tactics at the Bakery","volume":"10","author":[{"family":"Martinez","given":"Jose Ciro"}],"issued":{"date-parts":[["2018"]]}}}],"schema":"https://github.com/citation-style-language/schema/raw/master/csl-citation.json"}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(129)</w:t>
            </w:r>
            <w:r w:rsidRPr="00A61595">
              <w:rPr>
                <w:rFonts w:ascii="Arial" w:eastAsia="Times New Roman" w:hAnsi="Arial" w:cs="Arial"/>
                <w:sz w:val="14"/>
                <w:szCs w:val="14"/>
              </w:rPr>
              <w:fldChar w:fldCharType="end"/>
            </w:r>
          </w:p>
        </w:tc>
        <w:tc>
          <w:tcPr>
            <w:tcW w:w="192" w:type="pct"/>
            <w:shd w:val="clear" w:color="auto" w:fill="auto"/>
            <w:noWrap/>
            <w:hideMark/>
          </w:tcPr>
          <w:p w14:paraId="33D6A48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069ABDA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Impacts of manipulation tactics used by bakers to influence laws and regulations relating to business practices</w:t>
            </w:r>
          </w:p>
        </w:tc>
        <w:tc>
          <w:tcPr>
            <w:tcW w:w="318" w:type="pct"/>
          </w:tcPr>
          <w:p w14:paraId="0E8D7112" w14:textId="61103FE9"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6337691F" w14:textId="4770C442"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371" w:type="pct"/>
          </w:tcPr>
          <w:p w14:paraId="5FC8C332" w14:textId="4C25E00F"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w:t>
            </w: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k</w:t>
            </w:r>
          </w:p>
        </w:tc>
        <w:tc>
          <w:tcPr>
            <w:tcW w:w="229" w:type="pct"/>
          </w:tcPr>
          <w:p w14:paraId="33F53573" w14:textId="64116F3F"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r>
      <w:tr w:rsidR="000B21B4" w:rsidRPr="00A61595" w14:paraId="7B80E12C" w14:textId="0BE5AEE3" w:rsidTr="00380533">
        <w:trPr>
          <w:trHeight w:val="285"/>
        </w:trPr>
        <w:tc>
          <w:tcPr>
            <w:tcW w:w="715" w:type="pct"/>
            <w:gridSpan w:val="2"/>
            <w:shd w:val="clear" w:color="auto" w:fill="auto"/>
            <w:noWrap/>
            <w:hideMark/>
          </w:tcPr>
          <w:p w14:paraId="5E4528E7" w14:textId="57B53428"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Marvin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{"citationID":"a2hsspvmfea","properties":{"formattedCitation":"(130)","plainCitation":"(130)","noteIndex":0},"citationItems":[{"id":17199,"uris":["http://zotero.org/groups/2477744/items/ESK4U6BH"],"itemData":{"id":17199,"type":"article-journal","abstract":"Production of sufficient, safe and nutritious food is a global challenge faced by the actors operating in the food production chain. The performance of food-producing systems from farm to fork is directly and indirectly influenced by major changes in, for example, climate, demographics, and the economy. Many of these major trends will also drive the development of food safety risks and thus will have an effect on human health, local societies and economies. It is advocated that a holistic or system approach taking into account the influence of multiple “drivers” on food safety is followed to predict the increased likelihood of occurrence of safety incidents so as to be better prepared to prevent, mitigate and manage associated risks. The value of using a Bayesian Network (BN) modelling approach for this purpose is demonstrated in this paper using food fraud as an example. Possible links between food fraud cases retrieved from the RASFF (EU) and EMA (USA) databases and features of these cases provided by both the records themselves and additional data obtained from other sources are demonstrated. The BN model was developed from 1393 food fraud cases and 15 different data sources. With this model applied to these collected data on food fraud cases, the product categories that thus showed the highest probabilities of being fraudulent were “fish and seafood” (20.6%), “meat” (13.4%) and “fruits and vegetables” (10.4%). Features of the country of origin appeared to be important factors in identifying the possible hazards associated with a product. The model had a predictive accuracy of 91.5% for the fraud type and demonstrates how expert knowledge and data can be combined within a model to assist risk managers to better understand the factors and their interrelationships. © 2016 Elsevier Ltd","container-title":"Food Research International","DOI":"10.1016/j.foodres.2016.08.028","journalAbbreviation":"Food Research International","page":"463-470","title":"A holistic approach to food safety risks: Food fraud as an example","URL":"https://www.scopus.com/inward/record.uri?eid=2-s2.0-84995520513&amp;doi=10.1016%2fj.foodres.2016.08.028&amp;partnerID=40&amp;md5=ec58d79055544468bcc50907a5fc1415","volume":"89","author":[{"family":"Marvin","given":"H.J.P."},{"family":"Bouzembrak","given":"Y."},{"family":"Janssen","given":"E.M."},{"family":"Fels- Klerx","given":"H.J.","non-dropping-particle":"van der"},{"family":"Asselt","given":"E.D.","non-dropping-particle":"van"},{"family":"Kleter","given":"G.A."}],"issued":{"date-parts":[["2016"]]}}}],"schema":"https://github.com/citation-style-language/schema/raw/master/csl-citation.json"}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(130)</w:t>
            </w:r>
            <w:r w:rsidRPr="00A61595">
              <w:rPr>
                <w:rFonts w:ascii="Arial" w:eastAsia="Times New Roman" w:hAnsi="Arial" w:cs="Arial"/>
                <w:sz w:val="14"/>
                <w:szCs w:val="14"/>
              </w:rPr>
              <w:fldChar w:fldCharType="end"/>
            </w:r>
          </w:p>
        </w:tc>
        <w:tc>
          <w:tcPr>
            <w:tcW w:w="192" w:type="pct"/>
            <w:shd w:val="clear" w:color="auto" w:fill="auto"/>
            <w:noWrap/>
            <w:hideMark/>
          </w:tcPr>
          <w:p w14:paraId="1E3F082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72A9E9F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Using data-informed Bayesian Network modelling to understand main factors influencing food fraud</w:t>
            </w:r>
          </w:p>
        </w:tc>
        <w:tc>
          <w:tcPr>
            <w:tcW w:w="318" w:type="pct"/>
          </w:tcPr>
          <w:p w14:paraId="0572FCA1" w14:textId="32A96BC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27526EE0" w14:textId="289872C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0745EAB" w14:textId="7B78330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c>
          <w:tcPr>
            <w:tcW w:w="229" w:type="pct"/>
          </w:tcPr>
          <w:p w14:paraId="2B60910D" w14:textId="4D4B761A"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EDF4143" w14:textId="62FEB15D" w:rsidTr="00380533">
        <w:trPr>
          <w:trHeight w:val="285"/>
        </w:trPr>
        <w:tc>
          <w:tcPr>
            <w:tcW w:w="715" w:type="pct"/>
            <w:gridSpan w:val="2"/>
            <w:shd w:val="clear" w:color="auto" w:fill="auto"/>
            <w:noWrap/>
            <w:hideMark/>
          </w:tcPr>
          <w:p w14:paraId="1A4B435B" w14:textId="5D0E063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McElwee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{"citationID":"a40e8lkl8i","properties":{"formattedCitation":"(131)","plainCitation":"(131)","noteIndex":0},"citationItems":[{"id":17200,"uris":["http://zotero.org/groups/2477744/items/PRWW2M5R"],"itemData":{"id":17200,"type":"article-journal","abstract":"Food supply chain theory and practice assumes that the processes involved are legal and value adding. In this paper, using examples from the UK halal (sheep) meat supply chain, we outline a value extracting value chain through a mixed methods qualitative approach consisting of face-to-face-interviews and a documentary research strategy underpinned by Narrative Inquiry. Building on previous theoretical work on Illegal Rural Enterprise, we present a narrative of an individual rogue-farmer, and explore his involvement in the illegal halal (‘smokies’) trade over a fifteen-year period. The paper provides a compelling story that will enable investigators to better understand illegal enterprise from a supply chain perspective and more adequately address the concerns stated in the UK Fraud Act 2006. The paper will be useful to food standards agencies in that furthers our understanding of entrepreneurial practice and morality in the food industry. The results demonstrate that illegal rural enterprise is a multi-faceted concept that requires an understanding of business practices and processes alongside a multi-agency approach to enterprise orientated crime. Our approach suggests that supply chains can be ‘flipped’ in order to understand illegal processes in addition to conventional legal processes. © 2017","container-title":"Food Policy","DOI":"10.1016/j.foodpol.2017.04.006","journalAbbreviation":"Food Policy","page":"166-175","title":"Illegal activity in the UK halal (sheep) supply chain: Towards greater understanding","URL":"https://www.scopus.com/inward/record.uri?eid=2-s2.0-85017267556&amp;doi=10.1016%2fj.foodpol.2017.04.006&amp;partnerID=40&amp;md5=eb2a6b3636c674cfdc173d286e8c8821","volume":"69","author":[{"family":"McElwee","given":"G."},{"family":"Smith","given":"R."},{"family":"Lever","given":"J."}],"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(131)</w:t>
            </w:r>
            <w:r w:rsidRPr="00A61595">
              <w:rPr>
                <w:rFonts w:ascii="Arial" w:eastAsia="Times New Roman" w:hAnsi="Arial" w:cs="Arial"/>
                <w:sz w:val="14"/>
                <w:szCs w:val="14"/>
              </w:rPr>
              <w:fldChar w:fldCharType="end"/>
            </w:r>
          </w:p>
        </w:tc>
        <w:tc>
          <w:tcPr>
            <w:tcW w:w="192" w:type="pct"/>
            <w:shd w:val="clear" w:color="auto" w:fill="auto"/>
            <w:noWrap/>
            <w:hideMark/>
          </w:tcPr>
          <w:p w14:paraId="5463C2F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08173F2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Illegal activities in halal sheep supply chain </w:t>
            </w:r>
          </w:p>
        </w:tc>
        <w:tc>
          <w:tcPr>
            <w:tcW w:w="318" w:type="pct"/>
          </w:tcPr>
          <w:p w14:paraId="5FE72888" w14:textId="3A413883"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06" w:type="pct"/>
          </w:tcPr>
          <w:p w14:paraId="420ACAE3" w14:textId="7321DDEB"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71" w:type="pct"/>
          </w:tcPr>
          <w:p w14:paraId="33164C5E" w14:textId="754B6286" w:rsidR="000B21B4" w:rsidRPr="00A61595" w:rsidRDefault="000B21B4" w:rsidP="00380533">
            <w:pPr>
              <w:rPr>
                <w:rFonts w:ascii="Arial" w:hAnsi="Arial" w:cs="Arial"/>
                <w:sz w:val="14"/>
                <w:szCs w:val="14"/>
              </w:rPr>
            </w:pPr>
            <w:r w:rsidRPr="00A61595">
              <w:rPr>
                <w:rFonts w:ascii="Arial" w:hAnsi="Arial" w:cs="Arial"/>
                <w:color w:val="000000"/>
                <w:sz w:val="14"/>
                <w:szCs w:val="14"/>
              </w:rPr>
              <w:t>a, b, f, h</w:t>
            </w:r>
          </w:p>
        </w:tc>
        <w:tc>
          <w:tcPr>
            <w:tcW w:w="229" w:type="pct"/>
          </w:tcPr>
          <w:p w14:paraId="797C8D2F" w14:textId="680FAD15"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41DC89F7" w14:textId="3C6FE8F4" w:rsidTr="00380533">
        <w:trPr>
          <w:trHeight w:val="285"/>
        </w:trPr>
        <w:tc>
          <w:tcPr>
            <w:tcW w:w="715" w:type="pct"/>
            <w:gridSpan w:val="2"/>
            <w:shd w:val="clear" w:color="auto" w:fill="auto"/>
            <w:noWrap/>
            <w:hideMark/>
          </w:tcPr>
          <w:p w14:paraId="55D7B614" w14:textId="59FD17E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Meenakshi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{"citationID":"akfvd02vtc","properties":{"formattedCitation":"(132)","plainCitation":"(132)","noteIndex":0},"citationItems":[{"id":18745,"uris":["http://zotero.org/groups/2477744/items/9JX3WN95"],"itemData":{"id":18745,"type":"article-journal","abstract":"This paper uses auction theory, incorporating buyer asymmetry, to analyse the structure of a small market for parmal paddy in North India and to assess the implications of alternative government policies. Our results suggest that two buyers collude in this market; we are able to quantify the extent to which prices are depressed as a consequence. Such collusion probably characterizes many small grain markets in India. Government intervention in grain markets in India is pervasive, and has in recent years led to its acquiring excessive food stocks and an unwillingness to enforce the support price. Using simulations, we demonstrate that while reducing the support price for paddy may not have the desired effect of reducing government purchases, a decrease in the percentage that millers are required to sell as levy to the government will. © 2004 Elsevier B.V. All rights reserved.","container-title":"Journal of Development Economics","DOI":"10.1016/j.jdeveco.2004.02.001","issue":"2","journalAbbreviation":"Journal of Development Economics","page":"377-403","title":"The unsupportable support price: An analysis of collusion and government intervention in paddy auction markets in North India","URL":"https://www.scopus.com/inward/record.uri?eid=2-s2.0-10944260130&amp;doi=10.1016%2fj.jdeveco.2004.02.001&amp;partnerID=40&amp;md5=8c3edc1083bada1de63d968cd8652c49","volume":"76","author":[{"family":"Meenakshi","given":"J.V."},{"family":"Banerji","given":"A."}],"issued":{"date-parts":[["2005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(132)</w:t>
            </w:r>
            <w:r w:rsidRPr="00A61595">
              <w:rPr>
                <w:rFonts w:ascii="Arial" w:eastAsia="Times New Roman" w:hAnsi="Arial" w:cs="Arial"/>
                <w:sz w:val="14"/>
                <w:szCs w:val="14"/>
              </w:rPr>
              <w:fldChar w:fldCharType="end"/>
            </w:r>
          </w:p>
        </w:tc>
        <w:tc>
          <w:tcPr>
            <w:tcW w:w="192" w:type="pct"/>
            <w:shd w:val="clear" w:color="auto" w:fill="auto"/>
            <w:noWrap/>
            <w:hideMark/>
          </w:tcPr>
          <w:p w14:paraId="4F70F82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2005</w:t>
            </w:r>
          </w:p>
        </w:tc>
        <w:tc>
          <w:tcPr>
            <w:tcW w:w="2869" w:type="pct"/>
            <w:gridSpan w:val="4"/>
            <w:shd w:val="clear" w:color="auto" w:fill="auto"/>
            <w:noWrap/>
            <w:hideMark/>
          </w:tcPr>
          <w:p w14:paraId="07F44A8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Collusion and government intervention in paddy auction markets</w:t>
            </w:r>
          </w:p>
        </w:tc>
        <w:tc>
          <w:tcPr>
            <w:tcW w:w="318" w:type="pct"/>
          </w:tcPr>
          <w:p w14:paraId="2C48A8D1" w14:textId="4550FB84"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7A811B09" w14:textId="4ECDCDF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45F7228D" w14:textId="48629255" w:rsidR="000B21B4" w:rsidRPr="00A61595" w:rsidRDefault="000B21B4" w:rsidP="00380533">
            <w:pPr>
              <w:rPr>
                <w:rFonts w:ascii="Arial" w:hAnsi="Arial" w:cs="Arial"/>
                <w:sz w:val="14"/>
                <w:szCs w:val="14"/>
              </w:rPr>
            </w:pPr>
            <w:r w:rsidRPr="00A61595">
              <w:rPr>
                <w:rFonts w:ascii="Arial" w:hAnsi="Arial" w:cs="Arial"/>
                <w:color w:val="000000"/>
                <w:sz w:val="14"/>
                <w:szCs w:val="14"/>
              </w:rPr>
              <w:t>e, f</w:t>
            </w:r>
          </w:p>
        </w:tc>
        <w:tc>
          <w:tcPr>
            <w:tcW w:w="229" w:type="pct"/>
          </w:tcPr>
          <w:p w14:paraId="34F565D9" w14:textId="0894A36B"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70C8593" w14:textId="494DFFDC" w:rsidTr="00380533">
        <w:trPr>
          <w:trHeight w:val="285"/>
        </w:trPr>
        <w:tc>
          <w:tcPr>
            <w:tcW w:w="715" w:type="pct"/>
            <w:gridSpan w:val="2"/>
            <w:shd w:val="clear" w:color="auto" w:fill="auto"/>
            <w:noWrap/>
            <w:hideMark/>
          </w:tcPr>
          <w:p w14:paraId="44A5AFE8" w14:textId="512D49B1"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Mehta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{"citationID":"a2mdj41mitm","properties":{"formattedCitation":"(133)","plainCitation":"(133)","noteIndex":0},"citationItems":[{"id":18563,"uris":["http://zotero.org/groups/2477744/items/MNXIJQDG"],"itemData":{"id":18563,"type":"article-journal","abstract":"We argue that subsidized food distribution systems that fail to publicize how much food has been allocated to each local market will experience high rates of theft on the margin as they are expanded. We provide the first comparable cross-section of estimates of subsidized food theft. As predicted, in regions of the Philippines that were allocated more subsidized rice to distribute, a larger percentage of the rice went missing. © 2012 Elsevier B.V.","container-title":"Economics Letters","DOI":"10.1016/j.econlet.2012.07.023","issue":"3","journalAbbreviation":"Economics Letters","page":"708-711","title":"Corruption, food subsidies, and opacity: Evidence from the Philippines","volume":"117","author":[{"family":"Mehta","given":"Aashish"},{"family":"Jha","given":"Shikha"}],"issued":{"date-parts":[["2012"]]}}}],"schema":"https://github.com/citation-style-language/schema/raw/master/csl-citation.json"}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(133)</w:t>
            </w:r>
            <w:r w:rsidRPr="00A61595">
              <w:rPr>
                <w:rFonts w:ascii="Arial" w:eastAsia="Times New Roman" w:hAnsi="Arial" w:cs="Arial"/>
                <w:sz w:val="14"/>
                <w:szCs w:val="14"/>
              </w:rPr>
              <w:fldChar w:fldCharType="end"/>
            </w:r>
          </w:p>
        </w:tc>
        <w:tc>
          <w:tcPr>
            <w:tcW w:w="192" w:type="pct"/>
            <w:shd w:val="clear" w:color="auto" w:fill="auto"/>
            <w:noWrap/>
            <w:hideMark/>
          </w:tcPr>
          <w:p w14:paraId="235A35B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2012</w:t>
            </w:r>
          </w:p>
        </w:tc>
        <w:tc>
          <w:tcPr>
            <w:tcW w:w="2869" w:type="pct"/>
            <w:gridSpan w:val="4"/>
            <w:shd w:val="clear" w:color="auto" w:fill="auto"/>
            <w:noWrap/>
            <w:hideMark/>
          </w:tcPr>
          <w:p w14:paraId="35D13C8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Institutional safeguards against theft in opaque food subsidy programs</w:t>
            </w:r>
          </w:p>
        </w:tc>
        <w:tc>
          <w:tcPr>
            <w:tcW w:w="318" w:type="pct"/>
          </w:tcPr>
          <w:p w14:paraId="505D7968" w14:textId="336F3FC7"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2D07667F" w14:textId="4DEE75BB"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71" w:type="pct"/>
          </w:tcPr>
          <w:p w14:paraId="0FF3D634" w14:textId="502768D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c>
          <w:tcPr>
            <w:tcW w:w="229" w:type="pct"/>
          </w:tcPr>
          <w:p w14:paraId="186D47FC" w14:textId="12EECFA3"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465FCA1" w14:textId="6EA06286" w:rsidTr="00380533">
        <w:trPr>
          <w:trHeight w:val="285"/>
        </w:trPr>
        <w:tc>
          <w:tcPr>
            <w:tcW w:w="715" w:type="pct"/>
            <w:gridSpan w:val="2"/>
            <w:shd w:val="clear" w:color="auto" w:fill="auto"/>
            <w:noWrap/>
            <w:hideMark/>
          </w:tcPr>
          <w:p w14:paraId="766D3383" w14:textId="1902FF23"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Mehta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{"citationID":"auolc77phh","properties":{"formattedCitation":"(134)","plainCitation":"(134)","noteIndex":0},"citationItems":[{"id":18547,"uris":["http://zotero.org/groups/2477744/items/LSQWDGIP"],"itemData":{"id":18547,"type":"article-journal","abstract":"Theft rates from subsidized food programs vary greatly and strongly influence program efficiency. Unfortunately, the determinants of these variations remain understudied because the agencies that run these programs seldom publicize the allocations of subsidized food to local markets. We develop a theoretical model of pilferage which predicts that: (i) pilferage from opaque programs is likely to rise more than proportionately with per capita food allocations; (ii) pilferage of inferior goods may be lower in poorer communities; (iii) pilferage rates need not rise as price subsidies are increased; and (iv) pilferage may rise as the relative quality of subsidized food is reduced. A comprehensive literature review and new estimates of pilferage across regions of the Philippines validates these predictions. Our finding, that around 48% of the subsidized rice went missing, is robust to new tests for sampling and recall error. Our policy discussion encourages geographic over administrative targeting, greater transparency in food allocations, and the use of realistic quotas. © 2014 Elsevier Ltd.","container-title":"Food Policy","DOI":"10.1016/j.foodpol.2014.01.002","journalAbbreviation":"Food Policy","page":"69-79","title":"Pilferage from opaque food subsidy programs: Theory and evidence","volume":"45","author":[{"family":"Mehta","given":"Aashish"},{"family":"Jha","given":"Shikha"}],"issued":{"date-parts":[["2014"]]}}}],"schema":"https://github.com/citation-style-language/schema/raw/master/csl-citation.json"}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(134)</w:t>
            </w:r>
            <w:r w:rsidRPr="00A61595">
              <w:rPr>
                <w:rFonts w:ascii="Arial" w:eastAsia="Times New Roman" w:hAnsi="Arial" w:cs="Arial"/>
                <w:sz w:val="14"/>
                <w:szCs w:val="14"/>
              </w:rPr>
              <w:fldChar w:fldCharType="end"/>
            </w:r>
          </w:p>
        </w:tc>
        <w:tc>
          <w:tcPr>
            <w:tcW w:w="192" w:type="pct"/>
            <w:shd w:val="clear" w:color="auto" w:fill="auto"/>
            <w:noWrap/>
            <w:hideMark/>
          </w:tcPr>
          <w:p w14:paraId="565E23F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2014</w:t>
            </w:r>
          </w:p>
        </w:tc>
        <w:tc>
          <w:tcPr>
            <w:tcW w:w="2869" w:type="pct"/>
            <w:gridSpan w:val="4"/>
            <w:shd w:val="clear" w:color="auto" w:fill="auto"/>
            <w:noWrap/>
            <w:hideMark/>
          </w:tcPr>
          <w:p w14:paraId="7EBDDA2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Theft of subsidized food and its relation to program ‘opacity’</w:t>
            </w:r>
          </w:p>
        </w:tc>
        <w:tc>
          <w:tcPr>
            <w:tcW w:w="318" w:type="pct"/>
          </w:tcPr>
          <w:p w14:paraId="19F0A55E" w14:textId="57A52B5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4004D633" w14:textId="767CA31C"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149A2E35" w14:textId="268A68B4"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h, </w:t>
            </w:r>
            <w:proofErr w:type="spellStart"/>
            <w:r w:rsidRPr="00A61595">
              <w:rPr>
                <w:rFonts w:ascii="Arial" w:hAnsi="Arial" w:cs="Arial"/>
                <w:color w:val="000000"/>
                <w:sz w:val="14"/>
                <w:szCs w:val="14"/>
              </w:rPr>
              <w:t>i</w:t>
            </w:r>
            <w:proofErr w:type="spellEnd"/>
          </w:p>
        </w:tc>
        <w:tc>
          <w:tcPr>
            <w:tcW w:w="229" w:type="pct"/>
          </w:tcPr>
          <w:p w14:paraId="79EB6C42" w14:textId="26DF7AD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40844B23" w14:textId="66792FF9" w:rsidTr="00380533">
        <w:trPr>
          <w:trHeight w:val="285"/>
        </w:trPr>
        <w:tc>
          <w:tcPr>
            <w:tcW w:w="715" w:type="pct"/>
            <w:gridSpan w:val="2"/>
            <w:shd w:val="clear" w:color="auto" w:fill="auto"/>
            <w:noWrap/>
            <w:hideMark/>
          </w:tcPr>
          <w:p w14:paraId="679981D4" w14:textId="58AB3B1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Menon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{"citationID":"abiok3p7ak","properties":{"formattedCitation":"(135)","plainCitation":"(135)","noteIndex":0},"citationItems":[{"id":17201,"uris":["http://zotero.org/groups/2477744/items/9F7TJSSQ"],"itemData":{"id":17201,"type":"article-journal","abstract":"This article is an exploratory study into the implementation of Aadhaar-based biometric authentication (ABBA) in fair price shops in Ranchi district. In August 2016, only 52 per cent of ration card holding households in Ranchi successfully bought their ration. We find that the move to make ABBA compulsory for public distribution system (PDS) is a key contributor to this low transaction rate. The implementation of ABBA is rife with technical issues such as incomplete seeding of cardholder information, biometric failure and administrative gaps such as inadequate failure reporting and back-up systems. Through an empirical survey and secondary analysis of government data, we find that each of these prevent participants from purchasing their entitlements. Mandatory ABBA thus poses a possible threat to the food security of PDS-dependent households. ABBA has not fulfilled the potential for technology to bring transparency and efficiency into the PDS as it excessively prioritizes the prevention of identity fraud over other important issues, which could be addressed with improved technology such as quantity fraud and inventory management. © 2017 Institute for Human Development.","container-title":"Indian Journal of Human Development","DOI":"10.1177/0973703017748384","issue":"3","journalAbbreviation":"Indian Journal of Human Development","page":"387-401","title":"Aadhaar-based Biometric Authentication for PDS and Food Security: Observations on Implementation in Jharkhand’s Ranchi District","URL":"https://www.scopus.com/inward/record.uri?eid=2-s2.0-85063625445&amp;doi=10.1177%2f0973703017748384&amp;partnerID=40&amp;md5=13672b967910febeffb517970106b9aa","volume":"11","author":[{"family":"Menon","given":"S."}],"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(135)</w:t>
            </w:r>
            <w:r w:rsidRPr="00A61595">
              <w:rPr>
                <w:rFonts w:ascii="Arial" w:eastAsia="Times New Roman" w:hAnsi="Arial" w:cs="Arial"/>
                <w:sz w:val="14"/>
                <w:szCs w:val="14"/>
              </w:rPr>
              <w:fldChar w:fldCharType="end"/>
            </w:r>
          </w:p>
        </w:tc>
        <w:tc>
          <w:tcPr>
            <w:tcW w:w="192" w:type="pct"/>
            <w:shd w:val="clear" w:color="auto" w:fill="auto"/>
            <w:noWrap/>
            <w:hideMark/>
          </w:tcPr>
          <w:p w14:paraId="07169DF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2E77AF1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Aadhaar-based biometric authentication in fair price shops to address fraud</w:t>
            </w:r>
          </w:p>
        </w:tc>
        <w:tc>
          <w:tcPr>
            <w:tcW w:w="318" w:type="pct"/>
          </w:tcPr>
          <w:p w14:paraId="52324C6E" w14:textId="1C6EBE28"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06" w:type="pct"/>
          </w:tcPr>
          <w:p w14:paraId="6EAB0428" w14:textId="5F81B95B"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71" w:type="pct"/>
          </w:tcPr>
          <w:p w14:paraId="31CB5776" w14:textId="0EB0B413"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w:t>
            </w:r>
            <w:proofErr w:type="spellStart"/>
            <w:r w:rsidRPr="00A61595">
              <w:rPr>
                <w:rFonts w:ascii="Arial" w:hAnsi="Arial" w:cs="Arial"/>
                <w:color w:val="000000"/>
                <w:sz w:val="14"/>
                <w:szCs w:val="14"/>
              </w:rPr>
              <w:t>i</w:t>
            </w:r>
            <w:proofErr w:type="spellEnd"/>
          </w:p>
        </w:tc>
        <w:tc>
          <w:tcPr>
            <w:tcW w:w="229" w:type="pct"/>
          </w:tcPr>
          <w:p w14:paraId="60E7171E" w14:textId="2BF8F27A"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CEEDF2B" w14:textId="087B074B" w:rsidTr="00380533">
        <w:trPr>
          <w:trHeight w:val="285"/>
        </w:trPr>
        <w:tc>
          <w:tcPr>
            <w:tcW w:w="715" w:type="pct"/>
            <w:gridSpan w:val="2"/>
            <w:shd w:val="clear" w:color="auto" w:fill="auto"/>
            <w:noWrap/>
            <w:hideMark/>
          </w:tcPr>
          <w:p w14:paraId="2E435263" w14:textId="75874FC2"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lastRenderedPageBreak/>
              <w:t xml:space="preserve">Mensah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{"citationID":"a1k30ps3m9","properties":{"formattedCitation":"(136)","plainCitation":"(136)","noteIndex":0},"citationItems":[{"id":17253,"uris":["http://zotero.org/groups/2477744/items/QFHZPER3"],"itemData":{"id":17253,"type":"article-journal","abstract":"Purpose The purpose of this paper is to examine the poultry farmer's willingness to pay for agricultural tax in the Dormaa Municipality of Ghana. Besides, the study analysed the mean agricultural tax and constraints impeding the payment of the agricultural tax. Design/methodology/approach One hundred (100) poultry farmers were selected for the study. The logit and Kendall's coefficient of concordance were used to examine the factors that influence payment of agricultural tax and the constraints impeding the payment of the agricultural tax, respectively. Findings Instructively, 83% of the respondents were interested in the regressive taxation model relative to 12 and 5% who were interested in the proportional and progressive taxation model, respectively. The empirical results of the logit model revealed that tax awareness, probability of being audited and public service provision of roads influenced the poultry farmer's decision to pay for the agricultural tax. Perception of corruption and high tax rates were the primary constraints impeding the payment of the agricultural tax. The results further revealed that the farmers are willing to pay an average maximum amount of Ghc 152.00 (US 26 dollars) agricultural tax per month. Originality/value Despite the increasing relevance of agricultural tax, studies on poultry farmer's willingness to pay agricultural tax have been scarce in West Africa, particularly, Ghana. As a consequence, this paper broadens the frontiers of the existing literature on agricultural tax as well as the constraints impeding the poultry farmers to pay agricultural tax.","archive_location":"WOS:000592497500001","container-title":"WORLD JOURNAL OF ENTREPRENEURSHIP MANAGEMENT AND SUSTAINABLE DEVELOPMENT","DOI":"10.1108/WJEMSD-04-2020-0037","issue":"2","journalAbbreviation":"WORLD JOURNAL OF ENTREPRENEURSHIP MANAGEMENT AND SUSTAINABLE DEVELOPMENT","page":"290-306","title":"Poultry farmers willingness to pay for agricultural tax: evidence from the Bono region, Ghana","volume":"17","author":[{"family":"Mensah","given":"NO"},{"family":"Amrago","given":"EC"},{"family":"Asare","given":"JK"},{"family":"Tutu","given":"FO"},{"family":"Donkor","given":"A"}],"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(136)</w:t>
            </w:r>
            <w:r w:rsidRPr="00A61595">
              <w:rPr>
                <w:rFonts w:ascii="Arial" w:eastAsia="Times New Roman" w:hAnsi="Arial" w:cs="Arial"/>
                <w:sz w:val="14"/>
                <w:szCs w:val="14"/>
              </w:rPr>
              <w:fldChar w:fldCharType="end"/>
            </w:r>
          </w:p>
        </w:tc>
        <w:tc>
          <w:tcPr>
            <w:tcW w:w="192" w:type="pct"/>
            <w:shd w:val="clear" w:color="auto" w:fill="auto"/>
            <w:noWrap/>
            <w:hideMark/>
          </w:tcPr>
          <w:p w14:paraId="67BC5D2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485D436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Constraints affecting the poultry farmer’s decision to pay agricultural tax</w:t>
            </w:r>
          </w:p>
        </w:tc>
        <w:tc>
          <w:tcPr>
            <w:tcW w:w="318" w:type="pct"/>
          </w:tcPr>
          <w:p w14:paraId="72D37AF8" w14:textId="5F1B560B"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36217B2C" w14:textId="36C0BE3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3D7F2339" w14:textId="1B4DEBC5"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c>
          <w:tcPr>
            <w:tcW w:w="229" w:type="pct"/>
          </w:tcPr>
          <w:p w14:paraId="51770C2F" w14:textId="175AA95A"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r>
      <w:tr w:rsidR="000B21B4" w:rsidRPr="00A61595" w14:paraId="22584836" w14:textId="0C1FB1CC" w:rsidTr="00380533">
        <w:trPr>
          <w:trHeight w:val="285"/>
        </w:trPr>
        <w:tc>
          <w:tcPr>
            <w:tcW w:w="715" w:type="pct"/>
            <w:gridSpan w:val="2"/>
            <w:shd w:val="clear" w:color="auto" w:fill="auto"/>
            <w:noWrap/>
            <w:hideMark/>
          </w:tcPr>
          <w:p w14:paraId="32F442EC" w14:textId="383808AE"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Mialon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{"citationID":"a2dri3gvgi2","properties":{"formattedCitation":"(137)","plainCitation":"(137)","noteIndex":0},"citationItems":[{"id":17202,"uris":["http://zotero.org/groups/2477744/items/7E45TITS"],"itemData":{"id":17202,"type":"article-journal","abstract":"Objective: To identify and monitor food industry use of political practices during the adoption of nutrition warning labels (WL) in Colombia. Design: Document analysis of publicly available information triangulated with interviews. Setting: Colombia. Participants: Eighteen key informants from the government (n 2), academia (n 1), civil society (n 12), the media (n 2) and a former food industry employee (n 1). Results: In Colombia, the food industry used experts and groups funded by large transnationals to promote its preferred front-of-pack nutrition labelling (FOPL) and discredit the proposed warning models. The industry criticised the proposed WL, discussing the negative impacts they would have on trade, the excessive costs required to implement them and the fact that consumers were responsible for making the right choices about what to eat. Food industry actors also interacted with the government and former members of large trade associations now in decision-making positions in the public sector. The Codex Alimentarius was also a platform through which the industry got access to decision-making and could influence the FOPL policy. Conclusions: In Colombia, the food industry used a broad range of political strategies that could have negatively influenced the FOPL policy process. Despite this influence, the mandatory use of WL was announced in February 2020. There is an urgent need to condemn such political practices as they still could prevent the implementation of other internationally recommended measures to improve population health in the country and abroad, nutrition WL being only of them. ©","container-title":"Public Health Nutrition","DOI":"10.1017/S1368980020002268","issue":"9","journalAbbreviation":"Public Health Nutrition","page":"2737-2745","title":"'I had never seen so many lobbyists': Food industry political practices during the development of a new nutrition front-of-pack labelling system in Colombia","URL":"https://www.scopus.com/inward/record.uri?eid=2-s2.0-85092472140&amp;doi=10.1017%2fS1368980020002268&amp;partnerID=40&amp;md5=6b5fa7a17a2c34a3b65660bbcd1b7d7e","volume":"24","author":[{"family":"Mialon","given":"M."},{"family":"Charry","given":"D.A.G."},{"family":"Cediel","given":"G."},{"family":"Crosbie","given":"E."},{"family":"Scagliusi","given":"F.B."},{"family":"Tamayo","given":"E.M.P."}],"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(137)</w:t>
            </w:r>
            <w:r w:rsidRPr="00A61595">
              <w:rPr>
                <w:rFonts w:ascii="Arial" w:eastAsia="Times New Roman" w:hAnsi="Arial" w:cs="Arial"/>
                <w:sz w:val="14"/>
                <w:szCs w:val="14"/>
              </w:rPr>
              <w:fldChar w:fldCharType="end"/>
            </w:r>
          </w:p>
        </w:tc>
        <w:tc>
          <w:tcPr>
            <w:tcW w:w="192" w:type="pct"/>
            <w:shd w:val="clear" w:color="auto" w:fill="auto"/>
            <w:noWrap/>
            <w:hideMark/>
          </w:tcPr>
          <w:p w14:paraId="5FB82A7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6998B4A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Food industry use of political practices during the adoption of nutrition warning labels</w:t>
            </w:r>
          </w:p>
        </w:tc>
        <w:tc>
          <w:tcPr>
            <w:tcW w:w="318" w:type="pct"/>
          </w:tcPr>
          <w:p w14:paraId="36F49941" w14:textId="60A534FF"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60A82AA7" w14:textId="3CEF148C"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E7932EB" w14:textId="3AF406A4"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xml:space="preserve">, j </w:t>
            </w:r>
          </w:p>
        </w:tc>
        <w:tc>
          <w:tcPr>
            <w:tcW w:w="229" w:type="pct"/>
          </w:tcPr>
          <w:p w14:paraId="7AA32A93" w14:textId="3EAF9BDE"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957B315" w14:textId="71FB68C4" w:rsidTr="00380533">
        <w:trPr>
          <w:trHeight w:val="285"/>
        </w:trPr>
        <w:tc>
          <w:tcPr>
            <w:tcW w:w="715" w:type="pct"/>
            <w:gridSpan w:val="2"/>
            <w:shd w:val="clear" w:color="auto" w:fill="auto"/>
            <w:noWrap/>
            <w:hideMark/>
          </w:tcPr>
          <w:p w14:paraId="2FD700A8" w14:textId="15825B2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Mialon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{"citationID":"a25c3a48msp","properties":{"formattedCitation":"(138)","plainCitation":"(138)","noteIndex":0},"citationItems":[{"id":17203,"uris":["http://zotero.org/groups/2477744/items/Q5YE3DFD"],"itemData":{"id":17203,"type":"article-journal","abstract":"Background: In Colombia, public health policies to improve food environments, including front-of-pack nutrition labelling and marketing restrictions for unhealthy products, are currently under development. Opposition to these policies by the food industry is currently delaying and weakening these efforts. This opposition is commonly known as 'corporate political activity' (CPA) and includes instrumental (action-based) strategies and discursive (argument-based) strategies. Our aim was to identify the CPA of the food industry in Colombia. Methods: We conducted a document analysis of information available in the public domain published between January-July 2019. We triangulated this data with interviews with 17 key informants. We used a deductive approach to data analysis, based on an existing framework for the CPA of the food industry. Results: We identified 275 occurrences of CPA through our analysis of publicly available information. There were 197 examples of instrumental strategies and 138 examples of discursive strategies (these categories are not mutually exclusive, 60 examples belong to both categories). Interview participants also shared information about the CPA in the country. The industry used its discursive strategies to portray the industry in a 'better light', demonstrating its efforts in improving food environments and its role in the economic development of the country. The food industry was involved in several community programmes, including through public private initiatives. The industry also captured the media and tried to influence the science on nutrition and non-communicable diseases. Food industry actors were highly prominent in the policy sphere, through their lobbying, close relationships with high ranking officials and their support for self-regulation in the country. Conclusions: The proximity between the industry, government and the media is particularly evident and remains largely unquestioned in Colombia. The influence of vulnerable populations in communities and feeling of insecurity by public health advocates is also worrisome. In Colombia, the CPA of the food industry has the potential to weaken and delay efforts to develop and implement public health policies that could improve the healthiness of food environments. It is urgent that mechanisms to prevent and manage the influence of the food industry are developed in the country. © 2020 The Author(s).","container-title":"Globalization and Health","DOI":"10.1186/s12992-020-00631-x","issue":"1","journalAbbreviation":"Globalization and Health","title":"\"the architecture of the state was transformed in favour of the interests of companies\": Corporate political activity of the food industry in Colombia","URL":"https://www.scopus.com/inward/record.uri?eid=2-s2.0-85092534307&amp;doi=10.1186%2fs12992-020-00631-x&amp;partnerID=40&amp;md5=0161a4a45e1362c2dc0acdc5c013a83b","volume":"16","author":[{"family":"Mialon","given":"M."},{"family":"Gaitan Charry","given":"D.A."},{"family":"Cediel","given":"G."},{"family":"Crosbie","given":"E."},{"family":"Baeza Scagliusi","given":"F."},{"family":"Pérez Tamayo","given":"E.M."}],"issued":{"date-parts":[["2020"]]}}}],"schema":"https://github.com/citation-style-language/schema/raw/master/csl-citation.json"}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(138)</w:t>
            </w:r>
            <w:r w:rsidRPr="00A61595">
              <w:rPr>
                <w:rFonts w:ascii="Arial" w:eastAsia="Times New Roman" w:hAnsi="Arial" w:cs="Arial"/>
                <w:sz w:val="14"/>
                <w:szCs w:val="14"/>
              </w:rPr>
              <w:fldChar w:fldCharType="end"/>
            </w:r>
          </w:p>
        </w:tc>
        <w:tc>
          <w:tcPr>
            <w:tcW w:w="192" w:type="pct"/>
            <w:shd w:val="clear" w:color="auto" w:fill="auto"/>
            <w:noWrap/>
            <w:hideMark/>
          </w:tcPr>
          <w:p w14:paraId="6640F9F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05076FC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Corporate political activity of the food industry in Colombia</w:t>
            </w:r>
          </w:p>
        </w:tc>
        <w:tc>
          <w:tcPr>
            <w:tcW w:w="318" w:type="pct"/>
          </w:tcPr>
          <w:p w14:paraId="54EF0E3B" w14:textId="61A5B690"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7201BDFB" w14:textId="2D59AAE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7E22A23" w14:textId="63FD10D0"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4A77668B" w14:textId="7E7AF9A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20DBB951" w14:textId="4EC8E37F" w:rsidTr="00380533">
        <w:trPr>
          <w:trHeight w:val="285"/>
        </w:trPr>
        <w:tc>
          <w:tcPr>
            <w:tcW w:w="715" w:type="pct"/>
            <w:gridSpan w:val="2"/>
            <w:shd w:val="clear" w:color="auto" w:fill="auto"/>
            <w:noWrap/>
            <w:hideMark/>
          </w:tcPr>
          <w:p w14:paraId="047DF04B" w14:textId="49F52559"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Mialon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{"citationID":"a1mtb6rk7uj","properties":{"formattedCitation":"(139)","plainCitation":"(139)","noteIndex":0},"citationItems":[{"id":17204,"uris":["http://zotero.org/groups/2477744/items/2MUN36UF"],"itemData":{"id":17204,"type":"article-journal","abstract":"Objective To identify the corporate political activity (CPA) of major food industry actors in France.Design We followed an approach based on information available in the public domain. Different sources of information, freely accessible to the public, were monitored.Setting/Subjects Data were collected and analysed between March and August 2015. Five actors were selected: ANIA (Association Nationale des Industries Agroalimentaires/National Association of Agribusiness Industries); Coca-Cola; McDonald's; Nestlé; and Carrefour.Results Our analysis shows that the main practices used by Coca-Cola and McDonald's were the framing of diet and public health issues in ways favourable to the company, and their involvement in the community. ANIA primarily used the 'information and messaging' strategy (e.g. by promoting deregulation and shaping the evidence base on diet- and public health-related issues), as well as the 'policy substitution' strategy. Nestlé framed diet and public health issues, and shaped the evidence base on diet- and public health-related issues. Carrefour particularly sought involvement in the community.Conclusions We found that, in 2015, the food industry in France was using CPA practices that were also used by other industries in the past, such as the tobacco and alcohol industries. Because most, if not all, of these practices proved detrimental to public health when used by the tobacco industry, we propose that the precautionary principle should guide decisions when engaging or interacting with the food industry. © The Authors 2018.","container-title":"Public Health Nutrition","DOI":"10.1017/S1368980018001763","issue":"18","journalAbbreviation":"Public Health Nutrition","page":"3407-3421","title":"Analysis of corporate political activity strategies of the food industry: Evidence from France","URL":"https://www.scopus.com/inward/record.uri?eid=2-s2.0-85049866651&amp;doi=10.1017%2fS1368980018001763&amp;partnerID=40&amp;md5=17c50f5d60b802efaa7df828b8a2433a","volume":"21","author":[{"family":"Mialon","given":"M."},{"family":"Mialon","given":"J."}],"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(139)</w:t>
            </w:r>
            <w:r w:rsidRPr="00A61595">
              <w:rPr>
                <w:rFonts w:ascii="Arial" w:eastAsia="Times New Roman" w:hAnsi="Arial" w:cs="Arial"/>
                <w:sz w:val="14"/>
                <w:szCs w:val="14"/>
              </w:rPr>
              <w:fldChar w:fldCharType="end"/>
            </w:r>
          </w:p>
        </w:tc>
        <w:tc>
          <w:tcPr>
            <w:tcW w:w="192" w:type="pct"/>
            <w:shd w:val="clear" w:color="auto" w:fill="auto"/>
            <w:noWrap/>
            <w:hideMark/>
          </w:tcPr>
          <w:p w14:paraId="6E78218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065C600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Corporate political activity of major food industry actors in France</w:t>
            </w:r>
          </w:p>
        </w:tc>
        <w:tc>
          <w:tcPr>
            <w:tcW w:w="318" w:type="pct"/>
          </w:tcPr>
          <w:p w14:paraId="0BCC58FB" w14:textId="063588CE"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397E407E" w14:textId="4ECDEC73"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B7CFB2A" w14:textId="4CF4D8A9"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44BC487C" w14:textId="68289FE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119710B5" w14:textId="798BA9A6" w:rsidTr="00380533">
        <w:trPr>
          <w:trHeight w:val="285"/>
        </w:trPr>
        <w:tc>
          <w:tcPr>
            <w:tcW w:w="715" w:type="pct"/>
            <w:gridSpan w:val="2"/>
            <w:shd w:val="clear" w:color="auto" w:fill="auto"/>
            <w:noWrap/>
            <w:hideMark/>
          </w:tcPr>
          <w:p w14:paraId="28611FAF" w14:textId="0131879D"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Mialon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{"citationID":"a1ajjkbv4p2","properties":{"formattedCitation":"(140)","plainCitation":"(140)","noteIndex":0},"citationItems":[{"id":17205,"uris":["http://zotero.org/groups/2477744/items/QRSR6K94"],"itemData":{"id":17205,"type":"article-journal","abstract":"Objective In the present study, we used a structured approach based on publicly available information to identify the corporate political activity (CPA) strategies of three major actors in the dairy industry in France. Design We collected publicly available information from the industry, government and other sources over a 6-month period, from March to August 2015. Data collection and analysis were informed by an existing framework for classifying the CPA of the food industry. Setting/Subjects Our study included three major actors in the dairy industry in France: Danone, Lactalis and the Centre National Interprofessionnel de l'Economie Laitière (CNIEL), a trade association. Results During the period of data collection, the dairy industry employed CPA practices on numerous occasions by using three strategies: the 'information and messaging', the 'constituency building' and the 'policy substitution' strategies. The most common practice was the shaping of evidence in ways that suited the industry. The industry also sought involvement in the community, establishing relationships with public health professionals, academics and the government. Conclusions Our study shows that the dairy industry used several CPA practices, even during periods when there was no specific policy debate on the role of dairy products in dietary guidelines. The information provided here could inform public health advocates and policy makers and help them ensure that commercial interests of industry do not impede public health policies and programmes. © 2017 The Authors.","container-title":"Public Health Nutrition","DOI":"10.1017/S1368980017001197","issue":"13","journalAbbreviation":"Public Health Nutrition","page":"2432-2439","title":"Corporate political activity of the dairy industry in France: An analysis of publicly available information","URL":"https://www.scopus.com/inward/record.uri?eid=2-s2.0-85022051920&amp;doi=10.1017%2fS1368980017001197&amp;partnerID=40&amp;md5=60d0cb4f62d204c4988f951c9ff1dd6f","volume":"20","author":[{"family":"Mialon","given":"M."},{"family":"Mialon","given":"J."}],"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(140)</w:t>
            </w:r>
            <w:r w:rsidRPr="00A61595">
              <w:rPr>
                <w:rFonts w:ascii="Arial" w:eastAsia="Times New Roman" w:hAnsi="Arial" w:cs="Arial"/>
                <w:sz w:val="14"/>
                <w:szCs w:val="14"/>
              </w:rPr>
              <w:fldChar w:fldCharType="end"/>
            </w:r>
          </w:p>
        </w:tc>
        <w:tc>
          <w:tcPr>
            <w:tcW w:w="192" w:type="pct"/>
            <w:shd w:val="clear" w:color="auto" w:fill="auto"/>
            <w:noWrap/>
            <w:hideMark/>
          </w:tcPr>
          <w:p w14:paraId="31094C7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7B76A4A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Extent to which the dairy industry uses corporate political activity strategies</w:t>
            </w:r>
          </w:p>
        </w:tc>
        <w:tc>
          <w:tcPr>
            <w:tcW w:w="318" w:type="pct"/>
          </w:tcPr>
          <w:p w14:paraId="7DF836BE" w14:textId="5855AA6F"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36591787" w14:textId="697848CD"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2E85D4E" w14:textId="468DD091"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775022D8" w14:textId="49871A53"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4197D521" w14:textId="5F09BF36" w:rsidTr="00380533">
        <w:trPr>
          <w:trHeight w:val="285"/>
        </w:trPr>
        <w:tc>
          <w:tcPr>
            <w:tcW w:w="715" w:type="pct"/>
            <w:gridSpan w:val="2"/>
            <w:shd w:val="clear" w:color="auto" w:fill="auto"/>
            <w:noWrap/>
            <w:hideMark/>
          </w:tcPr>
          <w:p w14:paraId="6B689D3C" w14:textId="1B452D22"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Mialon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{"citationID":"a24q2a2jhbb","properties":{"formattedCitation":"(141)","plainCitation":"(141)","noteIndex":0},"citationItems":[{"id":17206,"uris":["http://zotero.org/groups/2477744/items/IP5ZHK4M"],"itemData":{"id":17206,"type":"article-journal","abstract":"Objective: To gain deeper insight into the corporate political activity (CPA) of the Australian food industry from a public health perspective. Methods: Fifteen interviews with a purposive sample of current and former policy makers, public health advocates and academics who have closely interacted with food industry representatives or observed food industry behaviours. Results: All participants reported having directly experienced the CPA of the food industry during their careers, with the ‘information and messaging’ and ‘constituency building’ strategies most prominent. Participants expressed concern that food industry CPA strategies resulted in weakened policy responses to addressing diet-related disease. Conclusions: This study provides direct evidence of food industry practices that have the potential to shape public health-related policies and programs in Australia in ways that favour business interests at the expense of population health. Implications for public health: This evidence can inform policy makers and public health advocates and be used to adopt measures to ensure that public interests are put at the forefront as part of the policy development and implementation process. © 2017 The Authors","container-title":"Australian and New Zealand Journal of Public Health","DOI":"10.1111/1753-6405.12639","issue":"2","journalAbbreviation":"Australian and New Zealand Journal of Public Health","page":"165-171","title":"‘Maximising shareholder value’: a detailed insight into the corporate political activity of the Australian food industry","URL":"https://www.scopus.com/inward/record.uri?eid=2-s2.0-85010223807&amp;doi=10.1111%2f1753-6405.12639&amp;partnerID=40&amp;md5=2a51505e6a319a1be91d0416873fa34a","volume":"41","author":[{"family":"Mialon","given":"M."},{"family":"Swinburn","given":"B."},{"family":"Allender","given":"S."},{"family":"Sacks","given":"G."}],"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(141)</w:t>
            </w:r>
            <w:r w:rsidRPr="00A61595">
              <w:rPr>
                <w:rFonts w:ascii="Arial" w:eastAsia="Times New Roman" w:hAnsi="Arial" w:cs="Arial"/>
                <w:sz w:val="14"/>
                <w:szCs w:val="14"/>
              </w:rPr>
              <w:fldChar w:fldCharType="end"/>
            </w:r>
          </w:p>
        </w:tc>
        <w:tc>
          <w:tcPr>
            <w:tcW w:w="192" w:type="pct"/>
            <w:shd w:val="clear" w:color="auto" w:fill="auto"/>
            <w:noWrap/>
            <w:hideMark/>
          </w:tcPr>
          <w:p w14:paraId="2764EA7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748C334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Insight into the corporate political activity of the Australian food industry</w:t>
            </w:r>
          </w:p>
        </w:tc>
        <w:tc>
          <w:tcPr>
            <w:tcW w:w="318" w:type="pct"/>
          </w:tcPr>
          <w:p w14:paraId="13F96B63" w14:textId="6D3EC421"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6299769A" w14:textId="1BF70AB2"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467D048" w14:textId="6F6206EF"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0DAE27EF" w14:textId="1EB0E87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3BFA5BAB" w14:textId="03D3484C" w:rsidTr="00380533">
        <w:trPr>
          <w:trHeight w:val="285"/>
        </w:trPr>
        <w:tc>
          <w:tcPr>
            <w:tcW w:w="715" w:type="pct"/>
            <w:gridSpan w:val="2"/>
            <w:shd w:val="clear" w:color="auto" w:fill="auto"/>
            <w:noWrap/>
            <w:hideMark/>
          </w:tcPr>
          <w:p w14:paraId="78D81E96" w14:textId="0AF3DA9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Mialon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{"citationID":"a2hi5p4tvj5","properties":{"formattedCitation":"(142)","plainCitation":"(142)","noteIndex":0},"citationItems":[{"id":17207,"uris":["http://zotero.org/groups/2477744/items/IL9ML6JX"],"itemData":{"id":17207,"type":"article-journal","abstract":"Background: Non-communicable diseases (NCDs) are the leading cause of mortality in Fiji, a middle-income country in the Pacific. Some food products processed sold and marketed by the food industry are major contributors to the NCD epidemic, and the food industry is widely identified as having strong economic and political power. However, little research has been undertaken on the attempts by the food industry to influence public health-related policies and programs in its favour. The \"corporate political activity\" (CPA) of the food industry includes six strategies (information and messaging; financial incentives; constituency building; legal strategies; policy substitution; opposition fragmentation and destabilisation). For this study, we aimed to gain a detailed understanding of the CPA strategies and practices of major food industry actors in Fiji, interpreted through a public health lens. Methods and results: We implemented a systematic approach to monitor the CPA of the food industry in Fiji for three months. It consisted of document analysis of relevant publicly available information. In parallel, we conducted semi-structured interviews with 10 stakeholders involved in diet- and/or public health-related issues in Fiji. Both components of the study were thematically analysed. We found evidence that the food industry adopted a diverse range of strategies in an attempt to influence public policy in Fiji, with all six CPA strategies identified. Participants identified that there is a substantial risk that the widespread CPA of the food industry could undermine efforts to address NCDs in Fiji. Conclusions: Despite limited public disclosure of information, such as data related to food industry donations to political parties and lobbying, we were able to identify many CPA practices used by the food industry in Fiji. Greater transparency from the food industry and the government would help strengthen efforts to increase their accountability and support NCD prevention. In other low- and middle-income countries, it is likely that a systematic document analysis approach would also need to be supplemented with key informant interviews to gain insight into this important influence on NCD prevention. © 2016 Mialon et al.","container-title":"Globalization and Health","DOI":"10.1186/s12992-016-0158-8","issue":"1","journalAbbreviation":"Globalization and Health","title":"Analysis of the corporate political activity of major food industry actors in Fiji","URL":"https://www.scopus.com/inward/record.uri?eid=2-s2.0-84968764845&amp;doi=10.1186%2fs12992-016-0158-8&amp;partnerID=40&amp;md5=f76403a26481e7cd7c07e7491643b25a","volume":"12","author":[{"family":"Mialon","given":"M."},{"family":"Swinburn","given":"B."},{"family":"Wate","given":"J."},{"family":"Tukana","given":"I."},{"family":"Sacks","given":"G."}],"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(142)</w:t>
            </w:r>
            <w:r w:rsidRPr="00A61595">
              <w:rPr>
                <w:rFonts w:ascii="Arial" w:eastAsia="Times New Roman" w:hAnsi="Arial" w:cs="Arial"/>
                <w:sz w:val="14"/>
                <w:szCs w:val="14"/>
              </w:rPr>
              <w:fldChar w:fldCharType="end"/>
            </w:r>
          </w:p>
        </w:tc>
        <w:tc>
          <w:tcPr>
            <w:tcW w:w="192" w:type="pct"/>
            <w:shd w:val="clear" w:color="auto" w:fill="auto"/>
            <w:noWrap/>
            <w:hideMark/>
          </w:tcPr>
          <w:p w14:paraId="161A6B4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0584353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Corporate political activity strategies and practices of major food industry actors in Fiji</w:t>
            </w:r>
          </w:p>
        </w:tc>
        <w:tc>
          <w:tcPr>
            <w:tcW w:w="318" w:type="pct"/>
          </w:tcPr>
          <w:p w14:paraId="5B893305" w14:textId="665B3740"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3977357C" w14:textId="5463706F"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D4BBAC1" w14:textId="05DD3888"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4D483662" w14:textId="12CE639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2D4A159B" w14:textId="12CF7BD0" w:rsidTr="00380533">
        <w:trPr>
          <w:trHeight w:val="285"/>
        </w:trPr>
        <w:tc>
          <w:tcPr>
            <w:tcW w:w="715" w:type="pct"/>
            <w:gridSpan w:val="2"/>
            <w:shd w:val="clear" w:color="auto" w:fill="auto"/>
            <w:noWrap/>
            <w:hideMark/>
          </w:tcPr>
          <w:p w14:paraId="0E9B7D0D" w14:textId="1897525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Montgomery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{"citationID":"a2hirgh68f0","properties":{"formattedCitation":"(143)","plainCitation":"(143)","noteIndex":0},"citationItems":[{"id":17251,"uris":["http://zotero.org/groups/2477744/items/QL8KZRU6"],"itemData":{"id":17251,"type":"article-journal","abstract":"In January 1998 a significant policy reform deregulated agriculture in Indonesia. It sought to eliminate distorting local monopolies, monopsonies, trade restrictions, interisland maximum shipment quotas and other barriers that effectively lowered farmgate prices. Many of these had been constructed to benefit the Soeharto family and their business cronies. The reform also sought to lower local taxes and levies targeted at agriculture. This paper demonstrates that deregulation eliminated many of the distorting taxes and levies, and dismantled many (but not all) local monopolies, monopsonies and quotas. Farmers typically now receive a higher percentage of the destination market price. Many also receive significantly higher real prices for their products, although this differs dramatically across commodities. Local governments complained about local revenues lost through the reforms. Detailed budget analyses reveal that deregulation did not substantially harm local government budgets; instead, other factors caused a decline in the local-source revenue contribution to local budgets.","container-title":"Bulletin of Indonesian Economic Studies","DOI":"10.1080/000749102753620301","issue":"1","journalAbbreviation":"Bulletin of Indonesian Economic Studies","page":"93-117","title":"Deregulation of Indonesia's interregional agricultural trade","URL":"https://www.scopus.com/inward/record.uri?eid=2-s2.0-0036224951&amp;doi=10.1080%2f000749102753620301&amp;partnerID=40&amp;md5=6c36ee1e4094989a5bdecd095a2d0b78","volume":"38","author":[{"family":"Montgomery","given":"R."},{"family":"Sumarto","given":"S."},{"family":"Mawardi","given":"S."},{"family":"Usman","given":"S."},{"family":"Toyamah","given":"N."},{"family":"Febriany","given":"V."},{"family":"Strain","given":"J."}],"issued":{"date-parts":[["2002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(143)</w:t>
            </w:r>
            <w:r w:rsidRPr="00A61595">
              <w:rPr>
                <w:rFonts w:ascii="Arial" w:eastAsia="Times New Roman" w:hAnsi="Arial" w:cs="Arial"/>
                <w:sz w:val="14"/>
                <w:szCs w:val="14"/>
              </w:rPr>
              <w:fldChar w:fldCharType="end"/>
            </w:r>
          </w:p>
        </w:tc>
        <w:tc>
          <w:tcPr>
            <w:tcW w:w="192" w:type="pct"/>
            <w:shd w:val="clear" w:color="auto" w:fill="auto"/>
            <w:noWrap/>
            <w:hideMark/>
          </w:tcPr>
          <w:p w14:paraId="7E190B9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2002</w:t>
            </w:r>
          </w:p>
        </w:tc>
        <w:tc>
          <w:tcPr>
            <w:tcW w:w="2869" w:type="pct"/>
            <w:gridSpan w:val="4"/>
            <w:shd w:val="clear" w:color="auto" w:fill="auto"/>
            <w:noWrap/>
            <w:hideMark/>
          </w:tcPr>
          <w:p w14:paraId="00934852" w14:textId="73545F51"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Deregulation of Indonesia</w:t>
            </w:r>
            <w:r w:rsidR="00362BF4">
              <w:rPr>
                <w:rFonts w:ascii="Arial" w:eastAsia="Times New Roman" w:hAnsi="Arial" w:cs="Arial"/>
                <w:color w:val="000000" w:themeColor="text1"/>
                <w:sz w:val="14"/>
                <w:szCs w:val="14"/>
              </w:rPr>
              <w:t>’</w:t>
            </w:r>
            <w:r w:rsidRPr="00A61595">
              <w:rPr>
                <w:rFonts w:ascii="Arial" w:eastAsia="Times New Roman" w:hAnsi="Arial" w:cs="Arial"/>
                <w:color w:val="000000" w:themeColor="text1"/>
                <w:sz w:val="14"/>
                <w:szCs w:val="14"/>
              </w:rPr>
              <w:t>s interregional agricultural trade</w:t>
            </w:r>
          </w:p>
        </w:tc>
        <w:tc>
          <w:tcPr>
            <w:tcW w:w="318" w:type="pct"/>
          </w:tcPr>
          <w:p w14:paraId="3CCD99E1" w14:textId="45D0372A"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06" w:type="pct"/>
          </w:tcPr>
          <w:p w14:paraId="369512DF" w14:textId="5FE1177A"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1001CF74" w14:textId="594E9FA0" w:rsidR="000B21B4" w:rsidRPr="00A61595" w:rsidRDefault="000B21B4" w:rsidP="00380533">
            <w:pPr>
              <w:rPr>
                <w:rFonts w:ascii="Arial" w:hAnsi="Arial" w:cs="Arial"/>
                <w:sz w:val="14"/>
                <w:szCs w:val="14"/>
              </w:rPr>
            </w:pPr>
            <w:r w:rsidRPr="00A61595">
              <w:rPr>
                <w:rFonts w:ascii="Arial" w:hAnsi="Arial" w:cs="Arial"/>
                <w:color w:val="000000"/>
                <w:sz w:val="14"/>
                <w:szCs w:val="14"/>
              </w:rPr>
              <w:t>a, f, g</w:t>
            </w:r>
          </w:p>
        </w:tc>
        <w:tc>
          <w:tcPr>
            <w:tcW w:w="229" w:type="pct"/>
          </w:tcPr>
          <w:p w14:paraId="308051D5" w14:textId="384EA414" w:rsidR="000B21B4" w:rsidRPr="00A61595" w:rsidRDefault="000B21B4" w:rsidP="00380533">
            <w:pPr>
              <w:rPr>
                <w:rFonts w:ascii="Arial" w:hAnsi="Arial" w:cs="Arial"/>
                <w:sz w:val="14"/>
                <w:szCs w:val="14"/>
              </w:rPr>
            </w:pPr>
            <w:r w:rsidRPr="00A61595">
              <w:rPr>
                <w:rFonts w:ascii="Arial" w:hAnsi="Arial" w:cs="Arial"/>
                <w:color w:val="000000"/>
                <w:sz w:val="14"/>
                <w:szCs w:val="14"/>
              </w:rPr>
              <w:t>c, f</w:t>
            </w:r>
          </w:p>
        </w:tc>
      </w:tr>
      <w:tr w:rsidR="000B21B4" w:rsidRPr="00A61595" w14:paraId="755D4C92" w14:textId="3BF95CC5" w:rsidTr="00380533">
        <w:trPr>
          <w:trHeight w:val="285"/>
        </w:trPr>
        <w:tc>
          <w:tcPr>
            <w:tcW w:w="715" w:type="pct"/>
            <w:gridSpan w:val="2"/>
            <w:shd w:val="clear" w:color="auto" w:fill="auto"/>
            <w:noWrap/>
            <w:hideMark/>
          </w:tcPr>
          <w:p w14:paraId="0E2BAE69" w14:textId="42BE22B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Moreira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{"citationID":"a45po69cjq","properties":{"formattedCitation":"(144)","plainCitation":"(144)","noteIndex":0},"citationItems":[{"id":17250,"uris":["http://zotero.org/groups/2477744/items/AU7U7W3E"],"itemData":{"id":17250,"type":"article-journal","abstract":"Food fraud is a growing problem and happens in many ways including mislabelling. Since lack of consumers’ knowledge about mandatory food labeling information and different types of food fraud may impact public health, the present work assesses consumers’ knowledge about these issues. Principal component analysis was performed to obtain a smaller number of uncorrelated factors regarding the usefulness and confidence of information displayed in food labels and the perception of food fraud. Results indicated that information displayed in food labels is useful, however the way it is presented may decrease consumer interest and understanding. Regarding respondents’ confidence in foodstuffs, over half of them stated that information provided in food labels is reliable. However, a lack of confidence about food composition is observed in those processed foodstuffs such as meat products. Food fraud is recognized by more than half of respondents with a higher perception of those practices that imply a risk to public health than those related to economic motivation. Age and education of consumers influenced the perception of the information displayed in the food labels, their confidence and knowledge about food fraud. Implementation of education programs to increase consumer knowledge about food labelling and fraud is essential. Respondents’ perception results could be use as guidelines by the food industry to improve food label design in order to enhance consumer understanding. © 2021 by the authors. Licensee MDPI, Basel, Switzerland.","container-title":"Foods","DOI":"10.3390/foods10051095","issue":"5","journalAbbreviation":"Foods","title":"Consumer knowledge about food labeling and fraud","URL":"https://www.scopus.com/inward/record.uri?eid=2-s2.0-85106975038&amp;doi=10.3390%2ffoods10051095&amp;partnerID=40&amp;md5=d1a400cb1b76c378ad17c10855db399c","volume":"10","author":[{"family":"Moreira","given":"M.J."},{"family":"García-Díez","given":"J."},{"family":"Almeida","given":"J.M.M.M.","non-dropping-particle":"de"},{"family":"Saraiva","given":"C."}],"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(144)</w:t>
            </w:r>
            <w:r w:rsidRPr="00A61595">
              <w:rPr>
                <w:rFonts w:ascii="Arial" w:eastAsia="Times New Roman" w:hAnsi="Arial" w:cs="Arial"/>
                <w:sz w:val="14"/>
                <w:szCs w:val="14"/>
              </w:rPr>
              <w:fldChar w:fldCharType="end"/>
            </w:r>
          </w:p>
        </w:tc>
        <w:tc>
          <w:tcPr>
            <w:tcW w:w="192" w:type="pct"/>
            <w:shd w:val="clear" w:color="auto" w:fill="auto"/>
            <w:noWrap/>
            <w:hideMark/>
          </w:tcPr>
          <w:p w14:paraId="3CCE9B9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4F43C15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Consumers’ knowledge about food labeling and food fraud</w:t>
            </w:r>
          </w:p>
        </w:tc>
        <w:tc>
          <w:tcPr>
            <w:tcW w:w="318" w:type="pct"/>
          </w:tcPr>
          <w:p w14:paraId="6868D2AC" w14:textId="6BAAD165"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1866F9E9" w14:textId="132FFE37"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18E28ED" w14:textId="33383476"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b, </w:t>
            </w:r>
            <w:proofErr w:type="spellStart"/>
            <w:r w:rsidRPr="00A61595">
              <w:rPr>
                <w:rFonts w:ascii="Arial" w:hAnsi="Arial" w:cs="Arial"/>
                <w:color w:val="000000"/>
                <w:sz w:val="14"/>
                <w:szCs w:val="14"/>
              </w:rPr>
              <w:t>i</w:t>
            </w:r>
            <w:proofErr w:type="spellEnd"/>
          </w:p>
        </w:tc>
        <w:tc>
          <w:tcPr>
            <w:tcW w:w="229" w:type="pct"/>
          </w:tcPr>
          <w:p w14:paraId="05C4D84E" w14:textId="0E415A5A"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6CB73FE4" w14:textId="7C33ED1B" w:rsidTr="00380533">
        <w:trPr>
          <w:trHeight w:val="285"/>
        </w:trPr>
        <w:tc>
          <w:tcPr>
            <w:tcW w:w="715" w:type="pct"/>
            <w:gridSpan w:val="2"/>
            <w:shd w:val="clear" w:color="auto" w:fill="auto"/>
            <w:noWrap/>
            <w:hideMark/>
          </w:tcPr>
          <w:p w14:paraId="174F63B2" w14:textId="3B0693B2"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Mulligan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{"citationID":"ap9ls5rllu","properties":{"formattedCitation":"(145)","plainCitation":"(145)","noteIndex":0},"citationItems":[{"id":17249,"uris":["http://zotero.org/groups/2477744/items/JKWUD9Y6"],"itemData":{"id":17249,"type":"article-journal","abstract":"BACKGROUND: Canadian federal restrictions on food marketing to children (children's marketing) were proposed in 2016 as Bill S-228, the Child Health Protection Act, which subsequently died on the parliamentary table. This study quantified the interactions (meetings, correspondence and lobbying) related to Bill S-228 and children's marketing by different stakeholders with the federal government. METHODS: Interactions between all stakeholders and government related to children's marketing and Bill S-228 (Sept. 1, 2016-Sept. 30, 2019) were analyzed. These included the \"Meetings and correspondence on healthy eating\" database, detailing interactions between stakeholders and Health Canada related to nutrition policies; and Canada's Registry of Lobbyists, reporting activities of paid lobbyists. We categorized the interactions by stakeholder type (industry, nonindustry and mixed), and analyzed the number and type of interactions with different government offices. RESULTS: We analyzed 139 meetings, 65 lobbying registrants, 215 lobbying registrations and 3418 communications related to children's marketing and Bill S-228. Most interactions were from industry stakeholders, including 84.2% of meetings (117/139), 81.5% of lobbying registrants (53/65), 83.3% of lobbying registrations (179/215) and 83.9% of communications (2866/3418). Most interactions (&gt; 80%) in the highest-ranking government offices were by industry. INTERPRETATION: Industry stakeholders interacted with government more often, more broadly and with higher ranking offices than nonindustry stakeholders on subjects related to children's marketing and Bill S-228. Although further research is needed to analyze the nature of the discourse around children's marketing, it is apparent that industry viewpoints were more prominent than those of nonindustry stakeholders. © 2021 Joule Inc. or its licensors.","container-title":"CMAJ open","DOI":"10.9778/cmajo.20200086","issue":"1","journalAbbreviation":"CMAJ open","page":"E280-E287","title":"Stakeholder interactions with the federal government related to Bill S-228 and marketing to kids in Canada: a quantitative descriptive study","URL":"https://www.scopus.com/inward/record.uri?eid=2-s2.0-85107911926&amp;doi=10.9778%2fcmajo.20200086&amp;partnerID=40&amp;md5=28593f9ff69ab385154ed98aa5cead7c","volume":"9","author":[{"family":"Mulligan","given":"C."},{"family":"Jawad","given":"A."},{"family":"Kent","given":"M.P."},{"family":"Vanderlee","given":"L."},{"family":"L'Abbé","given":"M.R."}],"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(145)</w:t>
            </w:r>
            <w:r w:rsidRPr="00A61595">
              <w:rPr>
                <w:rFonts w:ascii="Arial" w:eastAsia="Times New Roman" w:hAnsi="Arial" w:cs="Arial"/>
                <w:sz w:val="14"/>
                <w:szCs w:val="14"/>
              </w:rPr>
              <w:fldChar w:fldCharType="end"/>
            </w:r>
          </w:p>
        </w:tc>
        <w:tc>
          <w:tcPr>
            <w:tcW w:w="192" w:type="pct"/>
            <w:shd w:val="clear" w:color="auto" w:fill="auto"/>
            <w:noWrap/>
            <w:hideMark/>
          </w:tcPr>
          <w:p w14:paraId="5BB0517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7E931C7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Quantifying interactions related to Bill S-228 and children’s marketing by different stakeholders with the federal government</w:t>
            </w:r>
          </w:p>
        </w:tc>
        <w:tc>
          <w:tcPr>
            <w:tcW w:w="318" w:type="pct"/>
          </w:tcPr>
          <w:p w14:paraId="6F1C30C6" w14:textId="11FD39F9"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27880176" w14:textId="3AA5C54C"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7ACC424" w14:textId="048EC529"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29ED5C5E" w14:textId="742E737C"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0B409A2" w14:textId="351141BA" w:rsidTr="00380533">
        <w:trPr>
          <w:trHeight w:val="285"/>
        </w:trPr>
        <w:tc>
          <w:tcPr>
            <w:tcW w:w="715" w:type="pct"/>
            <w:gridSpan w:val="2"/>
            <w:shd w:val="clear" w:color="auto" w:fill="auto"/>
            <w:noWrap/>
            <w:hideMark/>
          </w:tcPr>
          <w:p w14:paraId="4D1AFF0B" w14:textId="278DA130"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Nading</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{"citationID":"a2pb1lfrja2","properties":{"formattedCitation":"(146)","plainCitation":"(146)","noteIndex":0},"citationItems":[{"id":17080,"uris":["http://zotero.org/groups/2477744/items/VY87S4A7"],"itemData":{"id":17080,"type":"article-journal","abstract":"This article explores how food-safety inspectors (hygienistas) in Nicaragua monitor and certify foodservice workers and facilities. While inspectors are well versed in sanitary law, they describe their job not as law enforcement but as ``orientation.{''} Orientation integrates state regulation with interpersonal exchanges of gifts and jokes, which reinforce unwritten social norms. Such interpersonal exchanges are not simply signs of corruption or governmental incapacity. Rather, orientation is a form of ``crafted bureaucracy{''}: a pragmatic effort to ensure both the quality of food and the quality of governmental encounters. Orientation allows inspectors and food producers to reconcile memories of Nicaragua's revolutionary past with anxieties about the country's more recent integration into a global food economy. While effective surveillance is at stake in orientation, dignity is also at stake. When orientation is successful, the dignity of both bureaucrats and food workers is temporarily affirmed. When orientation fails, their dignity is at risk. {[}public health, hygiene, medical anthropology, infrastructure, Latin America]","container-title":"AMERICAN ANTHROPOLOGIST","DOI":"10.1111/aman.12844","issue":"3","journalAbbreviation":"AMERICAN ANTHROPOLOGIST","page":"478-490","title":"Orientation and Crafted Bureaucracy: Finding Dignity in Nicaraguan Food Safety","volume":"119","author":[{"family":"Nading","given":"Alex"}],"issued":{"date-parts":[["2017"]]}}}],"schema":"https://github.com/citation-style-language/schema/raw/master/csl-citation.json"}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(146)</w:t>
            </w:r>
            <w:r w:rsidRPr="00A61595">
              <w:rPr>
                <w:rFonts w:ascii="Arial" w:eastAsia="Times New Roman" w:hAnsi="Arial" w:cs="Arial"/>
                <w:sz w:val="14"/>
                <w:szCs w:val="14"/>
              </w:rPr>
              <w:fldChar w:fldCharType="end"/>
            </w:r>
          </w:p>
        </w:tc>
        <w:tc>
          <w:tcPr>
            <w:tcW w:w="192" w:type="pct"/>
            <w:shd w:val="clear" w:color="auto" w:fill="auto"/>
            <w:noWrap/>
            <w:hideMark/>
          </w:tcPr>
          <w:p w14:paraId="1FB73485"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45EA831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Explores how food-safety inspectors monitor and certify food service workers and facilities</w:t>
            </w:r>
          </w:p>
        </w:tc>
        <w:tc>
          <w:tcPr>
            <w:tcW w:w="318" w:type="pct"/>
          </w:tcPr>
          <w:p w14:paraId="721342C7" w14:textId="1AE5AEBF"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67F5ADB3" w14:textId="786D96CC" w:rsidR="000B21B4" w:rsidRPr="00A61595" w:rsidRDefault="000B21B4" w:rsidP="00380533">
            <w:pPr>
              <w:rPr>
                <w:rFonts w:ascii="Arial" w:hAnsi="Arial" w:cs="Arial"/>
                <w:sz w:val="14"/>
                <w:szCs w:val="14"/>
              </w:rPr>
            </w:pPr>
            <w:r w:rsidRPr="00A61595">
              <w:rPr>
                <w:rFonts w:ascii="Arial" w:hAnsi="Arial" w:cs="Arial"/>
                <w:color w:val="000000"/>
                <w:sz w:val="14"/>
                <w:szCs w:val="14"/>
              </w:rPr>
              <w:t>a, d</w:t>
            </w:r>
          </w:p>
        </w:tc>
        <w:tc>
          <w:tcPr>
            <w:tcW w:w="371" w:type="pct"/>
          </w:tcPr>
          <w:p w14:paraId="57158AF6" w14:textId="1F3EFFE8" w:rsidR="000B21B4" w:rsidRPr="00A61595" w:rsidRDefault="000B21B4" w:rsidP="00380533">
            <w:pPr>
              <w:rPr>
                <w:rFonts w:ascii="Arial" w:hAnsi="Arial" w:cs="Arial"/>
                <w:sz w:val="14"/>
                <w:szCs w:val="14"/>
              </w:rPr>
            </w:pPr>
            <w:r w:rsidRPr="00A61595">
              <w:rPr>
                <w:rFonts w:ascii="Arial" w:hAnsi="Arial" w:cs="Arial"/>
                <w:color w:val="000000"/>
                <w:sz w:val="14"/>
                <w:szCs w:val="14"/>
              </w:rPr>
              <w:t>k</w:t>
            </w:r>
          </w:p>
        </w:tc>
        <w:tc>
          <w:tcPr>
            <w:tcW w:w="229" w:type="pct"/>
          </w:tcPr>
          <w:p w14:paraId="7080DE86" w14:textId="4EEC1B0E"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61A8F52B" w14:textId="52D6D5A1" w:rsidTr="00380533">
        <w:trPr>
          <w:trHeight w:val="285"/>
        </w:trPr>
        <w:tc>
          <w:tcPr>
            <w:tcW w:w="715" w:type="pct"/>
            <w:gridSpan w:val="2"/>
            <w:shd w:val="clear" w:color="auto" w:fill="auto"/>
            <w:noWrap/>
            <w:hideMark/>
          </w:tcPr>
          <w:p w14:paraId="25E2647E" w14:textId="0E593DE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Nagavarapu</w:t>
            </w:r>
            <w:proofErr w:type="spellEnd"/>
            <w:r w:rsidRPr="00A61595">
              <w:rPr>
                <w:rFonts w:ascii="Arial" w:eastAsia="Times New Roman" w:hAnsi="Arial" w:cs="Arial"/>
                <w:sz w:val="14"/>
                <w:szCs w:val="14"/>
              </w:rPr>
              <w:t>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{"citationID":"a2meomag9ab","properties":{"formattedCitation":"(147)","plainCitation":"(147)","noteIndex":0},"citationItems":[{"id":17045,"uris":["http://zotero.org/groups/2477744/items/MXRR4TNC"],"itemData":{"id":17045,"type":"article-journal","abstract":"This paper shows that social networks provide informal monitoring and enforcement services that can curb leakages and improve the efficacy of public service delivery. We examine India's targeted public distribution system, under which poor households are entitled to subsidized grains and fuel. We show that Scheduled Castes (SCs) are more likely to buy grains when facing SC delivery agents, but there is no difference in the take up of fuel. We develop a theoretical framework positing that increased informal monitoring and enforcement drive our findings. We test our theory using observational survey data and unique data that we collected. Our empirical results provide strong support for the testable implications.","container-title":"Journal of Development Economics","DOI":"10.1016/j.jdeveco.2016.01.006","journalAbbreviation":"Journal of Development Economics","page":"63-78","title":"Informal monitoring and enforcement mechanisms in public service delivery: Evidence from the public distribution system in India","volume":"121","author":[{"family":"Nagavarapu","given":"Sriniketh"},{"family":"Sekhri","given":"Sheetal"}],"issued":{"date-parts":[["2016"]]}}}],"schema":"https://github.com/citation-style-language/schema/raw/master/csl-citation.json"}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(147)</w:t>
            </w:r>
            <w:r w:rsidRPr="00A61595">
              <w:rPr>
                <w:rFonts w:ascii="Arial" w:eastAsia="Times New Roman" w:hAnsi="Arial" w:cs="Arial"/>
                <w:sz w:val="14"/>
                <w:szCs w:val="14"/>
              </w:rPr>
              <w:fldChar w:fldCharType="end"/>
            </w:r>
          </w:p>
        </w:tc>
        <w:tc>
          <w:tcPr>
            <w:tcW w:w="192" w:type="pct"/>
            <w:shd w:val="clear" w:color="auto" w:fill="auto"/>
            <w:noWrap/>
            <w:hideMark/>
          </w:tcPr>
          <w:p w14:paraId="79360B0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5B297CE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Informal monitoring and enforcement mechanisms in public service delivery</w:t>
            </w:r>
          </w:p>
        </w:tc>
        <w:tc>
          <w:tcPr>
            <w:tcW w:w="318" w:type="pct"/>
          </w:tcPr>
          <w:p w14:paraId="16CE70C2" w14:textId="21BC45D0"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06" w:type="pct"/>
          </w:tcPr>
          <w:p w14:paraId="08C89234" w14:textId="4ECEF103"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71" w:type="pct"/>
          </w:tcPr>
          <w:p w14:paraId="119D928F" w14:textId="7400DF9F"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w:t>
            </w:r>
            <w:proofErr w:type="spellStart"/>
            <w:r w:rsidRPr="00A61595">
              <w:rPr>
                <w:rFonts w:ascii="Arial" w:hAnsi="Arial" w:cs="Arial"/>
                <w:color w:val="000000"/>
                <w:sz w:val="14"/>
                <w:szCs w:val="14"/>
              </w:rPr>
              <w:t>i</w:t>
            </w:r>
            <w:proofErr w:type="spellEnd"/>
          </w:p>
        </w:tc>
        <w:tc>
          <w:tcPr>
            <w:tcW w:w="229" w:type="pct"/>
          </w:tcPr>
          <w:p w14:paraId="650C3E3B" w14:textId="608FC74D"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63BE0CA6" w14:textId="06DDCE96" w:rsidTr="00380533">
        <w:trPr>
          <w:trHeight w:val="285"/>
        </w:trPr>
        <w:tc>
          <w:tcPr>
            <w:tcW w:w="715" w:type="pct"/>
            <w:gridSpan w:val="2"/>
            <w:shd w:val="clear" w:color="auto" w:fill="auto"/>
            <w:noWrap/>
            <w:hideMark/>
          </w:tcPr>
          <w:p w14:paraId="29D25142" w14:textId="18CBBECD"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Naqvi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{"citationID":"a2fppcau30d","properties":{"formattedCitation":"(148)","plainCitation":"(148)","noteIndex":0},"citationItems":[{"id":17090,"uris":["http://zotero.org/groups/2477744/items/GRA7GLEU"],"itemData":{"id":17090,"type":"article-journal","abstract":"While a large body of research indicates that state-directed finance worked for successful East Asian developers, the dominant assumption remains that countries with a weak state capacity, where corruption is rife, should not try this at home'. In this article, that narrative is questioned through a case study of the role of the financial sector in Pakistan, which is widely considered to be a successful case of financial liberalization, contrasting the role of the publicly controlled financial system in the 1970s and 1980s with that of the liberalized financial system in the 2000s. Utilizing archival firm-level and aggregate data, historic government documents, and interviews with policy makers, financial sector employees and industrialists, it is argued that in the Pakistani case, the withdrawal of state control over the financial sector led to a deterioration of outcomes. This resulted in the allocation of credit away from the productive sectors, namely industry and agriculture, towards unproductive sectors, for speculative purposes; and in the health of the financial sector not improving as expected, with non-performing loans and corruption remaining a problem, and banks actually becoming a greater burden on government finances. This indicates that even states with weak capacity and flawed industrial policy may be better off with some degree of public control over finance.","container-title":"DEVELOPMENT AND CHANGE","DOI":"10.1111/dech.12424","issue":"4","journalAbbreviation":"DEVELOPMENT AND CHANGE","page":"1064-1092","title":"Finance and Industrial Policy in Unsuccessful Developmental States: The Case of Pakistan","volume":"49","author":[{"family":"Naqvi","given":"Natalya"}],"issued":{"date-parts":[["2018"]]}}}],"schema":"https://github.com/citation-style-language/schema/raw/master/csl-citation.json"}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(148)</w:t>
            </w:r>
            <w:r w:rsidRPr="00A61595">
              <w:rPr>
                <w:rFonts w:ascii="Arial" w:eastAsia="Times New Roman" w:hAnsi="Arial" w:cs="Arial"/>
                <w:sz w:val="14"/>
                <w:szCs w:val="14"/>
              </w:rPr>
              <w:fldChar w:fldCharType="end"/>
            </w:r>
          </w:p>
        </w:tc>
        <w:tc>
          <w:tcPr>
            <w:tcW w:w="192" w:type="pct"/>
            <w:shd w:val="clear" w:color="auto" w:fill="auto"/>
            <w:noWrap/>
            <w:hideMark/>
          </w:tcPr>
          <w:p w14:paraId="0484144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535AF6E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role of the financial sector in Pakistan and its effect on productive sector lending to industry and agriculture</w:t>
            </w:r>
          </w:p>
        </w:tc>
        <w:tc>
          <w:tcPr>
            <w:tcW w:w="318" w:type="pct"/>
          </w:tcPr>
          <w:p w14:paraId="064AFC67" w14:textId="0FB65BF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5C1BFD5" w14:textId="61F33BEB"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74E8FBA2" w14:textId="4B4E85C1" w:rsidR="000B21B4" w:rsidRPr="00A61595" w:rsidRDefault="000B21B4" w:rsidP="00380533">
            <w:pPr>
              <w:rPr>
                <w:rFonts w:ascii="Arial" w:hAnsi="Arial" w:cs="Arial"/>
                <w:sz w:val="14"/>
                <w:szCs w:val="14"/>
              </w:rPr>
            </w:pPr>
            <w:r w:rsidRPr="00A61595">
              <w:rPr>
                <w:rFonts w:ascii="Arial" w:hAnsi="Arial" w:cs="Arial"/>
                <w:color w:val="000000"/>
                <w:sz w:val="14"/>
                <w:szCs w:val="14"/>
              </w:rPr>
              <w:t>f, h</w:t>
            </w:r>
          </w:p>
        </w:tc>
        <w:tc>
          <w:tcPr>
            <w:tcW w:w="229" w:type="pct"/>
          </w:tcPr>
          <w:p w14:paraId="290A6AF7" w14:textId="1E6E1FB9"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r>
      <w:tr w:rsidR="000B21B4" w:rsidRPr="00A61595" w14:paraId="55B8D8B8" w14:textId="01C3B12F" w:rsidTr="00380533">
        <w:trPr>
          <w:trHeight w:val="285"/>
        </w:trPr>
        <w:tc>
          <w:tcPr>
            <w:tcW w:w="715" w:type="pct"/>
            <w:gridSpan w:val="2"/>
            <w:shd w:val="clear" w:color="auto" w:fill="auto"/>
            <w:noWrap/>
            <w:hideMark/>
          </w:tcPr>
          <w:p w14:paraId="0CF82043" w14:textId="5AF1424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Neumann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{"citationID":"a27rjju29af","properties":{"formattedCitation":"(149)","plainCitation":"(149)","noteIndex":0},"citationItems":[{"id":17056,"uris":["http://zotero.org/groups/2477744/items/ZTW8ERLN"],"itemData":{"id":17056,"type":"article-journal","abstract":"Globally, areas that are equipped for irrigation have almost doubled in size over the past 50 years and further expansions are expected for the future, to meet a growing food demand. For developing countries, the Food and Agriculture Organization of the United Nations (FAO) expects these areas to be expanded by 40 million ha, by 2030. Knowledge about the constraints to irrigation and spatially explicit information about the potential for irrigation expansion, however, are lacking on a global scale. The objective of our study was to explain the global pattern of irrigated croplands and to identify cropping regions where irrigation is likely to be expanded. We accounted for biophysical determinants, such as humidity and slope, mainly at grid-cell level. Socio-economic and governance determinants, for example, Gross Domestic Product (GDP) and control of corruption, were primarily considered on a country level, given the limitations in availability of sub-national data and the role of national level governance in irrigation decisions. To identify the variability of the determinants within these two spatial levels, we conducted a multilevel analysis. This is a method employing regression models that explicitly account for hierarchically structured data. Results show significant variability in terms of irrigation. While 56% of the global variance in irrigation occurs between countries, 44% occurs within countries. Our results suggest that it is necessary to consider biophysical, socio-economic and governance information for identifying cropland areas that are likely to be under irrigation. Under current conditions, conversion from rainfed to irrigated cropland is most likely in eastern China, northern Africa, and parts of the Mediterranean region. (C) 2011 Elsevier Ltd. All rights reserved.","container-title":"AGRICULTURAL SYSTEMS","DOI":"10.1016/j.agsy.2011.08.004","issue":"9","journalAbbreviation":"AGRICULTURAL SYSTEMS","page":"703-713","title":"Exploring global irrigation patterns: A multilevel modelling approach","volume":"104","author":[{"family":"Neumann","given":"Kathleen"},{"family":"Stehfest","given":"Elke"},{"family":"Verburg","given":"Peter H"},{"family":"Siebert","given":"Stefan"},{"family":"Muller","given":"Christoph"},{"family":"Veldkamp","given":"Tom"}],"issued":{"date-parts":[["2011"]]}}}],"schema":"https://github.com/citation-style-language/schema/raw/master/csl-citation.json"}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(149)</w:t>
            </w:r>
            <w:r w:rsidRPr="00A61595">
              <w:rPr>
                <w:rFonts w:ascii="Arial" w:eastAsia="Times New Roman" w:hAnsi="Arial" w:cs="Arial"/>
                <w:sz w:val="14"/>
                <w:szCs w:val="14"/>
              </w:rPr>
              <w:fldChar w:fldCharType="end"/>
            </w:r>
          </w:p>
        </w:tc>
        <w:tc>
          <w:tcPr>
            <w:tcW w:w="192" w:type="pct"/>
            <w:shd w:val="clear" w:color="auto" w:fill="auto"/>
            <w:noWrap/>
            <w:hideMark/>
          </w:tcPr>
          <w:p w14:paraId="25FA69A8"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2011</w:t>
            </w:r>
          </w:p>
        </w:tc>
        <w:tc>
          <w:tcPr>
            <w:tcW w:w="2869" w:type="pct"/>
            <w:gridSpan w:val="4"/>
            <w:shd w:val="clear" w:color="auto" w:fill="auto"/>
            <w:noWrap/>
            <w:hideMark/>
          </w:tcPr>
          <w:p w14:paraId="220FDDB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Exploring global irrigation patterns and the relationship with corruption</w:t>
            </w:r>
          </w:p>
        </w:tc>
        <w:tc>
          <w:tcPr>
            <w:tcW w:w="318" w:type="pct"/>
          </w:tcPr>
          <w:p w14:paraId="4B711BA9" w14:textId="72EA5493"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D3EF617" w14:textId="22BB91AD"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0373BD15" w14:textId="10D06082"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roofErr w:type="gramStart"/>
            <w:r w:rsidRPr="00A61595">
              <w:rPr>
                <w:rFonts w:ascii="Arial" w:hAnsi="Arial" w:cs="Arial"/>
                <w:color w:val="000000"/>
                <w:sz w:val="14"/>
                <w:szCs w:val="14"/>
              </w:rPr>
              <w:t>, ,</w:t>
            </w:r>
            <w:proofErr w:type="spellStart"/>
            <w:r w:rsidRPr="00A61595">
              <w:rPr>
                <w:rFonts w:ascii="Arial" w:hAnsi="Arial" w:cs="Arial"/>
                <w:color w:val="000000"/>
                <w:sz w:val="14"/>
                <w:szCs w:val="14"/>
              </w:rPr>
              <w:t>i</w:t>
            </w:r>
            <w:proofErr w:type="spellEnd"/>
            <w:proofErr w:type="gramEnd"/>
          </w:p>
        </w:tc>
        <w:tc>
          <w:tcPr>
            <w:tcW w:w="229" w:type="pct"/>
          </w:tcPr>
          <w:p w14:paraId="0A297140" w14:textId="251319B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5A6F0ED" w14:textId="68CE6E0D" w:rsidTr="00380533">
        <w:trPr>
          <w:trHeight w:val="285"/>
        </w:trPr>
        <w:tc>
          <w:tcPr>
            <w:tcW w:w="715" w:type="pct"/>
            <w:gridSpan w:val="2"/>
            <w:shd w:val="clear" w:color="auto" w:fill="auto"/>
            <w:noWrap/>
            <w:hideMark/>
          </w:tcPr>
          <w:p w14:paraId="2F5EE9A1" w14:textId="47C7C8D3"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Ng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{"citationID":"ap5vg6bfan","properties":{"formattedCitation":"(150)","plainCitation":"(150)","noteIndex":0},"citationItems":[{"id":17246,"uris":["http://zotero.org/groups/2477744/items/LTBCVTWF"],"itemData":{"id":17246,"type":"article-journal","abstract":"Mandatory nutrition labelling, introduced in Malaysia in 2003, received a “medium im-plementation” rating from public health experts when previously benchmarked against international best practices by our group. The rating prompted this qualitative case study to explore barriers and facilitators during the policy process. Methods incorporated semi-structured interviews supplemented with cited documents and historical mapping of local and international directions up to 2017. Case participants held senior positions in the Federal government (n = 6), food industry (n = 3) and civil society representations (n = 3). Historical mapping revealed that international directions stimulated policy processes in Malaysia but policy inertia caused implementation gaps. Barriers hindering policy processes included lack of resources, governance complexity, lack of mon-itoring, technical challenges, policy characteristics linked to costing, lack of sustained efforts in policy advocacy, implementer characteristics and/or industry resistance, including corporate political activities (e.g., lobbying, policy substitution). Facilitators to the policy processes were resource max-imization, leadership, stakeholder partnerships or support, policy windows and industry engage-ment or support. Progressing policy implementation required stronger leadership, resources, inter-ministerial coordination, advocacy partnerships and an accountability monitoring system. This study provides insights for national and global policy entrepreneurs when formulating strategies towards fostering healthy food environments. © 2021 by the authors. Licensee MDPI, Basel, Switzerland.","container-title":"Nutrients","DOI":"10.3390/nu13020457","issue":"2","journalAbbreviation":"Nutrients","page":"1-18","title":"Tracking progress from policy development to implementation: A case study on adoption of mandatory regulation for nutrition labelling in malaysia","URL":"https://www.scopus.com/inward/record.uri?eid=2-s2.0-85099972534&amp;doi=10.3390%2fnu13020457&amp;partnerID=40&amp;md5=881d89599e3e8f093025e00382ca655f","volume":"13","author":[{"family":"Ng","given":"S."},{"family":"Kelly","given":"B."},{"family":"Yeatman","given":"H."},{"family":"Swinburn","given":"B."},{"family":"Karupaiah","given":"T."}],"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(150)</w:t>
            </w:r>
            <w:r w:rsidRPr="00A61595">
              <w:rPr>
                <w:rFonts w:ascii="Arial" w:eastAsia="Times New Roman" w:hAnsi="Arial" w:cs="Arial"/>
                <w:sz w:val="14"/>
                <w:szCs w:val="14"/>
              </w:rPr>
              <w:fldChar w:fldCharType="end"/>
            </w:r>
          </w:p>
        </w:tc>
        <w:tc>
          <w:tcPr>
            <w:tcW w:w="192" w:type="pct"/>
            <w:shd w:val="clear" w:color="auto" w:fill="auto"/>
            <w:noWrap/>
            <w:hideMark/>
          </w:tcPr>
          <w:p w14:paraId="673596B5"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6F9A186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Barriers and facilitators during the policy process of mandatory nutrition labelling</w:t>
            </w:r>
          </w:p>
        </w:tc>
        <w:tc>
          <w:tcPr>
            <w:tcW w:w="318" w:type="pct"/>
          </w:tcPr>
          <w:p w14:paraId="5260CA21" w14:textId="07100E9C"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663732EC" w14:textId="0E0D19D1"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6EA966E4" w14:textId="27A421A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73DD2CE4" w14:textId="5EAC868B"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r>
      <w:tr w:rsidR="000B21B4" w:rsidRPr="00A61595" w14:paraId="3A4C74DF" w14:textId="1BB27224" w:rsidTr="00380533">
        <w:trPr>
          <w:trHeight w:val="285"/>
        </w:trPr>
        <w:tc>
          <w:tcPr>
            <w:tcW w:w="715" w:type="pct"/>
            <w:gridSpan w:val="2"/>
            <w:shd w:val="clear" w:color="auto" w:fill="auto"/>
            <w:noWrap/>
            <w:hideMark/>
          </w:tcPr>
          <w:p w14:paraId="70756EEA" w14:textId="5F491C60"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Ogunniyi</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{"citationID":"a8fdere69l","properties":{"formattedCitation":"(151)","plainCitation":"(151)","noteIndex":0},"citationItems":[{"id":18611,"uris":["http://zotero.org/groups/2477744/items/9SSKLSNI"],"itemData":{"id":18611,"type":"article-journal","abstract":"Despite impressive progress in the fight against malnutrition and hunger in recent years, food and nutrition insecurity remains a major concern in Sub-Saharan Africa (SSA) countries. In this study, we employ a panel data covering 15 SSA countries from 1996 to 2015 to investigate the growth effects of remittances and quality of governance on food and nutrition security, proxied by the average value of food production and the average dietary energy supply adequacy, respectively. We use a dynamic empirical model based on system GMM to control for unobserved heterogeneity and potential endogeneity of the explanatory variables. The empirical results emanating from our analysis show that the interaction of remittances and the composite index of governance quality exerts positive and significant effects on the average value of food production, and also contributes to the improvement of average dietary energy supply adequacy in SSA. In addition, the control of corruption, government effectiveness, political stability and rule of law scores increase both measures of food and nutrition security. Albeit, the contribution of control over corruption score is relatively the largest as compared to other indicators of governance. (C) 2019 Published by Elsevier Ltd.","container-title":"WORLD DEVELOPMENT","DOI":"10.1016/j.worlddev.2019.104752","journalAbbreviation":"WORLD DEVELOPMENT","title":"Governance quality, remittances and their implications for food and nutrition security in Sub-Saharan Africa","volume":"127","author":[{"family":"Ogunniyi","given":"Adebayo Isaiah"},{"family":"Mavrotas","given":"George"},{"family":"Olagunju","given":"Kehinde Oluseyi"},{"family":"Fadare","given":"Olusegun"},{"family":"Adedoyin","given":"Rufai"}],"issued":{"date-parts":[["2020"]]}}}],"schema":"https://github.com/citation-style-language/schema/raw/master/csl-citation.json"}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(151)</w:t>
            </w:r>
            <w:r w:rsidRPr="00A61595">
              <w:rPr>
                <w:rFonts w:ascii="Arial" w:eastAsia="Times New Roman" w:hAnsi="Arial" w:cs="Arial"/>
                <w:sz w:val="14"/>
                <w:szCs w:val="14"/>
              </w:rPr>
              <w:fldChar w:fldCharType="end"/>
            </w:r>
          </w:p>
        </w:tc>
        <w:tc>
          <w:tcPr>
            <w:tcW w:w="192" w:type="pct"/>
            <w:shd w:val="clear" w:color="auto" w:fill="auto"/>
            <w:noWrap/>
            <w:hideMark/>
          </w:tcPr>
          <w:p w14:paraId="642CF76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46C2CD5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growth effects of remittances and quality of governance on food and nutrition security</w:t>
            </w:r>
          </w:p>
        </w:tc>
        <w:tc>
          <w:tcPr>
            <w:tcW w:w="318" w:type="pct"/>
          </w:tcPr>
          <w:p w14:paraId="27D19B48" w14:textId="61FCA665"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2F3EE895" w14:textId="3488599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B6D644A" w14:textId="6DE1DB15"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4EAD1B49" w14:textId="0C9E9DAF"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63A6760B" w14:textId="3C13E92A" w:rsidTr="00380533">
        <w:trPr>
          <w:trHeight w:val="285"/>
        </w:trPr>
        <w:tc>
          <w:tcPr>
            <w:tcW w:w="715" w:type="pct"/>
            <w:gridSpan w:val="2"/>
            <w:shd w:val="clear" w:color="auto" w:fill="auto"/>
            <w:noWrap/>
            <w:hideMark/>
          </w:tcPr>
          <w:p w14:paraId="222C68EE" w14:textId="4A17093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Oliva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{"citationID":"a1c789g43bs","properties":{"formattedCitation":"(152)","plainCitation":"(152)","noteIndex":0},"citationItems":[{"id":17245,"uris":["http://zotero.org/groups/2477744/items/2D3EXV9Z"],"itemData":{"id":17245,"type":"article-journal","abstract":"Purpose: According to the INTERPOL definition, money laundering is: “any act or attempted act to conceal or disguise the identity of illegally obtained proceeds so that they appear to have originated from legitimate sources”. Along this line, the purpose of this paper is to investigate the link amongst money laundering, mafia and food activities, in the Italian provinces. Design/methodology/approach: By using annual data over the period 2010 to 2018, the author estimates balanced panel data using the instrumental variables approach. The analysis includes both fixed and random effects, as well as robustness checks. Findings: The main findings of this paper reveal that, in most Italian provinces, money launderers are deterred by the probability of being identified. In particular, the deterrent action of police and investigative forces seems to be very effective. Moreover, the results of the empirical analysis show that mafia-type organisations and food activities are positively correlated with money laundering. Originality/value: This paper aims to provide a specific study on the link between apparently legal activities (food and beverage) and money laundering; a link that has so far been analysed mainly on a theoretical level. Moreover, it provides several insights in terms of policy implications. © 2021, Emerald Publishing Limited.","container-title":"Journal of Money Laundering Control","DOI":"10.1108/JMLC-08-2021-0085","journalAbbreviation":"Journal of Money Laundering Control","title":"Money laundering, food activities and mafia: evidences from the Italian provinces","URL":"https://www.scopus.com/inward/record.uri?eid=2-s2.0-85115057111&amp;doi=10.1108%2fJMLC-08-2021-0085&amp;partnerID=40&amp;md5=14348edd52d9b3333798b663d67b0398","author":[{"family":"Oliva","given":"M."}],"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(152)</w:t>
            </w:r>
            <w:r w:rsidRPr="00A61595">
              <w:rPr>
                <w:rFonts w:ascii="Arial" w:eastAsia="Times New Roman" w:hAnsi="Arial" w:cs="Arial"/>
                <w:sz w:val="14"/>
                <w:szCs w:val="14"/>
              </w:rPr>
              <w:fldChar w:fldCharType="end"/>
            </w:r>
          </w:p>
        </w:tc>
        <w:tc>
          <w:tcPr>
            <w:tcW w:w="192" w:type="pct"/>
            <w:shd w:val="clear" w:color="auto" w:fill="auto"/>
            <w:noWrap/>
            <w:hideMark/>
          </w:tcPr>
          <w:p w14:paraId="1CC224B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59EFE80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The link among money laundering, </w:t>
            </w:r>
            <w:bookmarkStart w:id="6" w:name="_Int_dZ3afEPp"/>
            <w:r w:rsidRPr="00A61595">
              <w:rPr>
                <w:rFonts w:ascii="Arial" w:eastAsia="Times New Roman" w:hAnsi="Arial" w:cs="Arial"/>
                <w:color w:val="000000" w:themeColor="text1"/>
                <w:sz w:val="14"/>
                <w:szCs w:val="14"/>
              </w:rPr>
              <w:t>mafia,</w:t>
            </w:r>
            <w:bookmarkEnd w:id="6"/>
            <w:r w:rsidRPr="00A61595">
              <w:rPr>
                <w:rFonts w:ascii="Arial" w:eastAsia="Times New Roman" w:hAnsi="Arial" w:cs="Arial"/>
                <w:color w:val="000000" w:themeColor="text1"/>
                <w:sz w:val="14"/>
                <w:szCs w:val="14"/>
              </w:rPr>
              <w:t xml:space="preserve"> and food activities</w:t>
            </w:r>
          </w:p>
        </w:tc>
        <w:tc>
          <w:tcPr>
            <w:tcW w:w="318" w:type="pct"/>
          </w:tcPr>
          <w:p w14:paraId="62E4B8A3" w14:textId="09A95723"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7B8C30E2" w14:textId="408084F3"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4C3C4EFA" w14:textId="1D7930B3"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h, </w:t>
            </w:r>
            <w:proofErr w:type="spellStart"/>
            <w:r w:rsidRPr="00A61595">
              <w:rPr>
                <w:rFonts w:ascii="Arial" w:hAnsi="Arial" w:cs="Arial"/>
                <w:color w:val="000000"/>
                <w:sz w:val="14"/>
                <w:szCs w:val="14"/>
              </w:rPr>
              <w:t>i</w:t>
            </w:r>
            <w:proofErr w:type="spellEnd"/>
          </w:p>
        </w:tc>
        <w:tc>
          <w:tcPr>
            <w:tcW w:w="229" w:type="pct"/>
          </w:tcPr>
          <w:p w14:paraId="40AEB6D8" w14:textId="4D4E1560"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EC8C39A" w14:textId="4796CF41" w:rsidTr="00380533">
        <w:trPr>
          <w:trHeight w:val="285"/>
        </w:trPr>
        <w:tc>
          <w:tcPr>
            <w:tcW w:w="715" w:type="pct"/>
            <w:gridSpan w:val="2"/>
            <w:shd w:val="clear" w:color="auto" w:fill="auto"/>
            <w:noWrap/>
            <w:hideMark/>
          </w:tcPr>
          <w:p w14:paraId="040B61BC" w14:textId="169DDEF8"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öNDER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{"citationID":"a1sr4t1prpl","properties":{"formattedCitation":"(153)","plainCitation":"(153)","noteIndex":0},"citationItems":[{"id":17244,"uris":["http://zotero.org/groups/2477744/items/SVD3KFNT"],"itemData":{"id":17244,"type":"article-journal","abstract":"Despite the positive developments in recent years, food security is a common problem of all humanity. In order to eliminate this problem, different initiatives are conducted within the fields of political and international relations. Moreover, to be able to analyze the dynamics of this problem and determine the policies to be implemented, prospective research and academic studies are carried. This study aims to elucidate the corrupt policies negatively influencing food security in a macroeconomic framework by examining the variables including unemployment, dependent population, and per capita income. To be able to realize that, panel data of 75 countries obtained between the years 2012-2016 have been analysed using Driscoll and Kraay Method. According to the obtained results, corruption, although minor, has an impact on food security. Thus, in order to realize food security the following actions need to be taken: minimizing bureaucracy; increasing interaction with the public power for the sake of activities that would support good governance of the society and non-governmental organizations; minimizing the human factor by using technological innovations more effectively in public services and; putting the deterrent laws that would eliminate favouritism into effect. © 2021 by the authors. Licensee the future of food journal (FOFJ), Witzenhausen, Germany. This article is an open access article distributed under the terms and conditions of the Creative Commons Attribution (CC BY) license (http://creativecommons.org/licenses/by/4.0/).","container-title":"Future of Food: Journal on Food, Agriculture and Society","DOI":"10.17170/kobra-202011192215","issue":"1","journalAbbreviation":"Future of Food: Journal on Food, Agriculture and Society","page":"1-11","title":"The impact of corruption on food security from a macro perspective","URL":"https://www.scopus.com/inward/record.uri?eid=2-s2.0-85104740851&amp;doi=10.17170%2fkobra-202011192215&amp;partnerID=40&amp;md5=22baee488b454b44486143b854a19283","volume":"9","author":[{"family":"öNDER","given":"H."}],"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(153)</w:t>
            </w:r>
            <w:r w:rsidRPr="00A61595">
              <w:rPr>
                <w:rFonts w:ascii="Arial" w:eastAsia="Times New Roman" w:hAnsi="Arial" w:cs="Arial"/>
                <w:sz w:val="14"/>
                <w:szCs w:val="14"/>
              </w:rPr>
              <w:fldChar w:fldCharType="end"/>
            </w:r>
          </w:p>
        </w:tc>
        <w:tc>
          <w:tcPr>
            <w:tcW w:w="192" w:type="pct"/>
            <w:shd w:val="clear" w:color="auto" w:fill="auto"/>
            <w:noWrap/>
            <w:hideMark/>
          </w:tcPr>
          <w:p w14:paraId="43B125B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56978B5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corrupt policies negatively influencing food security in a macroeconomic framework</w:t>
            </w:r>
          </w:p>
        </w:tc>
        <w:tc>
          <w:tcPr>
            <w:tcW w:w="318" w:type="pct"/>
          </w:tcPr>
          <w:p w14:paraId="7F99C01C" w14:textId="03232AA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86BE7A9" w14:textId="7727410C"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6EA3110A" w14:textId="37F7578A"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00D193E3" w14:textId="26E62320"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3EB9BEE4" w14:textId="65DE3BDE" w:rsidTr="00380533">
        <w:trPr>
          <w:trHeight w:val="285"/>
        </w:trPr>
        <w:tc>
          <w:tcPr>
            <w:tcW w:w="715" w:type="pct"/>
            <w:gridSpan w:val="2"/>
            <w:shd w:val="clear" w:color="auto" w:fill="auto"/>
            <w:noWrap/>
            <w:hideMark/>
          </w:tcPr>
          <w:p w14:paraId="47049342" w14:textId="328ABCA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Osabohien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{"citationID":"a2ofj7q24dd","properties":{"formattedCitation":"(154)","plainCitation":"(154)","noteIndex":0},"citationItems":[{"id":18799,"uris":["http://zotero.org/groups/2477744/items/EU2XCT2U"],"itemData":{"id":18799,"type":"article-journal","abstract":"This study examines how the performance of the agricultural sector can be enhanced in the long-run through institutional framework thereby ensuring food security in Nigeria. It employs the ARDL (Autoregressive Distributed Lag) with data from the Central Bank of Nigeria (CBN) statistical bulletin, Food and Agriculture Organisa-tion (FAO), World Development Indicators (WDI), and World Governance Indicators (WDI). Food security is used as the dependent variable proxied by the number of the people undernourished under the stability dimension; agricultural sector performance and institutional framework as the independent variables, while population is a control variable. Two agricultural variables (agriculture production and agriculture credit) are employed with six variables of institutional framework. The findings show that in the log-run, agriculture production and agriculture credit (agriculture variables) will increase food security by reducing the number of people undernourished by 2% and 18%, respectively. In terms of institutional framework; political stability and absence of violence and rule of law increase food security by reducing undernourishment by approximately 69% and 29%, respectively; control of corruption and voice and accountability tends to reduce food security by increasing the number of the people undernourished by 74%, 51% and 63% respectively. Therefore, the study concludes by recommend-ing, among others, that the Nigerian institutional framework should be improved (espe-cially the control of corruption) in addressing the challenges in the implementation of food security programmes and ensuring timely distribution of food resources. © Firenze University Press.","container-title":"Bio-based and Applied Economics","DOI":"10.13128/bae-8929","issue":"2","journalAbbreviation":"Bio-based and Applied Economics","page":"161-178","title":"Agricultural sector performance, institutional framework and food security in Nigeria","URL":"https://www.scopus.com/inward/record.uri?eid=2-s2.0-85085337459&amp;doi=10.13128%2fbae-8929&amp;partnerID=40&amp;md5=a0f4eea31c345744d13cd46013099941","volume":"8","author":[{"family":"Osabohien","given":"R."},{"family":"Osabuohien","given":"E."},{"family":"Ohalete","given":"P."}],"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(154)</w:t>
            </w:r>
            <w:r w:rsidRPr="00A61595">
              <w:rPr>
                <w:rFonts w:ascii="Arial" w:eastAsia="Times New Roman" w:hAnsi="Arial" w:cs="Arial"/>
                <w:sz w:val="14"/>
                <w:szCs w:val="14"/>
              </w:rPr>
              <w:fldChar w:fldCharType="end"/>
            </w:r>
          </w:p>
        </w:tc>
        <w:tc>
          <w:tcPr>
            <w:tcW w:w="192" w:type="pct"/>
            <w:shd w:val="clear" w:color="auto" w:fill="auto"/>
            <w:noWrap/>
            <w:hideMark/>
          </w:tcPr>
          <w:p w14:paraId="15921A2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0CA2058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Using an institutional framework to understand how to improve agricultural sector performance</w:t>
            </w:r>
          </w:p>
        </w:tc>
        <w:tc>
          <w:tcPr>
            <w:tcW w:w="318" w:type="pct"/>
          </w:tcPr>
          <w:p w14:paraId="19ABAB29" w14:textId="023D42E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69D212DE" w14:textId="033B3CC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3B2AB9B9" w14:textId="1296867E"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7123B756" w14:textId="33B25A19"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6625CCB9" w14:textId="5C374A7D" w:rsidTr="00380533">
        <w:trPr>
          <w:trHeight w:val="285"/>
        </w:trPr>
        <w:tc>
          <w:tcPr>
            <w:tcW w:w="715" w:type="pct"/>
            <w:gridSpan w:val="2"/>
            <w:shd w:val="clear" w:color="auto" w:fill="auto"/>
            <w:noWrap/>
            <w:hideMark/>
          </w:tcPr>
          <w:p w14:paraId="76DCFDED" w14:textId="0C918DD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Pailler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{"citationID":"aqot8mlhdh","properties":{"formattedCitation":"(155)","plainCitation":"(155)","noteIndex":0},"citationItems":[{"id":17243,"uris":["http://zotero.org/groups/2477744/items/4GAVLCG9"],"itemData":{"id":17243,"type":"article-journal","abstract":"Despite expansive research on Amazonian deforestation and its drivers, the role of local politics is not well understood. Using a panel data set that combines municipal-level deforestation and election data from 2002 to 2012, I estimate the effect of an incumbent mayor running for re-election on deforestation rates in election periods. I find that deforestation rates increase 8–10% in election years when an incumbent mayor runs for re-election, an amount equivalent to four percent of the total forest lost since the 2004 elections. Electoral deforestation cycles do not appear to be driven by changes in agricultural policy implementation and activity, but are linked to corruption and campaign finance, suggesting that weak institutional constraints facilitate electoral manipulation of forest resources. This phenomenon is not likely limited to Amazonian forests; re-election incentives could very well lead to misallocation of other natural resources in alternate geographies. © 2018 Elsevier Inc.","container-title":"Journal of Environmental Economics and Management","DOI":"10.1016/j.jeem.2018.01.008","journalAbbreviation":"Journal of Environmental Economics and Management","page":"345-365","title":"Re-election incentives and deforestation cycles in the Brazilian Amazon","URL":"https://www.scopus.com/inward/record.uri?eid=2-s2.0-85041410667&amp;doi=10.1016%2fj.jeem.2018.01.008&amp;partnerID=40&amp;md5=f7747151bdaf1a44bb9dae87c2186fd9","volume":"88","author":[{"family":"Pailler","given":"S."}],"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(155)</w:t>
            </w:r>
            <w:r w:rsidRPr="00A61595">
              <w:rPr>
                <w:rFonts w:ascii="Arial" w:eastAsia="Times New Roman" w:hAnsi="Arial" w:cs="Arial"/>
                <w:sz w:val="14"/>
                <w:szCs w:val="14"/>
              </w:rPr>
              <w:fldChar w:fldCharType="end"/>
            </w:r>
          </w:p>
        </w:tc>
        <w:tc>
          <w:tcPr>
            <w:tcW w:w="192" w:type="pct"/>
            <w:shd w:val="clear" w:color="auto" w:fill="auto"/>
            <w:noWrap/>
            <w:hideMark/>
          </w:tcPr>
          <w:p w14:paraId="170669C8"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7717C677"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Re-election incentives and deforestation cycles in the Brazilian Amazon</w:t>
            </w:r>
          </w:p>
        </w:tc>
        <w:tc>
          <w:tcPr>
            <w:tcW w:w="318" w:type="pct"/>
          </w:tcPr>
          <w:p w14:paraId="50318A21" w14:textId="0E056AF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178D0356" w14:textId="00E437AF"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7C5AA93" w14:textId="4E38D46B"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152D82F3" w14:textId="7539EE4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r>
      <w:tr w:rsidR="000B21B4" w:rsidRPr="00A61595" w14:paraId="4672A689" w14:textId="4A770431" w:rsidTr="00380533">
        <w:trPr>
          <w:trHeight w:val="285"/>
        </w:trPr>
        <w:tc>
          <w:tcPr>
            <w:tcW w:w="715" w:type="pct"/>
            <w:gridSpan w:val="2"/>
            <w:shd w:val="clear" w:color="auto" w:fill="auto"/>
            <w:noWrap/>
            <w:hideMark/>
          </w:tcPr>
          <w:p w14:paraId="532BBB09" w14:textId="3042E6B0"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Panigrati</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{"citationID":"a1osh0q3n6e","properties":{"formattedCitation":"(156)","plainCitation":"(156)","noteIndex":0},"citationItems":[{"id":17088,"uris":["http://zotero.org/groups/2477744/items/94XHX4KG"],"itemData":{"id":17088,"type":"article-journal","abstract":"Public distribution system (PDS) is a vehicle for ensuring food security for all. It was introduced in India as a positive intervention by the state to make essential commodities available to the poor and marginalized sections of the society at a cheaper rate on a regular basis. Over the decades, various policies and schemes have been revised and regulated to improve the quality of goods and services provided. This paper evaluates the current system of PDS in the Sundargarh district of Odisha on the basis several key factors such as access, efficiency, utilization, and impact. This study also explores the process of procurement, storage, and distribution of commodities in Odisha. The study shows that PDS in Odisha is functioning reasonably well and has significantly improved over the years, but the amount of grain and quality of the commodities provided are far from satisfactory. There are still large exclusion and illegal inclusion errors in the system and bribing for ration card is a common practice. Suggestions and necessary policy recommendations have been made to make the current system more efficient.","container-title":"GLOBAL SOCIAL WELFARE","DOI":"10.1007/s40609-015-0040-2","issue":"2","journalAbbreviation":"GLOBAL SOCIAL WELFARE","page":"117-123","title":"Securing Food Through the Public Distribution System: Evidence from Odisha","volume":"5","author":[{"family":"Panigrati","given":"Suprit"},{"family":"Pathak","given":"Nivedita"}],"issued":{"date-parts":[["2018"]]}}}],"schema":"https://github.com/citation-style-language/schema/raw/master/csl-citation.json"}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(156)</w:t>
            </w:r>
            <w:r w:rsidRPr="00A61595">
              <w:rPr>
                <w:rFonts w:ascii="Arial" w:eastAsia="Times New Roman" w:hAnsi="Arial" w:cs="Arial"/>
                <w:sz w:val="14"/>
                <w:szCs w:val="14"/>
              </w:rPr>
              <w:fldChar w:fldCharType="end"/>
            </w:r>
          </w:p>
        </w:tc>
        <w:tc>
          <w:tcPr>
            <w:tcW w:w="192" w:type="pct"/>
            <w:shd w:val="clear" w:color="auto" w:fill="auto"/>
            <w:noWrap/>
            <w:hideMark/>
          </w:tcPr>
          <w:p w14:paraId="4FB31C5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7D5F274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Evaluation of securing food through the public distribution system in India</w:t>
            </w:r>
          </w:p>
        </w:tc>
        <w:tc>
          <w:tcPr>
            <w:tcW w:w="318" w:type="pct"/>
          </w:tcPr>
          <w:p w14:paraId="52E8A2F1" w14:textId="62CA3C4E"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306" w:type="pct"/>
          </w:tcPr>
          <w:p w14:paraId="41BFDAE8" w14:textId="0378554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83DCA93" w14:textId="3A6C4F92"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g, </w:t>
            </w:r>
            <w:proofErr w:type="spellStart"/>
            <w:r w:rsidRPr="00A61595">
              <w:rPr>
                <w:rFonts w:ascii="Arial" w:hAnsi="Arial" w:cs="Arial"/>
                <w:color w:val="000000"/>
                <w:sz w:val="14"/>
                <w:szCs w:val="14"/>
              </w:rPr>
              <w:t>i</w:t>
            </w:r>
            <w:proofErr w:type="spellEnd"/>
          </w:p>
        </w:tc>
        <w:tc>
          <w:tcPr>
            <w:tcW w:w="229" w:type="pct"/>
          </w:tcPr>
          <w:p w14:paraId="75915080" w14:textId="68357884" w:rsidR="000B21B4" w:rsidRPr="00A61595" w:rsidRDefault="000B21B4" w:rsidP="00380533">
            <w:pPr>
              <w:rPr>
                <w:rFonts w:ascii="Arial" w:hAnsi="Arial" w:cs="Arial"/>
                <w:sz w:val="14"/>
                <w:szCs w:val="14"/>
              </w:rPr>
            </w:pPr>
            <w:r w:rsidRPr="00A61595">
              <w:rPr>
                <w:rFonts w:ascii="Arial" w:hAnsi="Arial" w:cs="Arial"/>
                <w:color w:val="000000"/>
                <w:sz w:val="14"/>
                <w:szCs w:val="14"/>
              </w:rPr>
              <w:t>a, g</w:t>
            </w:r>
          </w:p>
        </w:tc>
      </w:tr>
      <w:tr w:rsidR="000B21B4" w:rsidRPr="00A61595" w14:paraId="24E690F9" w14:textId="665D500B" w:rsidTr="00380533">
        <w:trPr>
          <w:trHeight w:val="285"/>
        </w:trPr>
        <w:tc>
          <w:tcPr>
            <w:tcW w:w="715" w:type="pct"/>
            <w:gridSpan w:val="2"/>
            <w:shd w:val="clear" w:color="auto" w:fill="auto"/>
            <w:noWrap/>
            <w:hideMark/>
          </w:tcPr>
          <w:p w14:paraId="376BA438" w14:textId="7EFED258"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Parkinson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{"citationID":"a2e763dg6f6","properties":{"formattedCitation":"(157)","plainCitation":"(157)","noteIndex":0},"citationItems":[{"id":17242,"uris":["http://zotero.org/groups/2477744/items/LK6THF9M"],"itemData":{"id":17242,"type":"article-journal","abstract":"This article considers the way that farmers within a national agricultural advisory programme in Uganda were able to exert influence over that programme's policy and practice. Although the literature has tended to focus on engagement within formal programme structures as a major mode of participation, the analysis of the NAADS case reveals that farmers were able to exert an important influence over programme policy through their roles as political constituents. The brokerage role of supportive programme staff also worked to allow farmers' views to influence the programme, as did the collective weight of decisions commonly made by farmers, and to a lesser extent, the lobbying efforts of national NGOs. Copyright © 2009 John Wiley &amp; Sons, Ltd.","container-title":"Public Administration and Development","DOI":"10.1002/pad.525","issue":"2","journalAbbreviation":"Public Administration and Development","page":"145-154","title":"Modes of influence: Participation in publicly administered development programmes","URL":"https://www.scopus.com/inward/record.uri?eid=2-s2.0-69949111676&amp;doi=10.1002%2fpad.525&amp;partnerID=40&amp;md5=ceed05e9694f1cfb9b782411498848f6","volume":"29","author":[{"family":"Parkinson","given":"S."}],"issued":{"date-parts":[["2009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(157)</w:t>
            </w:r>
            <w:r w:rsidRPr="00A61595">
              <w:rPr>
                <w:rFonts w:ascii="Arial" w:eastAsia="Times New Roman" w:hAnsi="Arial" w:cs="Arial"/>
                <w:sz w:val="14"/>
                <w:szCs w:val="14"/>
              </w:rPr>
              <w:fldChar w:fldCharType="end"/>
            </w:r>
          </w:p>
        </w:tc>
        <w:tc>
          <w:tcPr>
            <w:tcW w:w="192" w:type="pct"/>
            <w:shd w:val="clear" w:color="auto" w:fill="auto"/>
            <w:noWrap/>
            <w:hideMark/>
          </w:tcPr>
          <w:p w14:paraId="3787D90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2009</w:t>
            </w:r>
          </w:p>
        </w:tc>
        <w:tc>
          <w:tcPr>
            <w:tcW w:w="2869" w:type="pct"/>
            <w:gridSpan w:val="4"/>
            <w:shd w:val="clear" w:color="auto" w:fill="auto"/>
            <w:noWrap/>
            <w:hideMark/>
          </w:tcPr>
          <w:p w14:paraId="24BDEAD4" w14:textId="06D9ACA0"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Farmers</w:t>
            </w:r>
            <w:r w:rsidR="00362BF4">
              <w:rPr>
                <w:rFonts w:ascii="Arial" w:eastAsia="Times New Roman" w:hAnsi="Arial" w:cs="Arial"/>
                <w:color w:val="000000" w:themeColor="text1"/>
                <w:sz w:val="14"/>
                <w:szCs w:val="14"/>
              </w:rPr>
              <w:t>’</w:t>
            </w:r>
            <w:r w:rsidRPr="00A61595">
              <w:rPr>
                <w:rFonts w:ascii="Arial" w:eastAsia="Times New Roman" w:hAnsi="Arial" w:cs="Arial"/>
                <w:color w:val="000000" w:themeColor="text1"/>
                <w:sz w:val="14"/>
                <w:szCs w:val="14"/>
              </w:rPr>
              <w:t xml:space="preserve"> modes of influence within a national agricultural advisory program</w:t>
            </w:r>
          </w:p>
        </w:tc>
        <w:tc>
          <w:tcPr>
            <w:tcW w:w="318" w:type="pct"/>
          </w:tcPr>
          <w:p w14:paraId="24D4AC03" w14:textId="69B92926"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0DD7A5CA" w14:textId="7F6C8AF1"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250000CA" w14:textId="021B2E39" w:rsidR="000B21B4" w:rsidRPr="00A61595" w:rsidRDefault="000B21B4" w:rsidP="00380533">
            <w:pPr>
              <w:rPr>
                <w:rFonts w:ascii="Arial" w:hAnsi="Arial" w:cs="Arial"/>
                <w:sz w:val="14"/>
                <w:szCs w:val="14"/>
              </w:rPr>
            </w:pPr>
            <w:r w:rsidRPr="00A61595">
              <w:rPr>
                <w:rFonts w:ascii="Arial" w:hAnsi="Arial" w:cs="Arial"/>
                <w:color w:val="000000"/>
                <w:sz w:val="14"/>
                <w:szCs w:val="14"/>
              </w:rPr>
              <w:t>a, f, g, h</w:t>
            </w:r>
          </w:p>
        </w:tc>
        <w:tc>
          <w:tcPr>
            <w:tcW w:w="229" w:type="pct"/>
          </w:tcPr>
          <w:p w14:paraId="0C2B0706" w14:textId="67C8FF1F"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r>
      <w:tr w:rsidR="000B21B4" w:rsidRPr="00A61595" w14:paraId="602A4B95" w14:textId="24F02DDE" w:rsidTr="00380533">
        <w:trPr>
          <w:trHeight w:val="285"/>
        </w:trPr>
        <w:tc>
          <w:tcPr>
            <w:tcW w:w="715" w:type="pct"/>
            <w:gridSpan w:val="2"/>
            <w:shd w:val="clear" w:color="auto" w:fill="auto"/>
            <w:noWrap/>
            <w:hideMark/>
          </w:tcPr>
          <w:p w14:paraId="3C545EA6" w14:textId="47253017"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Pavez</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{"citationID":"a1im94iq2ri","properties":{"formattedCitation":"(158)","plainCitation":"(158)","noteIndex":0},"citationItems":[{"id":18796,"uris":["http://zotero.org/groups/2477744/items/XIKJAZYK"],"itemData":{"id":18796,"type":"article-journal","abstract":"Biosecurity regulations and standards govern international agricultural inter-firm transactions. Drawing mainly on new institutional economics, our study offers insights into the institutional factors, at both the macro and meso levels, that influence the choice of inter-firm contracts for Chilean apple exports. First and foremost, it examines the influence of the Sanitary and Phytosanitary (SPS) provisions included in trade agreements signed by Chile with its trade counterparts on the choice of alternative contracts displaying different degrees of completeness. It also focuses on the institutions in the importing countries, the legal institutions enforcing contracts, the efficiency of logistics and the effect of hidden informal rules such as corruption, on the choice between free consignment, minimum guaranteed and sale contracts. We also explore the private institutions, primarily linked to direct imports by supermarkets. The results of our econometric analysis show that less complete contracts, i.e. free consignment and minimum guaranteed arrangements, are chosen when exporting to countries with safe business environments and higher number of SPS provision in international trade agreements. On the contrary, when exporting to non-reliable countries, exporters tend to protect themselves through more complete contracts, i.e. sale contracts. We found evidence that direct exports to supermarkets are more prone to occur under sale contracts which suggest the dual function of contracts, both as a safeguard and as a coordination tool to adopt specific customers' requirements. © 2019 Elsevier Ltd","container-title":"Agricultural Systems","DOI":"10.1016/j.agsy.2019.102668","journalAbbreviation":"Agricultural Systems","title":"Biosecurity institutions and the choice of contracts in international fruit supply chains","URL":"https://www.scopus.com/inward/record.uri?eid=2-s2.0-85071883441&amp;doi=10.1016%2fj.agsy.2019.102668&amp;partnerID=40&amp;md5=62cf80696ccbaed1f38c1a290732efeb","volume":"176","author":[{"family":"Pavez","given":"I."},{"family":"Codron","given":"J.-M."},{"family":"Lubello","given":"P."},{"family":"Florêncio","given":"M.C."}],"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(158)</w:t>
            </w:r>
            <w:r w:rsidRPr="00A61595">
              <w:rPr>
                <w:rFonts w:ascii="Arial" w:eastAsia="Times New Roman" w:hAnsi="Arial" w:cs="Arial"/>
                <w:sz w:val="14"/>
                <w:szCs w:val="14"/>
              </w:rPr>
              <w:fldChar w:fldCharType="end"/>
            </w:r>
          </w:p>
        </w:tc>
        <w:tc>
          <w:tcPr>
            <w:tcW w:w="192" w:type="pct"/>
            <w:shd w:val="clear" w:color="auto" w:fill="auto"/>
            <w:noWrap/>
            <w:hideMark/>
          </w:tcPr>
          <w:p w14:paraId="0BBFD70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1F03644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Institutional factors that influence the choice of inter-firm contracts for Chilean apple exports</w:t>
            </w:r>
          </w:p>
        </w:tc>
        <w:tc>
          <w:tcPr>
            <w:tcW w:w="318" w:type="pct"/>
          </w:tcPr>
          <w:p w14:paraId="2D1C73D1" w14:textId="09FBEDAC"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3793EE6B" w14:textId="20D9915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412E6260" w14:textId="55A87BE2"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2B80DF1C" w14:textId="3BA5746E"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r>
      <w:tr w:rsidR="000B21B4" w:rsidRPr="00A61595" w14:paraId="026D7083" w14:textId="557065F1" w:rsidTr="00380533">
        <w:trPr>
          <w:trHeight w:val="285"/>
        </w:trPr>
        <w:tc>
          <w:tcPr>
            <w:tcW w:w="715" w:type="pct"/>
            <w:gridSpan w:val="2"/>
            <w:shd w:val="clear" w:color="auto" w:fill="auto"/>
            <w:noWrap/>
            <w:hideMark/>
          </w:tcPr>
          <w:p w14:paraId="51A28CE3" w14:textId="362A1D0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Perone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{"citationID":"al1cujnt5i","properties":{"formattedCitation":"(159)","plainCitation":"(159)","noteIndex":0},"citationItems":[{"id":18911,"uris":["http://zotero.org/groups/2477744/items/Z2AXSIUJ"],"itemData":{"id":18911,"type":"article-journal","abstract":"From the 1990s the Italian agribusiness sector is increasingly threatened by a new and dangerous phenomenon: organized crime in the agribusiness sector. The so-called ``Agromafia{''} imposes its control throughout the whole agricultural supply chain, from production to retail, passing through the processing industry, transports and large-scale distribution. In this paper we examine the relationship between eco-crimes and consumer food and non-alcoholic drinks price index for the 20 Italian regions and 80 Italian provinces in the 1998-2016 period. At regional level, as a proxy for the Agromafia's activities, we build an ad hoc eco-criminal index for every region using data annually elaborated from Legambiente. At province level, as a proxy for Agromafia's activities, we use eight specific variables: extortions, counterfeiting, contraband, forest fires, all types of fires, money laundering, suspicious money transfers, and an ad hoc eco-criminal index. The analysis shows that the Agromafia can consistently affect the whole agribusiness sector, causing an increase in food prices, especially in south of the country. The ten most affected provinces by phenomenon register a food consumer price index about 12% higher than the least ten affected provinces. By the contrast, in the center-north of Italy money laundering seems to reduce food consumer prices through the reinvestment of illicit proceeds in firms with strong cost advantages.","container-title":"ECONOMIA POLITICA","DOI":"10.1007/s40888-019-00165-5","issue":"37","journalAbbreviation":"ECONOMIA POLITICA","page":"877-909","title":"The impact of agribusiness crimes on food prices: evidence from Italy","URL":"https://link.springer.com/article/10.1007/s40888-019-00165-5","author":[{"family":"Perone","given":"Gaetano"}],"issued":{"date-parts":[["2020"]]}}}],"schema":"https://github.com/citation-style-language/schema/raw/master/csl-citation.json"}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(159)</w:t>
            </w:r>
            <w:r w:rsidRPr="00A61595">
              <w:rPr>
                <w:rFonts w:ascii="Arial" w:eastAsia="Times New Roman" w:hAnsi="Arial" w:cs="Arial"/>
                <w:sz w:val="14"/>
                <w:szCs w:val="14"/>
              </w:rPr>
              <w:fldChar w:fldCharType="end"/>
            </w:r>
          </w:p>
        </w:tc>
        <w:tc>
          <w:tcPr>
            <w:tcW w:w="192" w:type="pct"/>
            <w:shd w:val="clear" w:color="auto" w:fill="auto"/>
            <w:noWrap/>
            <w:hideMark/>
          </w:tcPr>
          <w:p w14:paraId="6403C0A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40E092D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relationship between Eco crimes and consumer food and non-alcoholic drinks price index</w:t>
            </w:r>
          </w:p>
        </w:tc>
        <w:tc>
          <w:tcPr>
            <w:tcW w:w="318" w:type="pct"/>
          </w:tcPr>
          <w:p w14:paraId="5403C16A" w14:textId="746A01BB"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2F1FEACE" w14:textId="21D15414"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67FBEDE" w14:textId="76934187"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h, </w:t>
            </w:r>
            <w:proofErr w:type="spellStart"/>
            <w:r w:rsidRPr="00A61595">
              <w:rPr>
                <w:rFonts w:ascii="Arial" w:hAnsi="Arial" w:cs="Arial"/>
                <w:color w:val="000000"/>
                <w:sz w:val="14"/>
                <w:szCs w:val="14"/>
              </w:rPr>
              <w:t>i</w:t>
            </w:r>
            <w:proofErr w:type="spellEnd"/>
          </w:p>
        </w:tc>
        <w:tc>
          <w:tcPr>
            <w:tcW w:w="229" w:type="pct"/>
          </w:tcPr>
          <w:p w14:paraId="1DCA4948" w14:textId="0A45D613"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6C88E8B" w14:textId="34325E76" w:rsidTr="00380533">
        <w:trPr>
          <w:trHeight w:val="285"/>
        </w:trPr>
        <w:tc>
          <w:tcPr>
            <w:tcW w:w="715" w:type="pct"/>
            <w:gridSpan w:val="2"/>
            <w:shd w:val="clear" w:color="auto" w:fill="auto"/>
            <w:noWrap/>
            <w:hideMark/>
          </w:tcPr>
          <w:p w14:paraId="3B820C7C" w14:textId="549D54F9"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Pittman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{"citationID":"a57n4jm5g6","properties":{"formattedCitation":"(160)","plainCitation":"(160)","noteIndex":0},"citationItems":[{"id":18608,"uris":["http://zotero.org/groups/2477744/items/QU5Q5DMB"],"itemData":{"id":18608,"type":"article-journal","abstract":"Foreign aid constitutes a significant part of the national income of many developing countries. Fisheries are often of relevance for livelihoods and food security in these countries, so funding aimed at supporting sustainable fisheries can directly contribute to human well-being. In theory, foreign aid is aimed at promoting the economic development and welfare of developing countries and its allocation should therefore be aligned with development needs. However, the aid literature points to colonialism and donor self-interest at national levels as well as in the international arena as important forces shaping aid flows. Using network analytical techniques, this study examines to what extent both the magnitude and structural patterns of Official Development Assistance (ODA) funding for fisheries have changed over time (2002-2016) and what appear to be sources of stability or long-term tie formation in the network. The resulting network demonstrates that short-term ties, typically over a single year, are the norm for fisheries-related ODA, while long-term ties are uncommon. Among donor states, Japan has fostered the greatest number of donor-recipient ties over the entire study period, which in some cases appear to overlap with geopolitical priorities. The existence of historical colonial linkages is a poor predictor for ties that last the entire 15 years under examination; however, they are a strong predictor of shorter duration ties. The analysis suggests that more effort is needed to optimize resource use towards achieving the international development agenda reflected in the Sustainable Development Goals.","container-title":"MARINE POLICY","DOI":"10.1016/j.marpol.2019.103644","journalAbbreviation":"MARINE POLICY","title":"A global assessment of structural change in development funding for fisheries","volume":"109","author":[{"family":"Pittman","given":"Jeremy"},{"family":"Wabnitz","given":"Colette C C"},{"family":"Blasiak","given":"Robert"}],"issued":{"date-parts":[["2019"]]}}}],"schema":"https://github.com/citation-style-language/schema/raw/master/csl-citation.json"}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(160)</w:t>
            </w:r>
            <w:r w:rsidRPr="00A61595">
              <w:rPr>
                <w:rFonts w:ascii="Arial" w:eastAsia="Times New Roman" w:hAnsi="Arial" w:cs="Arial"/>
                <w:sz w:val="14"/>
                <w:szCs w:val="14"/>
              </w:rPr>
              <w:fldChar w:fldCharType="end"/>
            </w:r>
          </w:p>
        </w:tc>
        <w:tc>
          <w:tcPr>
            <w:tcW w:w="192" w:type="pct"/>
            <w:shd w:val="clear" w:color="auto" w:fill="auto"/>
            <w:noWrap/>
            <w:hideMark/>
          </w:tcPr>
          <w:p w14:paraId="0725C20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56A5194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Changes in the magnitude and structural patterns of Official Development Assistance funding for fisheries over time</w:t>
            </w:r>
          </w:p>
        </w:tc>
        <w:tc>
          <w:tcPr>
            <w:tcW w:w="318" w:type="pct"/>
          </w:tcPr>
          <w:p w14:paraId="0B5E9A41" w14:textId="188617CF" w:rsidR="000B21B4" w:rsidRPr="00A61595" w:rsidRDefault="000B21B4" w:rsidP="00380533">
            <w:pPr>
              <w:rPr>
                <w:rFonts w:ascii="Arial" w:hAnsi="Arial" w:cs="Arial"/>
                <w:sz w:val="14"/>
                <w:szCs w:val="14"/>
              </w:rPr>
            </w:pPr>
            <w:r w:rsidRPr="00A61595">
              <w:rPr>
                <w:rFonts w:ascii="Arial" w:hAnsi="Arial" w:cs="Arial"/>
                <w:color w:val="000000"/>
                <w:sz w:val="14"/>
                <w:szCs w:val="14"/>
              </w:rPr>
              <w:t>a, d</w:t>
            </w:r>
          </w:p>
        </w:tc>
        <w:tc>
          <w:tcPr>
            <w:tcW w:w="306" w:type="pct"/>
          </w:tcPr>
          <w:p w14:paraId="47506ABB" w14:textId="6B4C250E"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731B6DD5" w14:textId="63368784"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f, d, </w:t>
            </w:r>
            <w:proofErr w:type="spellStart"/>
            <w:r w:rsidRPr="00A61595">
              <w:rPr>
                <w:rFonts w:ascii="Arial" w:hAnsi="Arial" w:cs="Arial"/>
                <w:color w:val="000000"/>
                <w:sz w:val="14"/>
                <w:szCs w:val="14"/>
              </w:rPr>
              <w:t>i</w:t>
            </w:r>
            <w:proofErr w:type="spellEnd"/>
          </w:p>
        </w:tc>
        <w:tc>
          <w:tcPr>
            <w:tcW w:w="229" w:type="pct"/>
          </w:tcPr>
          <w:p w14:paraId="7E5185C7" w14:textId="3DF9AF7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EE45883" w14:textId="2ECE34C3" w:rsidTr="00380533">
        <w:trPr>
          <w:trHeight w:val="285"/>
        </w:trPr>
        <w:tc>
          <w:tcPr>
            <w:tcW w:w="715" w:type="pct"/>
            <w:gridSpan w:val="2"/>
            <w:shd w:val="clear" w:color="auto" w:fill="auto"/>
            <w:noWrap/>
            <w:hideMark/>
          </w:tcPr>
          <w:p w14:paraId="27112FBB" w14:textId="516AFB23"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Prishchepov</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{"citationID":"a1br1cdmeoq","properties":{"formattedCitation":"(161)","plainCitation":"(161)","noteIndex":0},"citationItems":[{"id":17241,"uris":["http://zotero.org/groups/2477744/items/3CZJYUXR"],"itemData":{"id":17241,"type":"article-journal","abstract":"Despite the looming land scarcity suited for agricultural expansion, farmland abandonment is widespread globally. The recultivation of some abandoned farmlands could unlock the untapped agricultural potential. Yet, little is known about the determinants of recultivation. To better understand the behavioral intentions of farmers regarding the recultivation of abandoned lands, we concentrated on the Buryat Republic in Russia, where agricultural land abandonment is widespread and farmers with different ethnicities carry out diverse agricultural practices. We conducted 149 face-to-face interviews with the farmers in the Buryat Republic in 2018 and filled a structured questionnaire on farm's and farmers’ socioeconomic characteristics, perceived corruption, and farmers’ behavioral intentions regarding expected land use. We modeled the intention of recultivation with the Bayesian networks. The Bayesian networks analysis showed that perceived corruption was considered to be a barrier to recultivation. Our study also showed that non-Buryat ethnic and young farmers are more likely to recultivate abandoned land. Abandoned farmlands without or with a low degree of afforestation were preferred for recultivation. In sum, our study showed how behavioral aspects of political trust, the farm's and farmer's characteristics, in combination with regional and locational characteristics, may shape farmers’ decisions on land use. The results provide an important ground to assess regional land-use policies, which should foster the recultivation of abandoned lands while preserving ecosystem services in the global hotspots of farmland abandonment, such as Russia. © 2021 Elsevier Ltd","container-title":"Land Use Policy","DOI":"10.1016/j.landusepol.2021.105513","journalAbbreviation":"Land Use Policy","title":"Revealing the intentions of farmers to recultivate abandoned farmland: A case study of the Buryat Republic in Russia","URL":"https://www.scopus.com/inward/record.uri?eid=2-s2.0-85107639626&amp;doi=10.1016%2fj.landusepol.2021.105513&amp;partnerID=40&amp;md5=2ed1c3f3267f923e3b2a361c738a1e86","volume":"107","author":[{"family":"Prishchepov","given":"A.V."},{"family":"Ponkina","given":"E.V."},{"family":"Sun","given":"Z."},{"family":"Bavorova","given":"M."},{"family":"Yekimovskaja","given":"O.A."}],"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(161)</w:t>
            </w:r>
            <w:r w:rsidRPr="00A61595">
              <w:rPr>
                <w:rFonts w:ascii="Arial" w:eastAsia="Times New Roman" w:hAnsi="Arial" w:cs="Arial"/>
                <w:sz w:val="14"/>
                <w:szCs w:val="14"/>
              </w:rPr>
              <w:fldChar w:fldCharType="end"/>
            </w:r>
          </w:p>
        </w:tc>
        <w:tc>
          <w:tcPr>
            <w:tcW w:w="192" w:type="pct"/>
            <w:shd w:val="clear" w:color="auto" w:fill="auto"/>
            <w:noWrap/>
            <w:hideMark/>
          </w:tcPr>
          <w:p w14:paraId="5960EC7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66CE998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behavioral intentions of farmers regarding the recultivation of abandoned lands</w:t>
            </w:r>
          </w:p>
        </w:tc>
        <w:tc>
          <w:tcPr>
            <w:tcW w:w="318" w:type="pct"/>
          </w:tcPr>
          <w:p w14:paraId="37CAFB53" w14:textId="6DFBE92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1187ADE" w14:textId="742B8C7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232E56B7" w14:textId="45B8F6F7"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c>
          <w:tcPr>
            <w:tcW w:w="229" w:type="pct"/>
          </w:tcPr>
          <w:p w14:paraId="43C16992" w14:textId="63E7490E"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r>
      <w:tr w:rsidR="000B21B4" w:rsidRPr="00A61595" w14:paraId="1B9B5ED7" w14:textId="3AEA8A6F" w:rsidTr="00380533">
        <w:trPr>
          <w:trHeight w:val="285"/>
        </w:trPr>
        <w:tc>
          <w:tcPr>
            <w:tcW w:w="715" w:type="pct"/>
            <w:gridSpan w:val="2"/>
            <w:shd w:val="clear" w:color="auto" w:fill="auto"/>
            <w:noWrap/>
            <w:hideMark/>
          </w:tcPr>
          <w:p w14:paraId="39246139" w14:textId="34E6255D"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lastRenderedPageBreak/>
              <w:t>Quandt</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{"citationID":"a1k7fqe7u1c","properties":{"formattedCitation":"(162)","plainCitation":"(162)","noteIndex":0},"citationItems":[{"id":17110,"uris":["http://zotero.org/groups/2477744/items/5B55GM99"],"itemData":{"id":17110,"type":"article-journal","abstract":"Background US government child labor policies allow children as young as age 10 to be hired as workers on farms not operated by family members. Children may face substantial health risks in an industry known for high worker morbidity and mortality rates, due to high demands for productivity, and low control and little support because of the organization of the workplace. This paper examines how child farmworkers in North Carolina experience their work situation. Methods In-depth interviews conducted in 2016 with 30 Latinx child farmworkers, ages 10 to 17, were analyzed using concepts from the demand-control-support model. All had worked as either migrant or seasonal hired farmworkers within the past year. Results Children reported planting, cultivating, and harvesting crops including fruits, vegetables, and tobacco. The crew leader supervisory system, piece-rate pay, and coworker pressure produced significant demands to work quickly and take risks including lifting heavy loads, operating mechanical equipment, and working in excessive heat. Children had little control over work to counter demands they experienced; and they labored in a state of fear of firing, wage theft, and other sanctions. Support was variable, with younger children more likely to experience family and coworker support than older children. Conclusions The high demands with limited control and, for some, little support, that these children experience place them at risk and show the possibility of injury and exploitation. Future research should systematically document the occupational injury and illness of hired child farmworkers, and consider whether changes in labor policy are warranted.","container-title":"AMERICAN JOURNAL OF INDUSTRIAL MEDICINE","DOI":"10.1002/ajim.23039","issue":"12","journalAbbreviation":"AMERICAN JOURNAL OF INDUSTRIAL MEDICINE","page":"1079-1090","title":"Hired Latinx child farm labor in North Carolina: The demand-support-control model applied to a vulnerable worker population","volume":"62","author":[{"family":"Quandt","given":"Sara A"},{"family":"Arnold","given":"Taylor J"},{"family":"Mora","given":"Dana C"},{"family":"Sandberg","given":"Joanne C"},{"family":"Daniel","given":"Stephanie S"},{"family":"Arcury","given":"Thomas A"}],"issued":{"date-parts":[["2019"]]}}}],"schema":"https://github.com/citation-style-language/schema/raw/master/csl-citation.json"}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(162)</w:t>
            </w:r>
            <w:r w:rsidRPr="00A61595">
              <w:rPr>
                <w:rFonts w:ascii="Arial" w:eastAsia="Times New Roman" w:hAnsi="Arial" w:cs="Arial"/>
                <w:sz w:val="14"/>
                <w:szCs w:val="14"/>
              </w:rPr>
              <w:fldChar w:fldCharType="end"/>
            </w:r>
          </w:p>
        </w:tc>
        <w:tc>
          <w:tcPr>
            <w:tcW w:w="192" w:type="pct"/>
            <w:shd w:val="clear" w:color="auto" w:fill="auto"/>
            <w:noWrap/>
            <w:hideMark/>
          </w:tcPr>
          <w:p w14:paraId="43B2940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184B4B7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experiences of child farmworkers in North Carolina</w:t>
            </w:r>
          </w:p>
        </w:tc>
        <w:tc>
          <w:tcPr>
            <w:tcW w:w="318" w:type="pct"/>
          </w:tcPr>
          <w:p w14:paraId="52CD90D3" w14:textId="233F954F"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3339D9F3" w14:textId="594FB48A"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4D6B1D50" w14:textId="61CDFEDA"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h, </w:t>
            </w:r>
            <w:proofErr w:type="spellStart"/>
            <w:r w:rsidRPr="00A61595">
              <w:rPr>
                <w:rFonts w:ascii="Arial" w:hAnsi="Arial" w:cs="Arial"/>
                <w:color w:val="000000"/>
                <w:sz w:val="14"/>
                <w:szCs w:val="14"/>
              </w:rPr>
              <w:t>i</w:t>
            </w:r>
            <w:proofErr w:type="spellEnd"/>
          </w:p>
        </w:tc>
        <w:tc>
          <w:tcPr>
            <w:tcW w:w="229" w:type="pct"/>
          </w:tcPr>
          <w:p w14:paraId="21505E55" w14:textId="36B6E08A"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60AE9DD" w14:textId="20D0E4D4" w:rsidTr="00380533">
        <w:trPr>
          <w:trHeight w:val="285"/>
        </w:trPr>
        <w:tc>
          <w:tcPr>
            <w:tcW w:w="715" w:type="pct"/>
            <w:gridSpan w:val="2"/>
            <w:shd w:val="clear" w:color="auto" w:fill="auto"/>
            <w:noWrap/>
            <w:hideMark/>
          </w:tcPr>
          <w:p w14:paraId="32921794" w14:textId="2FF775B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Raifu</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{"citationID":"a1m3eg6ejck","properties":{"formattedCitation":"(163)","plainCitation":"(163)","noteIndex":0},"citationItems":[{"id":17240,"uris":["http://zotero.org/groups/2477744/items/RVA3YZSG"],"itemData":{"id":17240,"type":"article-journal","abstract":"Purpose: The centrality of agricultural sector to the economy, particularly in developing countries, has drawn the attention of researchers to critically examine different factors determining the performance of the sector. Given that massive investment is required to ensure maximum productivity in the sector, one of the factors identified is the issue of financing. However, financing agricultural sector in a poor institutional environment can be depressing. In the light of this, the purpose of this paper is to examine the nexus between financial development and agricultural performance in Nigeria with a view to investigating the role of institutions. Design/methodology/approach: The study employed annual data spanning the period from 1981 to 2016. Three indicators of financial development and five institutional variables were used. Besides, for robust analysis, the study also computed an aggregate measure of financial development and institutions using principal component method. Autoregressive distributed lag method of estimation was used to examine the short-run and long-run effects of financial development on agricultural performance in Nigeria. Findings: The findings showed that financial development has a positive impact on agricultural performance in Nigeria. However, this positive impact is being undermined by institutional variables. Originality/value: To the best of the authors’ knowledge, this is the only study that examines the mediating role of institutional factors such as the rule of law, control of corruption, etc., in the financial development–agricultural performance nexus in Nigeria. © 2019, Emerald Publishing Limited.","container-title":"Agricultural Finance Review","DOI":"10.1108/AFR-06-2018-0045","issue":"2","journalAbbreviation":"Agricultural Finance Review","page":"231-254","title":"Financial development and agricultural performance in Nigeria: what role do institutions play?","URL":"https://www.scopus.com/inward/record.uri?eid=2-s2.0-85076530158&amp;doi=10.1108%2fAFR-06-2018-0045&amp;partnerID=40&amp;md5=6d5db46f05b42300f97f7398fccb00ad","volume":"80","author":[{"family":"Raifu","given":"I.A."},{"family":"Aminu","given":"A."}],"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(163)</w:t>
            </w:r>
            <w:r w:rsidRPr="00A61595">
              <w:rPr>
                <w:rFonts w:ascii="Arial" w:eastAsia="Times New Roman" w:hAnsi="Arial" w:cs="Arial"/>
                <w:sz w:val="14"/>
                <w:szCs w:val="14"/>
              </w:rPr>
              <w:fldChar w:fldCharType="end"/>
            </w:r>
          </w:p>
        </w:tc>
        <w:tc>
          <w:tcPr>
            <w:tcW w:w="192" w:type="pct"/>
            <w:shd w:val="clear" w:color="auto" w:fill="auto"/>
            <w:noWrap/>
            <w:hideMark/>
          </w:tcPr>
          <w:p w14:paraId="299F4875"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726C0BB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The role of institutions in financial development and agricultural performance </w:t>
            </w:r>
          </w:p>
        </w:tc>
        <w:tc>
          <w:tcPr>
            <w:tcW w:w="318" w:type="pct"/>
          </w:tcPr>
          <w:p w14:paraId="08E75290" w14:textId="2C949875"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2D5724F9" w14:textId="5BA99014"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033222F4" w14:textId="1309255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35738A7C" w14:textId="60EB08F2"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3591FD4" w14:textId="33C3138A" w:rsidTr="00380533">
        <w:trPr>
          <w:trHeight w:val="285"/>
        </w:trPr>
        <w:tc>
          <w:tcPr>
            <w:tcW w:w="715" w:type="pct"/>
            <w:gridSpan w:val="2"/>
            <w:shd w:val="clear" w:color="auto" w:fill="auto"/>
            <w:noWrap/>
            <w:hideMark/>
          </w:tcPr>
          <w:p w14:paraId="5BBA9089" w14:textId="6C3C1A6F"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Rezazade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{"citationID":"a29na7auvoe","properties":{"formattedCitation":"(164)","plainCitation":"(164)","noteIndex":0},"citationItems":[{"id":19067,"uris":["http://zotero.org/groups/2477744/items/U74EZ7D5"],"itemData":{"id":19067,"type":"article-journal","abstract":"The increase in fraudulent incidents has resulted in a change of focus in theory related to investigating food fraud from risk mitigation to vulnerability reduction. While the literature provided a framework from which to identify possible areas of vulnerability to food fraud, it does not provide a methodology that would allow food producers and processors to quantify and assess their vulnerability to food fraud more accurately. This paper developed a holistic approach to analyse food fraud vulnerability factors using a Bayesian Network (BN) approach based on the Decernis food fraud database incidents. Food fraud incidents related to seafood, dairy, alcoholic beverages and meat products were reviewed as they cover more than 50 % of the Decernis incident records (as in June 2018). 580 cases of food fraud were included in the development of the BN model. SPSS Modeler 18.2 was used to construct two BN model, and fraud vulnerability factors were directly linked to seven criteria of the country of origin, country of detection, year, food fraud types, product types, the weight of evidence, and types of adulterants. Possible food fraud vulnerability factors related to each case retrieved from Decernis database, combined Barrier Analysis technique and Routine Activity Theory, and additional sources from the literature. Two Bayesian Networks of Tree Augmented Naïve (TAN) and Markov were selected to determine the most reliable holistic model. Based on the analysis result, the TAN model assessed the vulnerability to food fraud with a higher accuracy rate of 86 %. The country of origin (76 %), food product types (9 %), types of adulterants (counterfeiting) (9 %), and country of detection (China) (6 %) were the main predictors of food fraud vulnerability factors. This model helps authorities in border protection, policymakers, and quality assurance agencies assess fraud vulnerability for a range of food products for incoming (imported) food products, mainly if they know the country of origin and type of food products. © 2021 Elsevier Ltd","container-title":"Food Control","DOI":"10.1016/j.foodcont.2021.108440","journalAbbreviation":"Food Control","title":"A holistic approach to food fraud vulnerability assessment","URL":"https://www.scopus.com/inward/record.uri?eid=2-s2.0-85111113596&amp;doi=10.1016%2fj.foodcont.2021.108440&amp;partnerID=40&amp;md5=48769d808f8e7180cca150ab19e0023f","volume":"131","author":[{"family":"Rezazade","given":"F."},{"family":"Summers","given":"J."},{"family":"Lai Teik","given":"D.O."}],"issued":{"date-parts":[["2021"]]}}}],"schema":"https://github.com/citation-style-language/schema/raw/master/csl-citation.json"}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(164)</w:t>
            </w:r>
            <w:r w:rsidRPr="00A61595">
              <w:rPr>
                <w:rFonts w:ascii="Arial" w:eastAsia="Times New Roman" w:hAnsi="Arial" w:cs="Arial"/>
                <w:sz w:val="14"/>
                <w:szCs w:val="14"/>
              </w:rPr>
              <w:fldChar w:fldCharType="end"/>
            </w:r>
          </w:p>
        </w:tc>
        <w:tc>
          <w:tcPr>
            <w:tcW w:w="192" w:type="pct"/>
            <w:shd w:val="clear" w:color="auto" w:fill="auto"/>
            <w:noWrap/>
            <w:hideMark/>
          </w:tcPr>
          <w:p w14:paraId="1F47BC0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42DEAB2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Analyzing food fraud vulnerability factors using a Bayesian Network approach</w:t>
            </w:r>
          </w:p>
        </w:tc>
        <w:tc>
          <w:tcPr>
            <w:tcW w:w="318" w:type="pct"/>
          </w:tcPr>
          <w:p w14:paraId="5DD176FD" w14:textId="74D01B76"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47CEAA4A" w14:textId="6EBA8483"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5E67C5AD" w14:textId="047A7F2B"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4E177429" w14:textId="6A6D458C"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C427DD6" w14:textId="7D11FD26" w:rsidTr="00380533">
        <w:trPr>
          <w:trHeight w:val="285"/>
        </w:trPr>
        <w:tc>
          <w:tcPr>
            <w:tcW w:w="715" w:type="pct"/>
            <w:gridSpan w:val="2"/>
            <w:shd w:val="clear" w:color="auto" w:fill="auto"/>
            <w:noWrap/>
            <w:hideMark/>
          </w:tcPr>
          <w:p w14:paraId="3D270359" w14:textId="62271CDF"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Riley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{"citationID":"a2l33tog71n","properties":{"formattedCitation":"(165)","plainCitation":"(165)","noteIndex":0},"citationItems":[{"id":17050,"uris":["http://zotero.org/groups/2477744/items/RNUQLULP"],"itemData":{"id":17050,"type":"article-journal","container-title":"JOURNAL OF CONTEMPORARY AFRICAN STUDIES","DOI":"10.1080/02589001.2018.1547373","issue":"4, SI","journalAbbreviation":"JOURNAL OF CONTEMPORARY AFRICAN STUDIES","page":"484-498","title":"`Things are not working now': poverty, food insecurity and perceptions of corruption in urban Malawi","volume":"36","author":[{"family":"Riley","given":"Liam"},{"family":"Chilanga","given":"Emmanuel"}],"issued":{"date-parts":[["2018"]]}}}],"schema":"https://github.com/citation-style-language/schema/raw/master/csl-citation.json"}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(165)</w:t>
            </w:r>
            <w:r w:rsidRPr="00A61595">
              <w:rPr>
                <w:rFonts w:ascii="Arial" w:eastAsia="Times New Roman" w:hAnsi="Arial" w:cs="Arial"/>
                <w:sz w:val="14"/>
                <w:szCs w:val="14"/>
              </w:rPr>
              <w:fldChar w:fldCharType="end"/>
            </w:r>
          </w:p>
        </w:tc>
        <w:tc>
          <w:tcPr>
            <w:tcW w:w="192" w:type="pct"/>
            <w:shd w:val="clear" w:color="auto" w:fill="auto"/>
            <w:noWrap/>
            <w:hideMark/>
          </w:tcPr>
          <w:p w14:paraId="1CB8469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72B09B4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Lived experiences of food insecurity in informal settlements in Malawi and exploring the </w:t>
            </w:r>
            <w:proofErr w:type="spellStart"/>
            <w:r w:rsidRPr="00A61595">
              <w:rPr>
                <w:rFonts w:ascii="Arial" w:eastAsia="Times New Roman" w:hAnsi="Arial" w:cs="Arial"/>
                <w:color w:val="000000" w:themeColor="text1"/>
                <w:sz w:val="14"/>
                <w:szCs w:val="14"/>
              </w:rPr>
              <w:t>Cashgate</w:t>
            </w:r>
            <w:proofErr w:type="spellEnd"/>
            <w:r w:rsidRPr="00A61595">
              <w:rPr>
                <w:rFonts w:ascii="Arial" w:eastAsia="Times New Roman" w:hAnsi="Arial" w:cs="Arial"/>
                <w:color w:val="000000" w:themeColor="text1"/>
                <w:sz w:val="14"/>
                <w:szCs w:val="14"/>
              </w:rPr>
              <w:t xml:space="preserve"> corruption scandal</w:t>
            </w:r>
          </w:p>
        </w:tc>
        <w:tc>
          <w:tcPr>
            <w:tcW w:w="318" w:type="pct"/>
          </w:tcPr>
          <w:p w14:paraId="36298D39" w14:textId="66A0ED6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731B8544" w14:textId="46BF993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01D47F70" w14:textId="3F660AA1"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h, </w:t>
            </w:r>
            <w:proofErr w:type="spellStart"/>
            <w:r w:rsidRPr="00A61595">
              <w:rPr>
                <w:rFonts w:ascii="Arial" w:hAnsi="Arial" w:cs="Arial"/>
                <w:color w:val="000000"/>
                <w:sz w:val="14"/>
                <w:szCs w:val="14"/>
              </w:rPr>
              <w:t>i</w:t>
            </w:r>
            <w:proofErr w:type="spellEnd"/>
          </w:p>
        </w:tc>
        <w:tc>
          <w:tcPr>
            <w:tcW w:w="229" w:type="pct"/>
          </w:tcPr>
          <w:p w14:paraId="5029975F" w14:textId="48B2A40B"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4CADC8EA" w14:textId="084C26DF" w:rsidTr="00380533">
        <w:trPr>
          <w:trHeight w:val="285"/>
        </w:trPr>
        <w:tc>
          <w:tcPr>
            <w:tcW w:w="715" w:type="pct"/>
            <w:gridSpan w:val="2"/>
            <w:shd w:val="clear" w:color="auto" w:fill="auto"/>
            <w:noWrap/>
            <w:hideMark/>
          </w:tcPr>
          <w:p w14:paraId="1DE262AC" w14:textId="350CBF38"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Ringsberg</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{"citationID":"a2ic914gh6n","properties":{"formattedCitation":"(166)","plainCitation":"(166)","noteIndex":0},"citationItems":[{"id":17066,"uris":["http://zotero.org/groups/2477744/items/PAQI5NKX"],"itemData":{"id":17066,"type":"article-journal","abstract":"Purpose - Implementing global traceability standards (GTSs) facilitates interoperability in food supply chains (FSCs). The purpose of this paper is to present incentives, opportunities and requirements for implementing GTSs in a fresh FSC. Design/methodology/approach - The research was developed in two stages: a literature review was conducted to establish a theoretical framework; and then an in-depth case study of a Swedish fresh fish supply chain was conducted. The Kano methodology was used to evaluate opportunities based on implementation requirements in each enterprise. Findings - FSC enterprises implement a GTS to meet legal food traceability requirements. This incentive is stronger among enterprises upstream in the FSC than among downstream enterprises. Downstream enterprises emphasize communication with the end consumer as an incentive to implement a GTS. Implementing a GTS increases the opportunity to preserve end consumer confidence, efficiency in information sharing, reduces time in inventory management and the risk of theft. Research limitations/implications - The paper contributes to the field of food traceability by providing knowledge regarding incentives, opportunities and requirements for implementing standards to meet food traceability requirements at FSC enterprises. Practical implications - Regulatory requirements on traceability preservation of food safety, quality and sustainability stipulate the implementation of a GTS. The research presented can support managers in understanding incentives and opportunities for implementing a GTS. Originality/value - This paper combines in-depth academic research with the involvement of Swedish fresh food enterprises. The study is of benefit to fresh food enterprises, authorities and organizations in the further implementation and development of GTSs.","container-title":"BRITISH FOOD JOURNAL","DOI":"10.1108/BFJ-10-2014-0353","issue":"7","journalAbbreviation":"BRITISH FOOD JOURNAL","page":"1826-1842","title":"Implementation of global traceability standards: incentives and opportunities","volume":"117","author":[{"family":"Ringsberg","given":"Henrik Anders"}],"issued":{"date-parts":[["2015"]]}}}],"schema":"https://github.com/citation-style-language/schema/raw/master/csl-citation.json"}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(166)</w:t>
            </w:r>
            <w:r w:rsidRPr="00A61595">
              <w:rPr>
                <w:rFonts w:ascii="Arial" w:eastAsia="Times New Roman" w:hAnsi="Arial" w:cs="Arial"/>
                <w:sz w:val="14"/>
                <w:szCs w:val="14"/>
              </w:rPr>
              <w:fldChar w:fldCharType="end"/>
            </w:r>
          </w:p>
        </w:tc>
        <w:tc>
          <w:tcPr>
            <w:tcW w:w="192" w:type="pct"/>
            <w:shd w:val="clear" w:color="auto" w:fill="auto"/>
            <w:noWrap/>
            <w:hideMark/>
          </w:tcPr>
          <w:p w14:paraId="10F0119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4ACD9A8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Implementing global traceability standards in fresh Food Supply Chains</w:t>
            </w:r>
          </w:p>
        </w:tc>
        <w:tc>
          <w:tcPr>
            <w:tcW w:w="318" w:type="pct"/>
          </w:tcPr>
          <w:p w14:paraId="6C7BE990" w14:textId="7F8C463F"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68BC2E20" w14:textId="436FCF94"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642625C" w14:textId="337B41CD"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c, e, </w:t>
            </w:r>
            <w:proofErr w:type="spellStart"/>
            <w:r w:rsidRPr="00A61595">
              <w:rPr>
                <w:rFonts w:ascii="Arial" w:hAnsi="Arial" w:cs="Arial"/>
                <w:color w:val="000000"/>
                <w:sz w:val="14"/>
                <w:szCs w:val="14"/>
              </w:rPr>
              <w:t>i</w:t>
            </w:r>
            <w:proofErr w:type="spellEnd"/>
          </w:p>
        </w:tc>
        <w:tc>
          <w:tcPr>
            <w:tcW w:w="229" w:type="pct"/>
          </w:tcPr>
          <w:p w14:paraId="0BC42A02" w14:textId="1A981191"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4C8289B" w14:textId="56E6B513" w:rsidTr="00380533">
        <w:trPr>
          <w:trHeight w:val="285"/>
        </w:trPr>
        <w:tc>
          <w:tcPr>
            <w:tcW w:w="715" w:type="pct"/>
            <w:gridSpan w:val="2"/>
            <w:shd w:val="clear" w:color="auto" w:fill="auto"/>
            <w:noWrap/>
            <w:hideMark/>
          </w:tcPr>
          <w:p w14:paraId="4201A8BA" w14:textId="64658A3D"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Ritten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{"citationID":"a28u0l2uv2d","properties":{"formattedCitation":"(167)","plainCitation":"(167)","noteIndex":0},"citationItems":[{"id":17254,"uris":["http://zotero.org/groups/2477744/items/9JGGL7HB"],"itemData":{"id":17254,"type":"article-journal","abstract":"Fraudulent activities in the international honey market affect 10% of food, and cost the global food market $50 billion per annum. Although many developed countries have created regulations to combat food fraud, illegally imported honey, especially originating from China, still enters through transshipments and relabelling to mask its true origin. This honey laundering poses a health risk to consumers, as Chinese honey potentially contains illegal and unsafe antibiotics and high levels of herbicides and pesticides. We analyse whether information about the negative health impacts of laundered honey increases the proportion of consumers willing to pay a premium for local fraud-free honey. Using a laboratory experiment, we find when consumers are given honey laundering information, their willingness to pay a premium for local fraud-free honey increases by as much as 27 percentage points. Our findings suggest that by conveying honey laundering information and guaranteeing their honey is fraud-free, producers can potentially increase revenues and reduce the prevalence of food fraud. Our results further show that consumers' preference for various honey characteristics and age also influence the probability of paying a premium for local honey.","archive_location":"WOS:000493038300003","container-title":"AUSTRALIAN JOURNAL OF AGRICULTURAL AND RESOURCE ECONOMICS","DOI":"10.1111/1467-8489.12325","issue":"4","journalAbbreviation":"AUSTRALIAN JOURNAL OF AGRICULTURAL AND RESOURCE ECONOMICS","page":"726-741","title":"International honey laundering and consumer willingness to pay a premium for local honey: an experimental study","volume":"63","author":[{"family":"Ritten","given":"CJ"},{"family":"Thunstrom","given":"L"},{"family":"Ehmke","given":"M"},{"family":"Beiermann","given":"J"},{"family":"McLeod","given":"D"}],"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(167)</w:t>
            </w:r>
            <w:r w:rsidRPr="00A61595">
              <w:rPr>
                <w:rFonts w:ascii="Arial" w:eastAsia="Times New Roman" w:hAnsi="Arial" w:cs="Arial"/>
                <w:sz w:val="14"/>
                <w:szCs w:val="14"/>
              </w:rPr>
              <w:fldChar w:fldCharType="end"/>
            </w:r>
          </w:p>
        </w:tc>
        <w:tc>
          <w:tcPr>
            <w:tcW w:w="192" w:type="pct"/>
            <w:shd w:val="clear" w:color="auto" w:fill="auto"/>
            <w:noWrap/>
            <w:hideMark/>
          </w:tcPr>
          <w:p w14:paraId="54B2BAB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52D51D0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Impacts of laundered honey on consumer purchasing behaviors </w:t>
            </w:r>
          </w:p>
        </w:tc>
        <w:tc>
          <w:tcPr>
            <w:tcW w:w="318" w:type="pct"/>
          </w:tcPr>
          <w:p w14:paraId="6BBD8C17" w14:textId="4EC913A1"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06" w:type="pct"/>
          </w:tcPr>
          <w:p w14:paraId="61B447AA" w14:textId="1302E4C7"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5C2E2198" w14:textId="710F5F3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b, </w:t>
            </w:r>
            <w:proofErr w:type="spellStart"/>
            <w:r w:rsidRPr="00A61595">
              <w:rPr>
                <w:rFonts w:ascii="Arial" w:hAnsi="Arial" w:cs="Arial"/>
                <w:color w:val="000000"/>
                <w:sz w:val="14"/>
                <w:szCs w:val="14"/>
              </w:rPr>
              <w:t>i</w:t>
            </w:r>
            <w:proofErr w:type="spellEnd"/>
          </w:p>
        </w:tc>
        <w:tc>
          <w:tcPr>
            <w:tcW w:w="229" w:type="pct"/>
          </w:tcPr>
          <w:p w14:paraId="70CBA014" w14:textId="75C582CB"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01DC1B75" w14:textId="3537ABA5" w:rsidTr="00380533">
        <w:trPr>
          <w:trHeight w:val="285"/>
        </w:trPr>
        <w:tc>
          <w:tcPr>
            <w:tcW w:w="715" w:type="pct"/>
            <w:gridSpan w:val="2"/>
            <w:shd w:val="clear" w:color="auto" w:fill="auto"/>
            <w:noWrap/>
            <w:hideMark/>
          </w:tcPr>
          <w:p w14:paraId="1DCA9495" w14:textId="6E7A43F2"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Rizzuti</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{"citationID":"a2ga169offh","properties":{"formattedCitation":"(168)","plainCitation":"(168)","noteIndex":0},"citationItems":[{"id":17237,"uris":["http://zotero.org/groups/2477744/items/YBAJKF9G"],"itemData":{"id":17237,"type":"article-journal","abstract":"The food sector is subject to illegal practices of various types such as adulteration or exploitation of labour. In the media and public discourse, this phenomenon is often associated to activities by organised crime groups. Drawing on a socio-legal empirical study on the perception and conceptualisation of food crime in English and Italian public institutions, this paper unpacks the involvement of organised crime and mafia-type actors in the food sector. Considering data collected through in-depth interviews with representatives of law enforcement and other public authorities, supported by documentary sources, this research points out that, from both an institutional perspective that narrowly conceptualises as food crime as food fraud, as well as from a wider perspective that addresses other practices happening in the food sector, organised crime is involved in food crime. By referring to the English and Italian cases, and by merging different bodies of literature, such as green criminology and enterprise theory, this article advocates for conceptual clarity when referring to the involvement of corporate crime, organised crime and mafia-type groups active in the food sector. In so doing, it presents and reflects upon ‘organised food crime’ as a new socio-legal category and highlights its policy outcomes. © 2021, The Author(s).","container-title":"Crime, Law and Social Change","DOI":"10.1007/s10611-021-09975-w","journalAbbreviation":"Crime, Law and Social Change","title":"Organised food crime: an analysis of the involvements of organised crime groups in the food sector in England and Italy","URL":"https://www.scopus.com/inward/record.uri?eid=2-s2.0-85110600716&amp;doi=10.1007%2fs10611-021-09975-w&amp;partnerID=40&amp;md5=536e9ba8138fce7a8638368642c0ea0d","author":[{"family":"Rizzuti","given":"A."}],"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(168)</w:t>
            </w:r>
            <w:r w:rsidRPr="00A61595">
              <w:rPr>
                <w:rFonts w:ascii="Arial" w:eastAsia="Times New Roman" w:hAnsi="Arial" w:cs="Arial"/>
                <w:sz w:val="14"/>
                <w:szCs w:val="14"/>
              </w:rPr>
              <w:fldChar w:fldCharType="end"/>
            </w:r>
          </w:p>
        </w:tc>
        <w:tc>
          <w:tcPr>
            <w:tcW w:w="192" w:type="pct"/>
            <w:shd w:val="clear" w:color="auto" w:fill="auto"/>
            <w:noWrap/>
            <w:hideMark/>
          </w:tcPr>
          <w:p w14:paraId="7FB2DC8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635653D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Involvement of organized crime and mafia-type actors in the food sector</w:t>
            </w:r>
          </w:p>
        </w:tc>
        <w:tc>
          <w:tcPr>
            <w:tcW w:w="318" w:type="pct"/>
          </w:tcPr>
          <w:p w14:paraId="33C0A332" w14:textId="02E5CD9E"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06" w:type="pct"/>
          </w:tcPr>
          <w:p w14:paraId="00418F3B" w14:textId="450DE2DE"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6E208AA5" w14:textId="40C52888"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h, </w:t>
            </w:r>
            <w:proofErr w:type="spellStart"/>
            <w:r w:rsidRPr="00A61595">
              <w:rPr>
                <w:rFonts w:ascii="Arial" w:hAnsi="Arial" w:cs="Arial"/>
                <w:color w:val="000000"/>
                <w:sz w:val="14"/>
                <w:szCs w:val="14"/>
              </w:rPr>
              <w:t>i</w:t>
            </w:r>
            <w:proofErr w:type="spellEnd"/>
          </w:p>
        </w:tc>
        <w:tc>
          <w:tcPr>
            <w:tcW w:w="229" w:type="pct"/>
          </w:tcPr>
          <w:p w14:paraId="7173CF54" w14:textId="66B0B7A1"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55E4DD8A" w14:textId="24818D9B" w:rsidTr="00380533">
        <w:trPr>
          <w:trHeight w:val="285"/>
        </w:trPr>
        <w:tc>
          <w:tcPr>
            <w:tcW w:w="715" w:type="pct"/>
            <w:gridSpan w:val="2"/>
            <w:shd w:val="clear" w:color="auto" w:fill="auto"/>
            <w:noWrap/>
            <w:hideMark/>
          </w:tcPr>
          <w:p w14:paraId="741606A2" w14:textId="274EBDA3"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Robertson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{"citationID":"a3ujd67136","properties":{"formattedCitation":"(169)","plainCitation":"(169)","noteIndex":0},"citationItems":[{"id":17236,"uris":["http://zotero.org/groups/2477744/items/HITV4S5T"],"itemData":{"id":17236,"type":"article-journal","abstract":"Objective: To explore the incidence of the 'revolving door' phenomenon, whereby individuals move between positions in government and positions in the Australian alcohol, food and gambling industries. Methods: This exploratory study was composed of two substudies: 1) an analysis of existing Australian Government Register of Lobbyists databases and related social network content; and 2) a series of 28 in-depth semistructured interviews with key informants discussing industry tactics for influencing policy, of which 15 interviewees explicitly discussed the revolving door phenomenon. Results: More than one-third of people registered on the Australian Government Register of Lobbyists were previously government representatives. We report on several examples of government employees going on to work directly for alcohol, food or gambling industries, some taking employment directly related to their previous employment in government. Key informants highlight the potential risks this poses to good governance. Conclusion: This study suggests that the revolving door that sees people move between roles in the Australian Government and alcohol, food and gambling industries is commonplace, creating a range of ethical and moral problems, and posing a risk to public health. © 2019 Sax Institute. All rights reserved.","container-title":"Public Health Research and Practice","DOI":"10.17061/phrp2931921","issue":"3","journalAbbreviation":"Public Health Research and Practice","title":"The revolving door between government and the alcohol, food and gambling industries in Australia","URL":"https://www.scopus.com/inward/record.uri?eid=2-s2.0-85072774297&amp;doi=10.17061%2fphrp2931921&amp;partnerID=40&amp;md5=4f49b1c0e2f3a0647a28cc2aad53567a","volume":"29","author":[{"family":"Robertson","given":"N.M."},{"family":"Sacks","given":"G."},{"family":"Miller","given":"P.G."}],"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(169)</w:t>
            </w:r>
            <w:r w:rsidRPr="00A61595">
              <w:rPr>
                <w:rFonts w:ascii="Arial" w:eastAsia="Times New Roman" w:hAnsi="Arial" w:cs="Arial"/>
                <w:sz w:val="14"/>
                <w:szCs w:val="14"/>
              </w:rPr>
              <w:fldChar w:fldCharType="end"/>
            </w:r>
          </w:p>
        </w:tc>
        <w:tc>
          <w:tcPr>
            <w:tcW w:w="192" w:type="pct"/>
            <w:shd w:val="clear" w:color="auto" w:fill="auto"/>
            <w:noWrap/>
            <w:hideMark/>
          </w:tcPr>
          <w:p w14:paraId="0C09585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683BB6E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The revolving door between government and the alcohol, </w:t>
            </w:r>
            <w:proofErr w:type="gramStart"/>
            <w:r w:rsidRPr="00A61595">
              <w:rPr>
                <w:rFonts w:ascii="Arial" w:eastAsia="Times New Roman" w:hAnsi="Arial" w:cs="Arial"/>
                <w:color w:val="000000" w:themeColor="text1"/>
                <w:sz w:val="14"/>
                <w:szCs w:val="14"/>
              </w:rPr>
              <w:t>food</w:t>
            </w:r>
            <w:proofErr w:type="gramEnd"/>
            <w:r w:rsidRPr="00A61595">
              <w:rPr>
                <w:rFonts w:ascii="Arial" w:eastAsia="Times New Roman" w:hAnsi="Arial" w:cs="Arial"/>
                <w:color w:val="000000" w:themeColor="text1"/>
                <w:sz w:val="14"/>
                <w:szCs w:val="14"/>
              </w:rPr>
              <w:t xml:space="preserve"> and gambling industries in Australia</w:t>
            </w:r>
          </w:p>
        </w:tc>
        <w:tc>
          <w:tcPr>
            <w:tcW w:w="318" w:type="pct"/>
          </w:tcPr>
          <w:p w14:paraId="19223F4A" w14:textId="6FE3F175"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51E2B467" w14:textId="16B2FAFF"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012FA7F1" w14:textId="6B53D0A4"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h, </w:t>
            </w:r>
            <w:proofErr w:type="spellStart"/>
            <w:r w:rsidRPr="00A61595">
              <w:rPr>
                <w:rFonts w:ascii="Arial" w:hAnsi="Arial" w:cs="Arial"/>
                <w:color w:val="000000"/>
                <w:sz w:val="14"/>
                <w:szCs w:val="14"/>
              </w:rPr>
              <w:t>i</w:t>
            </w:r>
            <w:proofErr w:type="spellEnd"/>
          </w:p>
        </w:tc>
        <w:tc>
          <w:tcPr>
            <w:tcW w:w="229" w:type="pct"/>
          </w:tcPr>
          <w:p w14:paraId="1C4A77D5" w14:textId="097812C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3A7F720D" w14:textId="5E74FEAF" w:rsidTr="00380533">
        <w:trPr>
          <w:trHeight w:val="285"/>
        </w:trPr>
        <w:tc>
          <w:tcPr>
            <w:tcW w:w="715" w:type="pct"/>
            <w:gridSpan w:val="2"/>
            <w:shd w:val="clear" w:color="auto" w:fill="auto"/>
            <w:noWrap/>
            <w:hideMark/>
          </w:tcPr>
          <w:p w14:paraId="4813C941" w14:textId="706AB283"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Robson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{"citationID":"a20nbakbm8a","properties":{"formattedCitation":"(170)","plainCitation":"(170)","noteIndex":0},"citationItems":[{"id":17234,"uris":["http://zotero.org/groups/2477744/items/M3MS8GRG"],"itemData":{"id":17234,"type":"article-journal","abstract":"Background: The Horsemeat Scandal of 2013 highlighted vulnerabilities within the European beef supply chain. The report resulted in mass product recalls across Europe, a downturn in beef sales, and subsequent economic losses for genuine actors in the supply chain. The aim of this review was to improve understanding of beef supply chain vulnerability via the use of trend analysis, to enable the formulation of strategies that may help in the prevention and detection of fraud in beef products, and facilitate greater protection for consumers and industry in the future. Scope and approach: Relevant Food notifications published in the Rapid Alert System for Food and Feed (RASFF) and HorizonScan in 1997–2017 were extracted and analysed to determine their overall pattern. Frauds/adulterations were categorized by the type of fraud, their location in the food production chain, the notifying country and the origin of the food. Conclusions: Counterfeiting was the most common type of fraud in the beef industry; it accounted for 42.9% of all reports documented. When reports were classified by area in the supply chain in the report occurred, 36.4% of all cases were attributed to primary processing, of which 95.5% were counterfeiting cases. Counterfeiting included products manufactured/packed on unapproved premises, or without appropriate inspection or documentation, as well as products issued with fraudulent health certificates. Thus we conclude counterfeit product was found to be the biggest threat to the beef supply chain in relation to fraud type. © 2020 Elsevier Ltd","container-title":"Food Control","DOI":"10.1016/j.foodcont.2020.107310","journalAbbreviation":"Food Control","title":"A 20-year analysis of reported food fraud in the global beef supply chain","URL":"https://www.scopus.com/inward/record.uri?eid=2-s2.0-85084356592&amp;doi=10.1016%2fj.foodcont.2020.107310&amp;partnerID=40&amp;md5=a1150fff8c25786fd298dab35764eddc","volume":"116","author":[{"family":"Robson","given":"K."},{"family":"Dean","given":"M."},{"family":"Brooks","given":"S."},{"family":"Haughey","given":"S."},{"family":"Elliott","given":"C."}],"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(170)</w:t>
            </w:r>
            <w:r w:rsidRPr="00A61595">
              <w:rPr>
                <w:rFonts w:ascii="Arial" w:eastAsia="Times New Roman" w:hAnsi="Arial" w:cs="Arial"/>
                <w:sz w:val="14"/>
                <w:szCs w:val="14"/>
              </w:rPr>
              <w:fldChar w:fldCharType="end"/>
            </w:r>
          </w:p>
        </w:tc>
        <w:tc>
          <w:tcPr>
            <w:tcW w:w="192" w:type="pct"/>
            <w:shd w:val="clear" w:color="auto" w:fill="auto"/>
            <w:noWrap/>
            <w:hideMark/>
          </w:tcPr>
          <w:p w14:paraId="3A1C9F7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4F59939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Understanding beef supply chain vulnerability to prevent fraud</w:t>
            </w:r>
          </w:p>
        </w:tc>
        <w:tc>
          <w:tcPr>
            <w:tcW w:w="318" w:type="pct"/>
          </w:tcPr>
          <w:p w14:paraId="495B67B9" w14:textId="0922A3CB"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52A7107A" w14:textId="10F25F24"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6E300437" w14:textId="3D38AAFD"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b, </w:t>
            </w:r>
            <w:proofErr w:type="spellStart"/>
            <w:r w:rsidRPr="00A61595">
              <w:rPr>
                <w:rFonts w:ascii="Arial" w:hAnsi="Arial" w:cs="Arial"/>
                <w:color w:val="000000"/>
                <w:sz w:val="14"/>
                <w:szCs w:val="14"/>
              </w:rPr>
              <w:t>i</w:t>
            </w:r>
            <w:proofErr w:type="spellEnd"/>
          </w:p>
        </w:tc>
        <w:tc>
          <w:tcPr>
            <w:tcW w:w="229" w:type="pct"/>
          </w:tcPr>
          <w:p w14:paraId="431EA166" w14:textId="42048D9E"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5493433" w14:textId="43B9BAD8" w:rsidTr="00380533">
        <w:trPr>
          <w:trHeight w:val="285"/>
        </w:trPr>
        <w:tc>
          <w:tcPr>
            <w:tcW w:w="715" w:type="pct"/>
            <w:gridSpan w:val="2"/>
            <w:shd w:val="clear" w:color="auto" w:fill="auto"/>
            <w:noWrap/>
            <w:hideMark/>
          </w:tcPr>
          <w:p w14:paraId="46473C08" w14:textId="422F38F0"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Rocchi</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{"citationID":"a1cc6micl04","properties":{"formattedCitation":"(171)","plainCitation":"(171)","noteIndex":0},"citationItems":[{"id":17233,"uris":["http://zotero.org/groups/2477744/items/SG8H292Y"],"itemData":{"id":17233,"type":"article-journal","abstract":"This paper proposes a social accounting matrix (SAM)-based, counterfactual approach to assess the economy-wide impact of food fraud in a given country and applies it to the Italian economy. The empirical application uses primary data collected by the authority in charge of the monitoring and repression of fraud in food value chains between the years 2007 and 2015. This is a unique dataset to analyze the issue, although it includes only data on food fraud within the country. The results of the SAM simulations show that the share of economy directly and indirectly linked to the supply of irregular food products accounts for 0.5% of the total value of output and is able to activate up to 156 thousand labor units. The net impact of food fraud on output and employment in the whole economy is negative, with losses averaging up to 1.8 billion euros of output and of 20,000 jobs per year, with a relative impact significantly larger in agriculture than in the food industry. These figures reveal an intrinsic fragility of the agri-food system, especially in those subsectors featuring relatively large price elasticities such as quality products (e.g., wine, olive oil, cheese). The overall conclusion is that food fraud is not only a source of unfair competition to regular production activities but also has an overall contractionary impact on the whole economy due to its directly unproductive rent-seeking nature. [EconLit classifications: C67, L66, Q13]. © 2020 Wiley Periodicals, Inc.","container-title":"Agribusiness","DOI":"10.1002/agr.21633","issue":"2","journalAbbreviation":"Agribusiness","page":"167-191","title":"Assessing the economy-wide impact of food fraud: A SAM-based counterfactual approach","URL":"https://www.scopus.com/inward/record.uri?eid=2-s2.0-85077846931&amp;doi=10.1002%2fagr.21633&amp;partnerID=40&amp;md5=cc8ff4c1bc479da624dfa3f22043e88a","volume":"36","author":[{"family":"Rocchi","given":"B."},{"family":"Romano","given":"D."},{"family":"Sadiddin","given":"A."},{"family":"Stefani","given":"G."}],"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(171)</w:t>
            </w:r>
            <w:r w:rsidRPr="00A61595">
              <w:rPr>
                <w:rFonts w:ascii="Arial" w:eastAsia="Times New Roman" w:hAnsi="Arial" w:cs="Arial"/>
                <w:sz w:val="14"/>
                <w:szCs w:val="14"/>
              </w:rPr>
              <w:fldChar w:fldCharType="end"/>
            </w:r>
          </w:p>
        </w:tc>
        <w:tc>
          <w:tcPr>
            <w:tcW w:w="192" w:type="pct"/>
            <w:shd w:val="clear" w:color="auto" w:fill="auto"/>
            <w:noWrap/>
            <w:hideMark/>
          </w:tcPr>
          <w:p w14:paraId="35D6DA8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01A4AB3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Evaluation of the socioeconomic impact of food fraud</w:t>
            </w:r>
          </w:p>
        </w:tc>
        <w:tc>
          <w:tcPr>
            <w:tcW w:w="318" w:type="pct"/>
          </w:tcPr>
          <w:p w14:paraId="4741BF25" w14:textId="4332E83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404EBDA4" w14:textId="13035316"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7CE1632" w14:textId="019722F3"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g, h, </w:t>
            </w: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283638EF" w14:textId="1E248159" w:rsidR="000B21B4" w:rsidRPr="00A61595" w:rsidRDefault="000B21B4" w:rsidP="00380533">
            <w:pPr>
              <w:rPr>
                <w:rFonts w:ascii="Arial" w:hAnsi="Arial" w:cs="Arial"/>
                <w:sz w:val="14"/>
                <w:szCs w:val="14"/>
              </w:rPr>
            </w:pPr>
            <w:r w:rsidRPr="00A61595">
              <w:rPr>
                <w:rFonts w:ascii="Arial" w:hAnsi="Arial" w:cs="Arial"/>
                <w:color w:val="000000"/>
                <w:sz w:val="14"/>
                <w:szCs w:val="14"/>
              </w:rPr>
              <w:t>a, f</w:t>
            </w:r>
          </w:p>
        </w:tc>
      </w:tr>
      <w:tr w:rsidR="000B21B4" w:rsidRPr="00A61595" w14:paraId="0F68DEC9" w14:textId="7982E83B" w:rsidTr="00380533">
        <w:trPr>
          <w:trHeight w:val="285"/>
        </w:trPr>
        <w:tc>
          <w:tcPr>
            <w:tcW w:w="715" w:type="pct"/>
            <w:gridSpan w:val="2"/>
            <w:shd w:val="clear" w:color="auto" w:fill="auto"/>
            <w:noWrap/>
            <w:hideMark/>
          </w:tcPr>
          <w:p w14:paraId="04644C7E" w14:textId="645B2A5C"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Ruslan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{"citationID":"ae67d1r19o","properties":{"formattedCitation":"(172)","plainCitation":"(172)","noteIndex":0},"citationItems":[{"id":17232,"uris":["http://zotero.org/groups/2477744/items/WJEGI7F6"],"itemData":{"id":17232,"type":"article-journal","abstract":"Halal is an important aspect of food selection as it is one's part to obey religious obligations and commandments. Since the halal food industry covers the farm-to-table operations, therefore unwanted practices which culminate to halal food fraud along food supply chain has become a major concern among Muslim consumers. This is because food fraud is a subjective concept, hence objective verification of fraudulent activities and the extent of fraud could be difficult to verify. The current study was therefore carried out to determine Muslim consumers' awareness and perceptions towards halal food fraud. A total of 352 respondents from Klang Valley areas were randomly selected to be the target respondents in this study. The data obtained were analyzed using descriptive analysis, chi-square analysis, and factor analysis. The results indicated that most of the respondents (96.9%) in Klang Valley areas were aware of halal food fraud issues. The findings also showed that gender, age, education level, and occupation had significant relationships with awareness of halal food fraud. Three factors were classified as influential to Muslim consumers' perception towards halal food fraud namely halal logo, labeling and packaging, authorities' exposure and enforcement as well as consumer attitude. The study recommended that Islamic authorities should continuously seek ways to improve and educate consumers towards halal food fraud while the government should further strengthen their important role of enforcing law and penalties to irresponsible industry players. © All Rights Reserved.","container-title":"International Food Research Journal","journalAbbreviation":"International Food Research Journal","page":"S87-S96","title":"Muslim consumers' awareness and perception of Halal food fraud","URL":"https://www.scopus.com/inward/record.uri?eid=2-s2.0-85067253987&amp;partnerID=40&amp;md5=8f29c0243978555947cf3f0d7e053ae9","volume":"25","author":[{"family":"Ruslan","given":"A.A.A."},{"family":"Kamarulzaman","given":"N.H."},{"family":"Sanny","given":"M."}],"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(172)</w:t>
            </w:r>
            <w:r w:rsidRPr="00A61595">
              <w:rPr>
                <w:rFonts w:ascii="Arial" w:eastAsia="Times New Roman" w:hAnsi="Arial" w:cs="Arial"/>
                <w:sz w:val="14"/>
                <w:szCs w:val="14"/>
              </w:rPr>
              <w:fldChar w:fldCharType="end"/>
            </w:r>
          </w:p>
        </w:tc>
        <w:tc>
          <w:tcPr>
            <w:tcW w:w="192" w:type="pct"/>
            <w:shd w:val="clear" w:color="auto" w:fill="auto"/>
            <w:noWrap/>
            <w:hideMark/>
          </w:tcPr>
          <w:p w14:paraId="16D7331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30A39A7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Muslim consumers’ awareness and perceptions towards halal food fraud</w:t>
            </w:r>
          </w:p>
        </w:tc>
        <w:tc>
          <w:tcPr>
            <w:tcW w:w="318" w:type="pct"/>
          </w:tcPr>
          <w:p w14:paraId="2E140DEB" w14:textId="0AB83950"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5266B095" w14:textId="587B6696"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8913785" w14:textId="111B6EFF"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b, </w:t>
            </w:r>
            <w:proofErr w:type="spellStart"/>
            <w:r w:rsidRPr="00A61595">
              <w:rPr>
                <w:rFonts w:ascii="Arial" w:hAnsi="Arial" w:cs="Arial"/>
                <w:color w:val="000000"/>
                <w:sz w:val="14"/>
                <w:szCs w:val="14"/>
              </w:rPr>
              <w:t>i</w:t>
            </w:r>
            <w:proofErr w:type="spellEnd"/>
          </w:p>
        </w:tc>
        <w:tc>
          <w:tcPr>
            <w:tcW w:w="229" w:type="pct"/>
          </w:tcPr>
          <w:p w14:paraId="060BB8AB" w14:textId="647DF2B1"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6CE27A23" w14:textId="4ED46A22" w:rsidTr="00380533">
        <w:trPr>
          <w:trHeight w:val="285"/>
        </w:trPr>
        <w:tc>
          <w:tcPr>
            <w:tcW w:w="715" w:type="pct"/>
            <w:gridSpan w:val="2"/>
            <w:shd w:val="clear" w:color="auto" w:fill="auto"/>
            <w:noWrap/>
            <w:hideMark/>
          </w:tcPr>
          <w:p w14:paraId="4537708E" w14:textId="1A9CDFFD"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Sam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{"citationID":"a239kuv4d5f","properties":{"formattedCitation":"(173)","plainCitation":"(173)","noteIndex":0},"citationItems":[{"id":17047,"uris":["http://zotero.org/groups/2477744/items/W9X5JZRF"],"itemData":{"id":17047,"type":"article-journal","abstract":"Transfer of environmental policy from one country to another without consideration for the contextual differences (e.g. socio-cultural, economic) between the countries can be a barrier that prevents adoption, or limits the implementation and effectiveness of that policy. In this study, we investigate the socio-cultural preferences of stakeholders in the Niger Delta to understand how different stakeholder groups value socio-cultural differences. We used a modified, mixed-methods stakeholder engagement approach to capture this information, combining stakeholder workshops and interviews. Community groups, regulators, experts in contaminated land management, and oil exploration operators participated in this study, and our results revealed a general consensus concerning the ranked priority of issues. Top issues included water quality, soil quality for agriculture, food production, and human health and wellbeing. Despite this consensus, differences in how stakeholder groups arrived at their rankings might pose a challenge for policy makers. Other potential barriers to effective policy transfer identified in this study include political and cultural differences, regulatory structure, and corruption. In sum, this study provides insights about the socio-cultural preferences of stakeholders from the Niger Delta; information that could be used by policy makers to contextualise contaminated land management policy transfer.","container-title":"Environmental Development","DOI":"10.1016/j.envdev.2017.06.005","journalAbbreviation":"Environmental Development","page":"50-62","title":"Use of stakeholder engagement to support policy transfer: A case of contaminated land management in Nigeria","volume":"24","author":[{"family":"Sam","given":"Kabari"},{"family":"Coulon","given":"Frédéric"},{"family":"Prpich","given":"George"}],"issued":{"date-parts":[["2017"]]}}}],"schema":"https://github.com/citation-style-language/schema/raw/master/csl-citation.json"}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(173)</w:t>
            </w:r>
            <w:r w:rsidRPr="00A61595">
              <w:rPr>
                <w:rFonts w:ascii="Arial" w:eastAsia="Times New Roman" w:hAnsi="Arial" w:cs="Arial"/>
                <w:sz w:val="14"/>
                <w:szCs w:val="14"/>
              </w:rPr>
              <w:fldChar w:fldCharType="end"/>
            </w:r>
          </w:p>
        </w:tc>
        <w:tc>
          <w:tcPr>
            <w:tcW w:w="192" w:type="pct"/>
            <w:shd w:val="clear" w:color="auto" w:fill="auto"/>
            <w:noWrap/>
            <w:hideMark/>
          </w:tcPr>
          <w:p w14:paraId="7AE5BF8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6D7998A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Contaminated stakeholder land management in Nigeria</w:t>
            </w:r>
          </w:p>
        </w:tc>
        <w:tc>
          <w:tcPr>
            <w:tcW w:w="318" w:type="pct"/>
          </w:tcPr>
          <w:p w14:paraId="45F88187" w14:textId="0960A163" w:rsidR="000B21B4" w:rsidRPr="00A61595" w:rsidRDefault="000B21B4" w:rsidP="00380533">
            <w:pPr>
              <w:rPr>
                <w:rFonts w:ascii="Arial" w:hAnsi="Arial" w:cs="Arial"/>
                <w:sz w:val="14"/>
                <w:szCs w:val="14"/>
              </w:rPr>
            </w:pPr>
            <w:r w:rsidRPr="00A61595">
              <w:rPr>
                <w:rFonts w:ascii="Arial" w:hAnsi="Arial" w:cs="Arial"/>
                <w:color w:val="000000"/>
                <w:sz w:val="14"/>
                <w:szCs w:val="14"/>
              </w:rPr>
              <w:t>d, e</w:t>
            </w:r>
          </w:p>
        </w:tc>
        <w:tc>
          <w:tcPr>
            <w:tcW w:w="306" w:type="pct"/>
          </w:tcPr>
          <w:p w14:paraId="698DF673" w14:textId="5B1C07B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063494E3" w14:textId="5D60CC86"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g, h, </w:t>
            </w:r>
            <w:proofErr w:type="spellStart"/>
            <w:r w:rsidRPr="00A61595">
              <w:rPr>
                <w:rFonts w:ascii="Arial" w:hAnsi="Arial" w:cs="Arial"/>
                <w:color w:val="000000"/>
                <w:sz w:val="14"/>
                <w:szCs w:val="14"/>
              </w:rPr>
              <w:t>i</w:t>
            </w:r>
            <w:proofErr w:type="spellEnd"/>
          </w:p>
        </w:tc>
        <w:tc>
          <w:tcPr>
            <w:tcW w:w="229" w:type="pct"/>
          </w:tcPr>
          <w:p w14:paraId="2A408CA7" w14:textId="659310BC"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014A763" w14:textId="55F5F741" w:rsidTr="00380533">
        <w:trPr>
          <w:trHeight w:val="285"/>
        </w:trPr>
        <w:tc>
          <w:tcPr>
            <w:tcW w:w="715" w:type="pct"/>
            <w:gridSpan w:val="2"/>
            <w:shd w:val="clear" w:color="auto" w:fill="auto"/>
            <w:noWrap/>
            <w:hideMark/>
          </w:tcPr>
          <w:p w14:paraId="47747C89" w14:textId="0DCF4E5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Schaefer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{"citationID":"a2hejbiup8q","properties":{"formattedCitation":"(174)","plainCitation":"(174)","noteIndex":0},"citationItems":[{"id":17231,"uris":["http://zotero.org/groups/2477744/items/ZJC3A4E9"],"itemData":{"id":17231,"type":"article-journal","abstract":"This research investigates whether and how the 2013 Horsemeat Scandal has altered European food retailers’ efforts to mitigate fraud in the international agri-food supply chain. We construct an econometric model that matches fraud alert data from the European Union (EU) Rapid Alert System for Food and Feed (RASFF) from 2006 to 2016 with annual data on bilateral trade flows. We find that—prior to the horsemeat scandal—detection of fraud along the supply chain induced a small amount of trade diversion toward third-country sources, but did not substantially affect total trade into the EU. In contrast, in the years after the scandal, the detection of fraud by international suppliers was substantially trade destructive. Detection of fraud reduced trade, not only with the country from which the fraudulent product originated, but also from third-country exporters of the same product. These findings extend beyond trade in meat products and to importing countries outside Western and Northern Europe. © 2018 Elsevier Ltd","container-title":"Food Policy","DOI":"10.1016/j.foodpol.2018.10.002","journalAbbreviation":"Food Policy","page":"48-57","title":"International sourcing decisions in the wake of a food scandal","URL":"https://www.scopus.com/inward/record.uri?eid=2-s2.0-85054435511&amp;doi=10.1016%2fj.foodpol.2018.10.002&amp;partnerID=40&amp;md5=04e7b46271d851302ac4c20b406dbae3","volume":"81","author":[{"family":"Schaefer","given":"K.A."},{"family":"Scheitrum","given":"D."},{"family":"Nes","given":"K."}],"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(174)</w:t>
            </w:r>
            <w:r w:rsidRPr="00A61595">
              <w:rPr>
                <w:rFonts w:ascii="Arial" w:eastAsia="Times New Roman" w:hAnsi="Arial" w:cs="Arial"/>
                <w:sz w:val="14"/>
                <w:szCs w:val="14"/>
              </w:rPr>
              <w:fldChar w:fldCharType="end"/>
            </w:r>
          </w:p>
        </w:tc>
        <w:tc>
          <w:tcPr>
            <w:tcW w:w="192" w:type="pct"/>
            <w:shd w:val="clear" w:color="auto" w:fill="auto"/>
            <w:noWrap/>
            <w:hideMark/>
          </w:tcPr>
          <w:p w14:paraId="5ADA7C4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2F8DDAEE"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effect of the Horsemeat Scandal on European food retailers’ efforts to mitigate fraud</w:t>
            </w:r>
          </w:p>
        </w:tc>
        <w:tc>
          <w:tcPr>
            <w:tcW w:w="318" w:type="pct"/>
          </w:tcPr>
          <w:p w14:paraId="581B5539" w14:textId="6A8E6C0D"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2BA15907" w14:textId="74D425EE"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67E13BE8" w14:textId="09C01B4B"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229" w:type="pct"/>
          </w:tcPr>
          <w:p w14:paraId="46C40F5E" w14:textId="29E3BB3A" w:rsidR="000B21B4" w:rsidRPr="00A61595" w:rsidRDefault="000B21B4" w:rsidP="00380533">
            <w:pPr>
              <w:rPr>
                <w:rFonts w:ascii="Arial" w:hAnsi="Arial" w:cs="Arial"/>
                <w:sz w:val="14"/>
                <w:szCs w:val="14"/>
              </w:rPr>
            </w:pPr>
            <w:r w:rsidRPr="00A61595">
              <w:rPr>
                <w:rFonts w:ascii="Arial" w:hAnsi="Arial" w:cs="Arial"/>
                <w:color w:val="000000"/>
                <w:sz w:val="14"/>
                <w:szCs w:val="14"/>
              </w:rPr>
              <w:t>a, e, f</w:t>
            </w:r>
          </w:p>
        </w:tc>
      </w:tr>
      <w:tr w:rsidR="000B21B4" w:rsidRPr="00A61595" w14:paraId="079353DC" w14:textId="209275A4" w:rsidTr="00380533">
        <w:trPr>
          <w:trHeight w:val="285"/>
        </w:trPr>
        <w:tc>
          <w:tcPr>
            <w:tcW w:w="715" w:type="pct"/>
            <w:gridSpan w:val="2"/>
            <w:shd w:val="clear" w:color="auto" w:fill="auto"/>
            <w:noWrap/>
            <w:hideMark/>
          </w:tcPr>
          <w:p w14:paraId="63667361" w14:textId="312F08D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Sebhatu</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{"citationID":"ad9a9o1l2r","properties":{"formattedCitation":"(175)","plainCitation":"(175)","noteIndex":0},"citationItems":[{"id":17230,"uris":["http://zotero.org/groups/2477744/items/W5URWT6C"],"itemData":{"id":17230,"type":"article-journal","abstract":"Agricultural cooperatives are seen as an efficient way for smallholder farmers to create bargaining power in order to achieve poverty reduction and food security. However, the success of these cooperatives depends on their ability to maintain their social capital, which is at the core of collective action. A few studies have addressed issues of member participation, commitment, and trust, yet less is known about rural cooperatives in developing countries as a social organization. It is also unclear whether a relationship exists between cooperative size and the incidence of conflict, fraud, and distrust. Using unique data collected from 511 agricultural cooperatives in 12 districts of Tigray region in northern Ethiopia, this paper examines the effects of cooperative size on conflict, fraud, and distrust. We used instrumental variables (IV) probit estimation techniques, accounting for endogeneity of membership size, to confirm that cooperative size does affect the occurrence of conflict, fraud, and trust. The results also indicate that other influencing factors include: cooperative age, number of employees, payment of dividends based on transaction volume, and heterogeneity of member goals. © 2020 Elsevier Ltd","container-title":"Journal of Co-operative Organization and Management","DOI":"10.1016/j.jcom.2020.100106","issue":"1","journalAbbreviation":"Journal of Co-operative Organization and Management","title":"Conflict, fraud, and distrust in Ethiopian agricultural cooperatives","URL":"https://www.scopus.com/inward/record.uri?eid=2-s2.0-85083775610&amp;doi=10.1016%2fj.jcom.2020.100106&amp;partnerID=40&amp;md5=77557a7f67b12cbaa0bd1018414337ab","volume":"8","author":[{"family":"Sebhatu","given":"K.T."},{"family":"Gezahegn","given":"T.W."},{"family":"Berhanu","given":"T."},{"family":"Maertens","given":"M."},{"family":"Van Passel","given":"S."},{"family":"D'Haese","given":"M."}],"issued":{"date-parts":[["2020"]]}}}],"schema":"https://github.com/citation-style-language/schema/raw/master/csl-citation.json"}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(175)</w:t>
            </w:r>
            <w:r w:rsidRPr="00A61595">
              <w:rPr>
                <w:rFonts w:ascii="Arial" w:eastAsia="Times New Roman" w:hAnsi="Arial" w:cs="Arial"/>
                <w:sz w:val="14"/>
                <w:szCs w:val="14"/>
              </w:rPr>
              <w:fldChar w:fldCharType="end"/>
            </w:r>
          </w:p>
        </w:tc>
        <w:tc>
          <w:tcPr>
            <w:tcW w:w="192" w:type="pct"/>
            <w:shd w:val="clear" w:color="auto" w:fill="auto"/>
            <w:noWrap/>
            <w:hideMark/>
          </w:tcPr>
          <w:p w14:paraId="6C65382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65F51E2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Relationships between membership size and the occurrence of conflict, fraud, and distrust within agricultural cooperatives</w:t>
            </w:r>
          </w:p>
        </w:tc>
        <w:tc>
          <w:tcPr>
            <w:tcW w:w="318" w:type="pct"/>
          </w:tcPr>
          <w:p w14:paraId="2DB7D8B0" w14:textId="7D17138B"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0100B60D" w14:textId="7955B361"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1354C999" w14:textId="67CF820D" w:rsidR="000B21B4" w:rsidRPr="00A61595" w:rsidRDefault="000B21B4" w:rsidP="00380533">
            <w:pPr>
              <w:rPr>
                <w:rFonts w:ascii="Arial" w:hAnsi="Arial" w:cs="Arial"/>
                <w:sz w:val="14"/>
                <w:szCs w:val="14"/>
              </w:rPr>
            </w:pPr>
            <w:r w:rsidRPr="00A61595">
              <w:rPr>
                <w:rFonts w:ascii="Arial" w:hAnsi="Arial" w:cs="Arial"/>
                <w:color w:val="000000"/>
                <w:sz w:val="14"/>
                <w:szCs w:val="14"/>
              </w:rPr>
              <w:t>a, g</w:t>
            </w:r>
          </w:p>
        </w:tc>
        <w:tc>
          <w:tcPr>
            <w:tcW w:w="229" w:type="pct"/>
          </w:tcPr>
          <w:p w14:paraId="36C6A0E4" w14:textId="1EBD29A1"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4F63A3A9" w14:textId="59F2D775" w:rsidTr="00380533">
        <w:trPr>
          <w:trHeight w:val="285"/>
        </w:trPr>
        <w:tc>
          <w:tcPr>
            <w:tcW w:w="715" w:type="pct"/>
            <w:gridSpan w:val="2"/>
            <w:shd w:val="clear" w:color="auto" w:fill="auto"/>
            <w:noWrap/>
            <w:hideMark/>
          </w:tcPr>
          <w:p w14:paraId="3A04C92F" w14:textId="37BB7839"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Shareef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{"citationID":"afd1ncn3i3","properties":{"formattedCitation":"(176)","plainCitation":"(176)","noteIndex":0},"citationItems":[{"id":18610,"uris":["http://zotero.org/groups/2477744/items/MC9R527L"],"itemData":{"id":18610,"type":"article-journal","abstract":"The complexities surrounding the supply chain logistics for perishable commodities within Bangladesh are extensive. Poor infrastructure, fragmented transportation and corruption compound the operational complexities within this emerging market. This case study analyses many of the day-to-day operational challenges and tensions inherent within Micro-Small-Medium Enterprises (MSMEs) forming the backbone of the Bangladesh socio-economic structure. The drive for transition toward greater levels of sustainability and corporate responsibility is problematic, affecting many levels within an extended and fragmented supply chain. The selected case study highlights the `lived in' geographical, environmental, economic and cultural factors that impact the ability of emerging market enterprises to remain profitable within emergency scenarios whilst transitioning toward a more sustainable model. This study, whilst detailing many of the tensions and critical issues facing MSMEs, highlights the benefits of direct Government intervention, criticality of a leaner and more efficient supply chain and reassessment of financial incentives to drive the transition to a more efficient and sustainable economy.","container-title":"PRODUCTION PLANNING &amp; CONTROL","DOI":"10.1080/09537287.2019.1695917","journalAbbreviation":"PRODUCTION PLANNING &amp; CONTROL","title":"The inherent tensions within sustainable supply chains: a case study from Bangladesh","author":[{"family":"Shareef","given":"Mahmud Akhter"},{"family":"Dwivedi","given":"Yogesh K"},{"family":"Kumar","given":"Vinod"},{"family":"Mahmud","given":"Rasheek"},{"family":"Hughes","given":"D Laurie"},{"family":"Rana","given":"Nripendra P"},{"family":"Kizgin","given":"Hatice"}]}}],"schema":"https://github.com/citation-style-language/schema/raw/master/csl-citation.json"}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(176)</w:t>
            </w:r>
            <w:r w:rsidRPr="00A61595">
              <w:rPr>
                <w:rFonts w:ascii="Arial" w:eastAsia="Times New Roman" w:hAnsi="Arial" w:cs="Arial"/>
                <w:sz w:val="14"/>
                <w:szCs w:val="14"/>
              </w:rPr>
              <w:fldChar w:fldCharType="end"/>
            </w:r>
          </w:p>
        </w:tc>
        <w:tc>
          <w:tcPr>
            <w:tcW w:w="192" w:type="pct"/>
            <w:shd w:val="clear" w:color="auto" w:fill="auto"/>
            <w:noWrap/>
            <w:hideMark/>
          </w:tcPr>
          <w:p w14:paraId="64A6D4A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590C7EA7"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Complexities surrounding the supply chain </w:t>
            </w:r>
            <w:bookmarkStart w:id="7" w:name="_Int_SSYnMpjT"/>
            <w:r w:rsidRPr="00A61595">
              <w:rPr>
                <w:rFonts w:ascii="Arial" w:eastAsia="Times New Roman" w:hAnsi="Arial" w:cs="Arial"/>
                <w:color w:val="000000" w:themeColor="text1"/>
                <w:sz w:val="14"/>
                <w:szCs w:val="14"/>
              </w:rPr>
              <w:t>logistics</w:t>
            </w:r>
            <w:bookmarkEnd w:id="7"/>
            <w:r w:rsidRPr="00A61595">
              <w:rPr>
                <w:rFonts w:ascii="Arial" w:eastAsia="Times New Roman" w:hAnsi="Arial" w:cs="Arial"/>
                <w:color w:val="000000" w:themeColor="text1"/>
                <w:sz w:val="14"/>
                <w:szCs w:val="14"/>
              </w:rPr>
              <w:t xml:space="preserve"> for perishable commodities</w:t>
            </w:r>
          </w:p>
        </w:tc>
        <w:tc>
          <w:tcPr>
            <w:tcW w:w="318" w:type="pct"/>
          </w:tcPr>
          <w:p w14:paraId="544098C4" w14:textId="6C5CF4B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D317B4F" w14:textId="452606F9"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E5452F2" w14:textId="5EE6524D"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w:t>
            </w: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03FF1889" w14:textId="44F037A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7A12A4E9" w14:textId="4E92E54B" w:rsidTr="00380533">
        <w:trPr>
          <w:trHeight w:val="285"/>
        </w:trPr>
        <w:tc>
          <w:tcPr>
            <w:tcW w:w="715" w:type="pct"/>
            <w:gridSpan w:val="2"/>
            <w:shd w:val="clear" w:color="auto" w:fill="auto"/>
            <w:noWrap/>
            <w:hideMark/>
          </w:tcPr>
          <w:p w14:paraId="3C8A5FD0" w14:textId="7ADC9D83"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Sheingate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{"citationID":"a2j05ail89t","properties":{"formattedCitation":"(177)","plainCitation":"(177)","noteIndex":0},"citationItems":[{"id":18783,"uris":["http://zotero.org/groups/2477744/items/YFBHNGDA"],"itemData":{"id":18783,"type":"article-journal","abstract":"This paper examines post-exceptionalism in US food and agriculture policy. Using data on lobbying activity and campaign contributions, we find that corporations and organizations representing the banking industry, manufacturers of agricultural inputs, food processors, and the retail food sector allocate significant financial resources trying to influence food and agriculture policy. Although traditional peak associations of farmers and organizations representing the growers of specific commodities remain an important constituency in policy debates, agriculture is no longer a compartmentalized policy domain dominated by producer interests. Instead, food and agriculture resemble other domains of US policy in which corporations and trade associations leverage advantages in money and personnel to protect their bottom line. © 2017 Informa UK Limited, trading as Taylor &amp; Francis Group.","container-title":"Journal of European Public Policy","DOI":"10.1080/13501763.2017.1334082","issue":"11","journalAbbreviation":"Journal of European Public Policy","page":"1641-1657","title":"Post-exceptionalism and corporate interests in US agricultural policy","URL":"https://www.scopus.com/inward/record.uri?eid=2-s2.0-85020735914&amp;doi=10.1080%2f13501763.2017.1334082&amp;partnerID=40&amp;md5=8e897464b92fb5a5e921536d389159df","volume":"24","author":[{"family":"Sheingate","given":"A."},{"family":"Scatterday","given":"A."},{"family":"Martin","given":"B."},{"family":"Nachman","given":"K."}],"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(177)</w:t>
            </w:r>
            <w:r w:rsidRPr="00A61595">
              <w:rPr>
                <w:rFonts w:ascii="Arial" w:eastAsia="Times New Roman" w:hAnsi="Arial" w:cs="Arial"/>
                <w:sz w:val="14"/>
                <w:szCs w:val="14"/>
              </w:rPr>
              <w:fldChar w:fldCharType="end"/>
            </w:r>
          </w:p>
        </w:tc>
        <w:tc>
          <w:tcPr>
            <w:tcW w:w="192" w:type="pct"/>
            <w:shd w:val="clear" w:color="auto" w:fill="auto"/>
            <w:noWrap/>
            <w:hideMark/>
          </w:tcPr>
          <w:p w14:paraId="238A8B1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4E0D94C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Post-exceptionalism and corporate interests in US agricultural policy</w:t>
            </w:r>
          </w:p>
        </w:tc>
        <w:tc>
          <w:tcPr>
            <w:tcW w:w="318" w:type="pct"/>
          </w:tcPr>
          <w:p w14:paraId="747344DC" w14:textId="03753FB0"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0525AB3B" w14:textId="4418EC99"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71" w:type="pct"/>
          </w:tcPr>
          <w:p w14:paraId="11269AED" w14:textId="0B398320" w:rsidR="000B21B4" w:rsidRPr="00A61595" w:rsidRDefault="000B21B4" w:rsidP="00380533">
            <w:pPr>
              <w:rPr>
                <w:rFonts w:ascii="Arial" w:hAnsi="Arial" w:cs="Arial"/>
                <w:sz w:val="14"/>
                <w:szCs w:val="14"/>
              </w:rPr>
            </w:pPr>
            <w:r w:rsidRPr="00A61595">
              <w:rPr>
                <w:rFonts w:ascii="Arial" w:hAnsi="Arial" w:cs="Arial"/>
                <w:color w:val="000000"/>
                <w:sz w:val="14"/>
                <w:szCs w:val="14"/>
              </w:rPr>
              <w:t>a, d</w:t>
            </w:r>
          </w:p>
        </w:tc>
        <w:tc>
          <w:tcPr>
            <w:tcW w:w="229" w:type="pct"/>
          </w:tcPr>
          <w:p w14:paraId="11123B2F" w14:textId="3868186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06D1635" w14:textId="0C7DD11D" w:rsidTr="00380533">
        <w:trPr>
          <w:trHeight w:val="285"/>
        </w:trPr>
        <w:tc>
          <w:tcPr>
            <w:tcW w:w="715" w:type="pct"/>
            <w:gridSpan w:val="2"/>
            <w:shd w:val="clear" w:color="auto" w:fill="auto"/>
            <w:noWrap/>
            <w:hideMark/>
          </w:tcPr>
          <w:p w14:paraId="384D6513" w14:textId="47EAA389"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Shinn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{"citationID":"a18hgu901lo","properties":{"formattedCitation":"(178)","plainCitation":"(178)","noteIndex":0},"citationItems":[{"id":18643,"uris":["http://zotero.org/groups/2477744/items/3GNPK977"],"itemData":{"id":18643,"type":"article-journal","abstract":"This investigation sprang from a yearlong immersion in post-conflict agricultural development environments in Herat Province Afghanistan and from observing an array of NGO development projects. The purpose was to understand better the viewpoints of Afghan opinion leaders regarding the adoption-integration of foreign agricultural development. Objectives included (a) the identification of perceived strengths of foreign agricultural development, (b) perceived weaknesses, (c) opportunities, (d) threats, (e) anomalies, and (f) incentives and barriers. The case method fit the qualitative research design, and IRB approved the protocols. Researchers selected 15 opinion leaders (OLs) based on their knowledge, experience, and positional responsibilities. An interview guide framed 13 open-ended questions. A researcher fluent in Farsi/Pashto/English assisted with each interview. The findings from 15 interviews emerged as 11 themes. Fourteen OLs recognized agriculture and natural resources as strengths for development. Opinion Leaders recognized government, infrastructure, and corruption as fundamental weaknesses. Opinion Leaders were slow to identify opportunities but generally identified opportunities to exploit labor, land, and water coupled with improving management and mechanization. They universally recognized threats related to personal security and safety but had difficulty separating internal weaknesses from external threats. Two anomalies emerged as incongruous expectations about Afghan government and foreign NGOs. Improving market chains and increasing governmental subsidies were incentives for development. The authors conclude that indigenous knowledge is a fundamental resource and a foundation for local-level decision making and sustainability. Opinion Leaders serve as channels to move the society from poverty and conflict toward security and peacebuilding. The tension between Maslow's hierarchy of needs and Max-Neef's interrelated and interactive needs should be explored. Reprinted by permission of the Editorial Board of the Journal of International Agricultural and Extension Education, the official peer-reviewed, refereed publication of the Association for International Agricultural and Extension Education. Permission to reprint is granted to the International Bibliography of the Social Sciences for indexing and archival purposes.","archive_location":"1124749266; 4357044","container-title":"Journal of international agricultural and extension education","issue":"2","journalAbbreviation":"Journal of international agricultural and extension education","title":"Understanding afghan opinion leaders' viewpoints about post-conflict foreign agricultural development: a case study in Herat Province, Afghanistan","URL":"http://ezproxy.library.yorku.ca/login?url=https://search.proquest.com/docview/1124749266?accountid=15182","volume":"19","author":[{"family":"Shinn","given":"Glen C"},{"family":"Richard","given":"K"},{"family":"Rahmat","given":"Ford"},{"family":"Gary","given":"Attaie"},{"family":"Briers","given":"E"}],"issued":{"date-parts":[["2012"]]}}}],"schema":"https://github.com/citation-style-language/schema/raw/master/csl-citation.json"}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(178)</w:t>
            </w:r>
            <w:r w:rsidRPr="00A61595">
              <w:rPr>
                <w:rFonts w:ascii="Arial" w:eastAsia="Times New Roman" w:hAnsi="Arial" w:cs="Arial"/>
                <w:sz w:val="14"/>
                <w:szCs w:val="14"/>
              </w:rPr>
              <w:fldChar w:fldCharType="end"/>
            </w:r>
          </w:p>
        </w:tc>
        <w:tc>
          <w:tcPr>
            <w:tcW w:w="192" w:type="pct"/>
            <w:shd w:val="clear" w:color="auto" w:fill="auto"/>
            <w:noWrap/>
            <w:hideMark/>
          </w:tcPr>
          <w:p w14:paraId="0C2B491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2012</w:t>
            </w:r>
          </w:p>
        </w:tc>
        <w:tc>
          <w:tcPr>
            <w:tcW w:w="2869" w:type="pct"/>
            <w:gridSpan w:val="4"/>
            <w:shd w:val="clear" w:color="auto" w:fill="auto"/>
            <w:noWrap/>
            <w:hideMark/>
          </w:tcPr>
          <w:p w14:paraId="335FE1FB" w14:textId="53E03568" w:rsidR="000B21B4" w:rsidRPr="00A61595" w:rsidRDefault="00362BF4" w:rsidP="00380533">
            <w:pPr>
              <w:spacing w:after="0" w:line="360" w:lineRule="auto"/>
              <w:rPr>
                <w:rFonts w:ascii="Arial" w:eastAsia="Times New Roman" w:hAnsi="Arial" w:cs="Arial"/>
                <w:color w:val="000000"/>
                <w:sz w:val="14"/>
                <w:szCs w:val="14"/>
                <w:lang w:eastAsia="en-AU"/>
              </w:rPr>
            </w:pPr>
            <w:r>
              <w:rPr>
                <w:rFonts w:ascii="Arial" w:eastAsia="Times New Roman" w:hAnsi="Arial" w:cs="Arial"/>
                <w:color w:val="000000" w:themeColor="text1"/>
                <w:sz w:val="14"/>
                <w:szCs w:val="14"/>
              </w:rPr>
              <w:t>“</w:t>
            </w:r>
            <w:r w:rsidR="000B21B4" w:rsidRPr="00A61595">
              <w:rPr>
                <w:rFonts w:ascii="Arial" w:eastAsia="Times New Roman" w:hAnsi="Arial" w:cs="Arial"/>
                <w:color w:val="000000" w:themeColor="text1"/>
                <w:sz w:val="14"/>
                <w:szCs w:val="14"/>
              </w:rPr>
              <w:t>General corruption</w:t>
            </w:r>
            <w:r>
              <w:rPr>
                <w:rFonts w:ascii="Arial" w:eastAsia="Times New Roman" w:hAnsi="Arial" w:cs="Arial"/>
                <w:color w:val="000000" w:themeColor="text1"/>
                <w:sz w:val="14"/>
                <w:szCs w:val="14"/>
              </w:rPr>
              <w:t>”</w:t>
            </w:r>
            <w:r w:rsidR="000B21B4" w:rsidRPr="00A61595">
              <w:rPr>
                <w:rFonts w:ascii="Arial" w:eastAsia="Times New Roman" w:hAnsi="Arial" w:cs="Arial"/>
                <w:color w:val="000000" w:themeColor="text1"/>
                <w:sz w:val="14"/>
                <w:szCs w:val="14"/>
              </w:rPr>
              <w:t xml:space="preserve"> post-conflict scenarios and the means of resolving agricultural problems</w:t>
            </w:r>
          </w:p>
        </w:tc>
        <w:tc>
          <w:tcPr>
            <w:tcW w:w="318" w:type="pct"/>
          </w:tcPr>
          <w:p w14:paraId="51CBEBE6" w14:textId="5AF7959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1725B066" w14:textId="6731F427"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BECE45E" w14:textId="02706E83"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6A019D2C" w14:textId="2E4C521C" w:rsidR="000B21B4" w:rsidRPr="00A61595" w:rsidRDefault="000B21B4" w:rsidP="00380533">
            <w:pPr>
              <w:rPr>
                <w:rFonts w:ascii="Arial" w:hAnsi="Arial" w:cs="Arial"/>
                <w:sz w:val="14"/>
                <w:szCs w:val="14"/>
              </w:rPr>
            </w:pPr>
            <w:r w:rsidRPr="00A61595">
              <w:rPr>
                <w:rFonts w:ascii="Arial" w:hAnsi="Arial" w:cs="Arial"/>
                <w:color w:val="000000"/>
                <w:sz w:val="14"/>
                <w:szCs w:val="14"/>
              </w:rPr>
              <w:t>c, e</w:t>
            </w:r>
          </w:p>
        </w:tc>
      </w:tr>
      <w:tr w:rsidR="000B21B4" w:rsidRPr="00A61595" w14:paraId="0C639EDA" w14:textId="40F6D0B2" w:rsidTr="00380533">
        <w:trPr>
          <w:trHeight w:val="285"/>
        </w:trPr>
        <w:tc>
          <w:tcPr>
            <w:tcW w:w="715" w:type="pct"/>
            <w:gridSpan w:val="2"/>
            <w:shd w:val="clear" w:color="auto" w:fill="auto"/>
            <w:noWrap/>
            <w:hideMark/>
          </w:tcPr>
          <w:p w14:paraId="73F98F52" w14:textId="30A2830E"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Shonhe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{"citationID":"a1tjl798lm8","properties":{"formattedCitation":"(179)","plainCitation":"(179)","noteIndex":0},"citationItems":[{"id":17229,"uris":["http://zotero.org/groups/2477744/items/QX4XTJU6"],"itemData":{"id":17229,"type":"article-journal","abstract":"The emergence of medium-scale farms is having important consequences for agricultural commercialisation across Africa. This article examines the role of medium-scale A2 farms allocated following Zimbabwe's land reform after 2000. While the existing literature focuses on changing farm size distributions, this article investigates processes of social differentiation across medium-scale farms, based on qualitative-quantitative studies in two contrasting sites (Mvurwi and Masvingo-Gutu). Diverse processes of accumulation are identified across commercial, aspiring and struggling farmers, and linked to contrasting patterns of agricultural production and sale, asset ownership, employment and finance. The ability to mobilise finance, influenced by the state of the macro-economy, as well as forms of political patronage, is identified as a crucial driver. Contrary to assertions that A2 farms are largely occupied by 'cronies' and that they are unproductive and under-utilised, a more differentiated picture emerges, with important implications for policy and the wider politics of Zimbabwe's countryside following land reform. Copyright © The Author(s), 2021. Published by Cambridge University Press.","container-title":"Journal of Modern African Studies","DOI":"10.1017/S0022278X20000385","issue":"4","journalAbbreviation":"Journal of Modern African Studies","page":"601-626","title":"Medium-scale commercial agriculture in Zimbabwe: The experience of A2 resettlement farms","URL":"https://www.scopus.com/inward/record.uri?eid=2-s2.0-85100597051&amp;doi=10.1017%2fS0022278X20000385&amp;partnerID=40&amp;md5=fe2c27ab4bac7d1b1282363f91254647","volume":"58","author":[{"family":"Shonhe","given":"T."},{"family":"Scoones","given":"I."},{"family":"Murimbarimba","given":"F."}],"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(179)</w:t>
            </w:r>
            <w:r w:rsidRPr="00A61595">
              <w:rPr>
                <w:rFonts w:ascii="Arial" w:eastAsia="Times New Roman" w:hAnsi="Arial" w:cs="Arial"/>
                <w:sz w:val="14"/>
                <w:szCs w:val="14"/>
              </w:rPr>
              <w:fldChar w:fldCharType="end"/>
            </w:r>
            <w:r w:rsidRPr="00A61595">
              <w:rPr>
                <w:rFonts w:ascii="Arial" w:eastAsia="Times New Roman" w:hAnsi="Arial" w:cs="Arial"/>
                <w:sz w:val="14"/>
                <w:szCs w:val="14"/>
              </w:rPr>
              <w:t xml:space="preserve"> </w:t>
            </w:r>
          </w:p>
        </w:tc>
        <w:tc>
          <w:tcPr>
            <w:tcW w:w="192" w:type="pct"/>
            <w:shd w:val="clear" w:color="auto" w:fill="auto"/>
            <w:noWrap/>
            <w:hideMark/>
          </w:tcPr>
          <w:p w14:paraId="47FC331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30D8E8B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Influence of corrupt institutions on medium-scale commercial agriculture</w:t>
            </w:r>
          </w:p>
        </w:tc>
        <w:tc>
          <w:tcPr>
            <w:tcW w:w="318" w:type="pct"/>
          </w:tcPr>
          <w:p w14:paraId="57B102F2" w14:textId="5E9A01B4"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3CCAE64A" w14:textId="55404FD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4EF17FB2" w14:textId="1F442288" w:rsidR="000B21B4" w:rsidRPr="00A61595" w:rsidRDefault="000B21B4" w:rsidP="00380533">
            <w:pPr>
              <w:rPr>
                <w:rFonts w:ascii="Arial" w:hAnsi="Arial" w:cs="Arial"/>
                <w:sz w:val="14"/>
                <w:szCs w:val="14"/>
              </w:rPr>
            </w:pPr>
            <w:r w:rsidRPr="00A61595">
              <w:rPr>
                <w:rFonts w:ascii="Arial" w:hAnsi="Arial" w:cs="Arial"/>
                <w:color w:val="000000"/>
                <w:sz w:val="14"/>
                <w:szCs w:val="14"/>
              </w:rPr>
              <w:t>a, f, g</w:t>
            </w:r>
          </w:p>
        </w:tc>
        <w:tc>
          <w:tcPr>
            <w:tcW w:w="229" w:type="pct"/>
          </w:tcPr>
          <w:p w14:paraId="21BCAF33" w14:textId="13ED8810" w:rsidR="000B21B4" w:rsidRPr="00A61595" w:rsidRDefault="000B21B4" w:rsidP="00380533">
            <w:pPr>
              <w:rPr>
                <w:rFonts w:ascii="Arial" w:hAnsi="Arial" w:cs="Arial"/>
                <w:sz w:val="14"/>
                <w:szCs w:val="14"/>
              </w:rPr>
            </w:pPr>
            <w:r w:rsidRPr="00A61595">
              <w:rPr>
                <w:rFonts w:ascii="Arial" w:hAnsi="Arial" w:cs="Arial"/>
                <w:color w:val="000000"/>
                <w:sz w:val="14"/>
                <w:szCs w:val="14"/>
              </w:rPr>
              <w:t>g</w:t>
            </w:r>
          </w:p>
        </w:tc>
      </w:tr>
      <w:tr w:rsidR="000B21B4" w:rsidRPr="00A61595" w14:paraId="6008A5EF" w14:textId="1A897A53" w:rsidTr="00380533">
        <w:trPr>
          <w:trHeight w:val="285"/>
        </w:trPr>
        <w:tc>
          <w:tcPr>
            <w:tcW w:w="715" w:type="pct"/>
            <w:gridSpan w:val="2"/>
            <w:shd w:val="clear" w:color="auto" w:fill="auto"/>
            <w:noWrap/>
            <w:hideMark/>
          </w:tcPr>
          <w:p w14:paraId="64D1CEC9" w14:textId="68572CE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Silvis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{"citationID":"a11kgmr35c5","properties":{"formattedCitation":"(180)","plainCitation":"(180)","noteIndex":0},"citationItems":[{"id":17228,"uris":["http://zotero.org/groups/2477744/items/KG42FXPK"],"itemData":{"id":17228,"type":"article-journal","abstract":"Recent scandals have increased the need to strengthen companies’ ability to combat fraud within their own organizations and across their supply chain. Vulnerability assessments are a first step towards the inventory of fraud vulnerability and fraud mitigation plans. Spices are reported frequently in the international food fraud databases. In the current study the fraud vulnerabilities of various actors in the spices supply chain were examined. The SSAFE food fraud vulnerability assessment tool, which comprises of 50 indicators categorized in opportunities, motivations, and control measures was applied for getting insight into these fraud vulnerabilities. Eight companies participated in the study: a trader, two importers, two business to business companies, and three business-to- business/business-to-consumer enterprises. The ease to adulterate spices combined with the complexity of fraud detection create considerable opportunities to commit fraud (high vulnerability), whereas opportunities associated with supply chain transparency and fraudulent incidences in the past were judged as medium vulnerable. The high competition level in the sector together with the high added value of spices are perceived as important economic drivers to commit fraud (high vulnerability). Cultural/behavioural factors such as ethical business culture were considered to contribute to the actual fraud vulnerability to a lesser extent. The implementation of both the hard and soft control measures varied widely among the actors. Hard fraud specific measures are merely lacking or are at a very basic level. For soft control measures of the own company, the scores were higher. From the results of the full assessments can be concluded that the various actors perceived the level of food fraud vulnerability in the spices chain as medium vulnerable. © 2017 Elsevier Ltd","container-title":"Food Control","DOI":"10.1016/j.foodcont.2017.05.019","journalAbbreviation":"Food Control","page":"80-87","title":"Assessment of food fraud vulnerability in the spices chain: An explorative study","URL":"https://www.scopus.com/inward/record.uri?eid=2-s2.0-85019999880&amp;doi=10.1016%2fj.foodcont.2017.05.019&amp;partnerID=40&amp;md5=a3fd181ab5e94557d18a9602178bbfbf","volume":"81","author":[{"family":"Silvis","given":"I.C.J."},{"family":"Ruth","given":"S.M.","non-dropping-particle":"van"},{"family":"Fels-Klerx","given":"H.J.","non-dropping-particle":"van der"},{"family":"Luning","given":"P.A."}],"issued":{"date-parts":[["2017"]]}}}],"schema":"https://github.com/citation-style-language/schema/raw/master/csl-citation.json"}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(180)</w:t>
            </w:r>
            <w:r w:rsidRPr="00A61595">
              <w:rPr>
                <w:rFonts w:ascii="Arial" w:eastAsia="Times New Roman" w:hAnsi="Arial" w:cs="Arial"/>
                <w:sz w:val="14"/>
                <w:szCs w:val="14"/>
              </w:rPr>
              <w:fldChar w:fldCharType="end"/>
            </w:r>
          </w:p>
        </w:tc>
        <w:tc>
          <w:tcPr>
            <w:tcW w:w="192" w:type="pct"/>
            <w:shd w:val="clear" w:color="auto" w:fill="auto"/>
            <w:noWrap/>
            <w:hideMark/>
          </w:tcPr>
          <w:p w14:paraId="5FF6DAB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16EEBE5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Fraud vulnerabilities of various actors in the spices supply chain</w:t>
            </w:r>
          </w:p>
        </w:tc>
        <w:tc>
          <w:tcPr>
            <w:tcW w:w="318" w:type="pct"/>
          </w:tcPr>
          <w:p w14:paraId="27267195" w14:textId="46C0B037"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08E03A26" w14:textId="6934FA2E"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D236F31" w14:textId="306EAC80"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736D64CB" w14:textId="20DC72A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E9E50D8" w14:textId="44276DCC" w:rsidTr="00380533">
        <w:trPr>
          <w:trHeight w:val="285"/>
        </w:trPr>
        <w:tc>
          <w:tcPr>
            <w:tcW w:w="715" w:type="pct"/>
            <w:gridSpan w:val="2"/>
            <w:shd w:val="clear" w:color="auto" w:fill="auto"/>
            <w:noWrap/>
            <w:hideMark/>
          </w:tcPr>
          <w:p w14:paraId="46D2A09C" w14:textId="5F61B92F"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Singh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{"citationID":"a1ekdchh2as","properties":{"formattedCitation":"(181)","plainCitation":"(181)","noteIndex":0},"citationItems":[{"id":17227,"uris":["http://zotero.org/groups/2477744/items/JF74QGPN"],"itemData":{"id":17227,"type":"article-journal","abstract":"Background Food insecurity is a serious social and public health problem which is exacerbated by the COVID-19 pandemic especially in resource-poor countries such as Nepal. However, there is a paucity of evidence at local levels. This study aims to explore food insecurity among people from the disadvantaged community and low-income families during the COVID-19 pandemic in Province-2 of Nepal. Methods The semi-structured qualitative interviews were conducted virtually among purposively selected participants (n = 41) from both urban and rural areas in eight districts of Province 2 in Nepal. All the interviews were conducted in the local language between July and August 2020. The data analysis was performed using thematic network analysis in Nvivo 12 Pro software. Results The results of this study are grouped into four global themes: I) Impact of COVID-19 on food security; ii) Food insecurity and coping strategies during the COVID-19 pandemic, iii) Food relief and emergency support during the COVID-19 pandemic, and iv) Impact of COVID-19 and food insecurity on health and wellbeing. Most participants in the study expressed that families from low socioeconomic backgrounds and disadvantaged communities such as those working on daily wages and who rely on remittance had experienced increased food insecurity during the COVID-19 pandemic. Participants used different forms of coping strategies to meet their food requirements during the pandemic. Community members experienced favouritism, nepotism, and partiality from local politicians and authorities during the distribution of food relief. The food insecurity among low-income and disadvantaged families has affected their health and wellbeing making them increasingly vulnerable to the COVID- 19 infection. Conclusion Food insecurity among low-income and disadvantaged families was found to be a serious problem during the COVID-19 pandemic. The study suggests that the relief support plan and policies should be focused on the implementation of immediate sustainable food security strategies to prevent hunger, malnutrition, and mental health problems among the most vulnerable groups in the community. © 2021 Singh et al. This is an open access article distributed under the terms of the Creative Commons Attribution License, which permits unrestricted use, distribution, and reproduction in any medium, provided the original author and source are credited.","container-title":"PLoS ONE","DOI":"10.1371/journal.pone.0254954","issue":"July","journalAbbreviation":"PLoS ONE","title":"Food insecurity during COVID-19 pandemic: A genuine concern for people from disadvantaged community and low-income families in Province 2 of Nepal","URL":"https://www.scopus.com/inward/record.uri?eid=2-s2.0-85110959477&amp;doi=10.1371%2fjournal.pone.0254954&amp;partnerID=40&amp;md5=ff6131590e853e568335ba79b9392351","volume":"16","author":[{"family":"Singh","given":"D.R."},{"family":"Sunuwar","given":"D.R."},{"family":"Shah","given":"S.K."},{"family":"Sah","given":"L.K."},{"family":"Karki","given":"K."},{"family":"Sah","given":"R.K."}],"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(181)</w:t>
            </w:r>
            <w:r w:rsidRPr="00A61595">
              <w:rPr>
                <w:rFonts w:ascii="Arial" w:eastAsia="Times New Roman" w:hAnsi="Arial" w:cs="Arial"/>
                <w:sz w:val="14"/>
                <w:szCs w:val="14"/>
              </w:rPr>
              <w:fldChar w:fldCharType="end"/>
            </w:r>
          </w:p>
        </w:tc>
        <w:tc>
          <w:tcPr>
            <w:tcW w:w="192" w:type="pct"/>
            <w:shd w:val="clear" w:color="auto" w:fill="auto"/>
            <w:noWrap/>
            <w:hideMark/>
          </w:tcPr>
          <w:p w14:paraId="196851E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60B1C34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Food insecurity during COVID-19 pandemic</w:t>
            </w:r>
          </w:p>
        </w:tc>
        <w:tc>
          <w:tcPr>
            <w:tcW w:w="318" w:type="pct"/>
          </w:tcPr>
          <w:p w14:paraId="37AC11FD" w14:textId="2AF4807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5F3AD972" w14:textId="00F0377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6FB4CFA4" w14:textId="1A8B62A3"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g, </w:t>
            </w:r>
            <w:proofErr w:type="spellStart"/>
            <w:r w:rsidRPr="00A61595">
              <w:rPr>
                <w:rFonts w:ascii="Arial" w:hAnsi="Arial" w:cs="Arial"/>
                <w:color w:val="000000"/>
                <w:sz w:val="14"/>
                <w:szCs w:val="14"/>
              </w:rPr>
              <w:t>i</w:t>
            </w:r>
            <w:proofErr w:type="spellEnd"/>
          </w:p>
        </w:tc>
        <w:tc>
          <w:tcPr>
            <w:tcW w:w="229" w:type="pct"/>
          </w:tcPr>
          <w:p w14:paraId="068EAFA2" w14:textId="7053BB5D" w:rsidR="000B21B4" w:rsidRPr="00A61595" w:rsidRDefault="000B21B4" w:rsidP="00380533">
            <w:pPr>
              <w:rPr>
                <w:rFonts w:ascii="Arial" w:hAnsi="Arial" w:cs="Arial"/>
                <w:sz w:val="14"/>
                <w:szCs w:val="14"/>
              </w:rPr>
            </w:pPr>
            <w:r w:rsidRPr="00A61595">
              <w:rPr>
                <w:rFonts w:ascii="Arial" w:hAnsi="Arial" w:cs="Arial"/>
                <w:color w:val="000000"/>
                <w:sz w:val="14"/>
                <w:szCs w:val="14"/>
              </w:rPr>
              <w:t>d, g</w:t>
            </w:r>
          </w:p>
        </w:tc>
      </w:tr>
      <w:tr w:rsidR="000B21B4" w:rsidRPr="00A61595" w14:paraId="57D9FE0F" w14:textId="5747D44F" w:rsidTr="00380533">
        <w:trPr>
          <w:trHeight w:val="285"/>
        </w:trPr>
        <w:tc>
          <w:tcPr>
            <w:tcW w:w="715" w:type="pct"/>
            <w:gridSpan w:val="2"/>
            <w:shd w:val="clear" w:color="auto" w:fill="auto"/>
            <w:noWrap/>
            <w:hideMark/>
          </w:tcPr>
          <w:p w14:paraId="3A902937" w14:textId="0C1194FB"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Slangen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{"citationID":"a2cep1khuvv","properties":{"formattedCitation":"(182)","plainCitation":"(182)","noteIndex":0},"citationItems":[{"id":18641,"uris":["http://zotero.org/groups/2477744/items/Y2MVX2VJ"],"itemData":{"id":18641,"type":"article-journal","abstract":"It is well-known that institutions and social capital are important determinants of economic development, and that trust is an important component of social capital. In this paper, factor analysis and three. The results indicate that the rule of law, the protection of property rights, and lower levels of perceived government corruption have a positive effect on trust in agriculture. [PUBLICATION ABSTRACT]","archive_location":"274622579","container-title":"International Journal of Social Economics","DOI":"10.1108/03068290310492887","issue":"9/10","journalAbbreviation":"International Journal of Social Economics","note":"publisher-place: Bradford\npublisher: Emerald Group Publishing Limited","page":"1095-1109","title":"Trust in countries in transition: Empirical evidence from agriculture","URL":"http://ezproxy.library.yorku.ca/login?url=https://search.proquest.com/docview/274622579?accountid=15182","volume":"30","author":[{"family":"Slangen","given":"Louis H G"},{"family":"Suchanek","given":"Pavel"},{"family":"Kooten","given":"G Cornelis","non-dropping-particle":"van"}],"issued":{"date-parts":[["2003"]]}}}],"schema":"https://github.com/citation-style-language/schema/raw/master/csl-citation.json"}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(182)</w:t>
            </w:r>
            <w:r w:rsidRPr="00A61595">
              <w:rPr>
                <w:rFonts w:ascii="Arial" w:eastAsia="Times New Roman" w:hAnsi="Arial" w:cs="Arial"/>
                <w:sz w:val="14"/>
                <w:szCs w:val="14"/>
              </w:rPr>
              <w:fldChar w:fldCharType="end"/>
            </w:r>
          </w:p>
        </w:tc>
        <w:tc>
          <w:tcPr>
            <w:tcW w:w="192" w:type="pct"/>
            <w:shd w:val="clear" w:color="auto" w:fill="auto"/>
            <w:noWrap/>
            <w:hideMark/>
          </w:tcPr>
          <w:p w14:paraId="4789E60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2003</w:t>
            </w:r>
          </w:p>
        </w:tc>
        <w:tc>
          <w:tcPr>
            <w:tcW w:w="2869" w:type="pct"/>
            <w:gridSpan w:val="4"/>
            <w:shd w:val="clear" w:color="auto" w:fill="auto"/>
            <w:noWrap/>
            <w:hideMark/>
          </w:tcPr>
          <w:p w14:paraId="27E358F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Factors determining trust among agricultural stakeholders</w:t>
            </w:r>
          </w:p>
        </w:tc>
        <w:tc>
          <w:tcPr>
            <w:tcW w:w="318" w:type="pct"/>
          </w:tcPr>
          <w:p w14:paraId="79A8C41F" w14:textId="592F09E5"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5A78C8E7" w14:textId="7C9B6DC7"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66C038A2" w14:textId="71CF7875" w:rsidR="000B21B4" w:rsidRPr="00A61595" w:rsidRDefault="000B21B4" w:rsidP="00380533">
            <w:pPr>
              <w:rPr>
                <w:rFonts w:ascii="Arial" w:hAnsi="Arial" w:cs="Arial"/>
                <w:sz w:val="14"/>
                <w:szCs w:val="14"/>
              </w:rPr>
            </w:pPr>
            <w:r w:rsidRPr="00A61595">
              <w:rPr>
                <w:rFonts w:ascii="Arial" w:hAnsi="Arial" w:cs="Arial"/>
                <w:color w:val="000000"/>
                <w:sz w:val="14"/>
                <w:szCs w:val="14"/>
              </w:rPr>
              <w:t>a, f, h</w:t>
            </w:r>
          </w:p>
        </w:tc>
        <w:tc>
          <w:tcPr>
            <w:tcW w:w="229" w:type="pct"/>
          </w:tcPr>
          <w:p w14:paraId="77497C36" w14:textId="3F4D0270"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3DD511F5" w14:textId="086345C1" w:rsidTr="00380533">
        <w:trPr>
          <w:trHeight w:val="285"/>
        </w:trPr>
        <w:tc>
          <w:tcPr>
            <w:tcW w:w="715" w:type="pct"/>
            <w:gridSpan w:val="2"/>
            <w:shd w:val="clear" w:color="auto" w:fill="auto"/>
            <w:noWrap/>
            <w:hideMark/>
          </w:tcPr>
          <w:p w14:paraId="60F473F7" w14:textId="70478EDA"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Smith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{"citationID":"aku3l8dgns","properties":{"formattedCitation":"(183)","plainCitation":"(183)","noteIndex":0},"citationItems":[{"id":17226,"uris":["http://zotero.org/groups/2477744/items/5IMA6SJV"],"itemData":{"id":17226,"type":"article-journal","abstract":"Based on separate surveys of the mango and wheat marketing systems in Sindh, this paper documents examples of corruption in agricultural markets and assesses their relevance to the case for greater market liberalization. In developing economies perceptions of the performance of marketing systems and the potential benefits of liberalization are often clouded by the extent of corruption, which tends to reinforce popular negative stereotypes of private market intermediaries. Available evidence favours further market liberalization, but investigation of corruption reveals that the sequencing of reform and balance of residual regulation by the state must be carefully evaluated. © 1999 Taylor &amp; Francis Group, LLC.","container-title":"Journal of International Food and Agribusiness Marketing","DOI":"10.1300/J047v11n01_02","issue":"1","journalAbbreviation":"Journal of International Food and Agribusiness Marketing","page":"19-42","title":"Case studies of corruption in agricultural markets in sindh province, pakistan, and implications for market liberalization","URL":"https://www.scopus.com/inward/record.uri?eid=2-s2.0-0033275558&amp;doi=10.1300%2fJ047v11n01_02&amp;partnerID=40&amp;md5=8ffb01e52f0254f7790fc1cfaea34a76","volume":"11","author":[{"family":"Smith","given":"L.E.D."},{"family":"Khushk","given":"A.M."},{"family":"Stockbridge","given":"M."}],"issued":{"date-parts":[["2000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(183)</w:t>
            </w:r>
            <w:r w:rsidRPr="00A61595">
              <w:rPr>
                <w:rFonts w:ascii="Arial" w:eastAsia="Times New Roman" w:hAnsi="Arial" w:cs="Arial"/>
                <w:sz w:val="14"/>
                <w:szCs w:val="14"/>
              </w:rPr>
              <w:fldChar w:fldCharType="end"/>
            </w:r>
          </w:p>
        </w:tc>
        <w:tc>
          <w:tcPr>
            <w:tcW w:w="192" w:type="pct"/>
            <w:shd w:val="clear" w:color="auto" w:fill="auto"/>
            <w:noWrap/>
            <w:hideMark/>
          </w:tcPr>
          <w:p w14:paraId="1D11C7D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2000</w:t>
            </w:r>
          </w:p>
        </w:tc>
        <w:tc>
          <w:tcPr>
            <w:tcW w:w="2869" w:type="pct"/>
            <w:gridSpan w:val="4"/>
            <w:shd w:val="clear" w:color="auto" w:fill="auto"/>
            <w:noWrap/>
            <w:hideMark/>
          </w:tcPr>
          <w:p w14:paraId="35A9600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forms and incidence of corruption in agricultural markets</w:t>
            </w:r>
          </w:p>
        </w:tc>
        <w:tc>
          <w:tcPr>
            <w:tcW w:w="318" w:type="pct"/>
          </w:tcPr>
          <w:p w14:paraId="6377A007" w14:textId="4A9E4E6D"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7F431F1B" w14:textId="3633927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4D0D4498" w14:textId="738714DB" w:rsidR="000B21B4" w:rsidRPr="00A61595" w:rsidRDefault="000B21B4" w:rsidP="00380533">
            <w:pPr>
              <w:rPr>
                <w:rFonts w:ascii="Arial" w:hAnsi="Arial" w:cs="Arial"/>
                <w:sz w:val="14"/>
                <w:szCs w:val="14"/>
              </w:rPr>
            </w:pPr>
            <w:r w:rsidRPr="00A61595">
              <w:rPr>
                <w:rFonts w:ascii="Arial" w:hAnsi="Arial" w:cs="Arial"/>
                <w:color w:val="000000"/>
                <w:sz w:val="14"/>
                <w:szCs w:val="14"/>
              </w:rPr>
              <w:t>d, g</w:t>
            </w:r>
          </w:p>
        </w:tc>
        <w:tc>
          <w:tcPr>
            <w:tcW w:w="229" w:type="pct"/>
          </w:tcPr>
          <w:p w14:paraId="110D69BE" w14:textId="2037FACA" w:rsidR="000B21B4" w:rsidRPr="00A61595" w:rsidRDefault="000B21B4" w:rsidP="00380533">
            <w:pPr>
              <w:rPr>
                <w:rFonts w:ascii="Arial" w:hAnsi="Arial" w:cs="Arial"/>
                <w:sz w:val="14"/>
                <w:szCs w:val="14"/>
              </w:rPr>
            </w:pPr>
            <w:r w:rsidRPr="00A61595">
              <w:rPr>
                <w:rFonts w:ascii="Arial" w:hAnsi="Arial" w:cs="Arial"/>
                <w:color w:val="000000"/>
                <w:sz w:val="14"/>
                <w:szCs w:val="14"/>
              </w:rPr>
              <w:t>f, h</w:t>
            </w:r>
          </w:p>
        </w:tc>
      </w:tr>
      <w:tr w:rsidR="000B21B4" w:rsidRPr="00A61595" w14:paraId="50AB3F05" w14:textId="1E9CDA25" w:rsidTr="00380533">
        <w:trPr>
          <w:trHeight w:val="285"/>
        </w:trPr>
        <w:tc>
          <w:tcPr>
            <w:tcW w:w="715" w:type="pct"/>
            <w:gridSpan w:val="2"/>
            <w:shd w:val="clear" w:color="auto" w:fill="auto"/>
            <w:noWrap/>
            <w:hideMark/>
          </w:tcPr>
          <w:p w14:paraId="321EA6B1" w14:textId="4C502BC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Smith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{"citationID":"a15ra9p6gjm","properties":{"formattedCitation":"(184)","plainCitation":"(184)","noteIndex":0},"citationItems":[{"id":17076,"uris":["http://zotero.org/groups/2477744/items/LA6WRK25"],"itemData":{"id":17076,"type":"article-journal","abstract":"Purpose - The contemporary rustler is a shrewd businessman, or rogue farmer exploiting food supply chain anomalies. Indeed, the first conviction in the UK for 20 years was a farmer stealing from neighbouring farmers. The theft of sheep in the UK is an expanding criminal enterprise which remains under researched. The purpose of this paper is to examine what is known of the illegal trade and its links to food fraud from a supply chain perspective with an emphasis on food integrity issues. Design/methodology/approach - There is a dearth of current viable literature on livestock theft in a western context making it necessary to turn to socio-historical research and to official documents such as those published by the NFU and other insurance companies to build up a picture of this illegal practice. This is supplemented by documentary research of articles published in the UK press. Findings - From this raw data a typology of rustlers is developed. The findings point to insider ``supply chain{''} knowledge being a key facet in the theft of livestock. Other examples in the typology relate to urban thieves wrestling live sheep into a car and to industry insiders associated with the abattoir sector. Research limitations/implications - The obvious limitations is that as yet there are few detected cases of rustling in the UK so the developing typology of rustlers is sketchy. Another limitation is that much of the evidence upon which the typology is developed is anecdotal. Originality/value - The typology should prove helpful to academics, insurance companies, investigators, industry insiders and farmers to help them understand this contemporary crime and how to prevent its spread. It also sheds light on food integrity in relation to the purchase and consumption of the end product in that customers expect to be purchasing legally and ethically reared animal products.","container-title":"BRITISH FOOD JOURNAL","DOI":"10.1108/BFJ-07-2016-0324","issue":"1","journalAbbreviation":"BRITISH FOOD JOURNAL","page":"105-121","title":"Documenting entrepreneurial opportunism in action A case study of sheep theft in the UK from a food supply chain perspective","volume":"119","author":[{"family":"Smith","given":"Robert"}],"issued":{"date-parts":[["2017"]]}}}],"schema":"https://github.com/citation-style-language/schema/raw/master/csl-citation.json"}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(184)</w:t>
            </w:r>
            <w:r w:rsidRPr="00A61595">
              <w:rPr>
                <w:rFonts w:ascii="Arial" w:eastAsia="Times New Roman" w:hAnsi="Arial" w:cs="Arial"/>
                <w:sz w:val="14"/>
                <w:szCs w:val="14"/>
              </w:rPr>
              <w:fldChar w:fldCharType="end"/>
            </w:r>
          </w:p>
        </w:tc>
        <w:tc>
          <w:tcPr>
            <w:tcW w:w="192" w:type="pct"/>
            <w:shd w:val="clear" w:color="auto" w:fill="auto"/>
            <w:noWrap/>
            <w:hideMark/>
          </w:tcPr>
          <w:p w14:paraId="5CEDA11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7302E22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Livestock theft and its links to food fraud from a supply chain perspective</w:t>
            </w:r>
          </w:p>
        </w:tc>
        <w:tc>
          <w:tcPr>
            <w:tcW w:w="318" w:type="pct"/>
          </w:tcPr>
          <w:p w14:paraId="02699137" w14:textId="4BF51BE3"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26F4A14E" w14:textId="153BB3AD"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11DCFB44" w14:textId="2E68B004"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c>
          <w:tcPr>
            <w:tcW w:w="229" w:type="pct"/>
          </w:tcPr>
          <w:p w14:paraId="65A02695" w14:textId="01355DD4"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r>
      <w:tr w:rsidR="000B21B4" w:rsidRPr="00A61595" w14:paraId="4F1526FB" w14:textId="775D2F5B" w:rsidTr="00380533">
        <w:trPr>
          <w:trHeight w:val="285"/>
        </w:trPr>
        <w:tc>
          <w:tcPr>
            <w:tcW w:w="715" w:type="pct"/>
            <w:gridSpan w:val="2"/>
            <w:shd w:val="clear" w:color="auto" w:fill="auto"/>
            <w:noWrap/>
            <w:hideMark/>
          </w:tcPr>
          <w:p w14:paraId="549D9408" w14:textId="058D561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Soon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{"citationID":"a1gl8nqddsl","properties":{"formattedCitation":"(185)","plainCitation":"(185)","noteIndex":0},"citationItems":[{"id":17225,"uris":["http://zotero.org/groups/2477744/items/7W6UFQMY"],"itemData":{"id":17225,"type":"article-journal","abstract":"In recent years, the issue of food fraud has become both widely discussed within the food industry and seemingly more prevalent, with incidents happening worldwide. The purpose of this study was to investigate the use of different types of anti-fraud tools within the UK food industry. The study utilised an online survey questionnaire and food manufacturing companies were invited to participate in the study via email and calls for participation through industry networks i.e. Food Integrity Intelligence Network (FIIN), the Federation of Bakers and the Food and Drink Federation. Nineteen food manufacturers returned the completed survey. Of the food businesses surveyed, most used their own in-house food fraud vulnerability assessment (FFVA) tools followed by the Campden Threat Assessment and Critical Control Point (TACCP). Campden TACCP is the evaluation of threats, identification of vulnerabilities and implementation of controls of the entire production process. The threats controlled by TACCP include economically motivated adulteration (EMA) and malicious contamination. Around one third of the companies reported being victims of food fraud. Food manufacturers were divided about the impact of conducting food fraud vulnerability assessments. Half of the food manufacturers were optimistic about the impact of FFVA whilst the rest were uncertain or negative. Positive impacts include raising awareness and ensuring integrity of food supply chain whilst negative views were associated with cost and concerns for brand reputation. The adoption and conduct of FFVA is still at its infancy and the full impact remains to be seen. However, with time and constant vigilance from the food industry, FFVA will benefit the sector and the safety and integrity of the food supply chain. © 2019 Elsevier Ltd","container-title":"Food Control","DOI":"10.1016/j.foodcont.2019.03.002","journalAbbreviation":"Food Control","page":"225-232","title":"Food fraud vulnerability assessment tools used in food industry","URL":"https://www.scopus.com/inward/record.uri?eid=2-s2.0-85063331357&amp;doi=10.1016%2fj.foodcont.2019.03.002&amp;partnerID=40&amp;md5=05925becefbc416167d1c8b5f7227e62","volume":"101","author":[{"family":"Soon","given":"J.M."},{"family":"Krzyzaniak","given":"S.C."},{"family":"Shuttlewood","given":"Z."},{"family":"Smith","given":"M."},{"family":"Jack","given":"L."}],"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(185)</w:t>
            </w:r>
            <w:r w:rsidRPr="00A61595">
              <w:rPr>
                <w:rFonts w:ascii="Arial" w:eastAsia="Times New Roman" w:hAnsi="Arial" w:cs="Arial"/>
                <w:sz w:val="14"/>
                <w:szCs w:val="14"/>
              </w:rPr>
              <w:fldChar w:fldCharType="end"/>
            </w:r>
          </w:p>
        </w:tc>
        <w:tc>
          <w:tcPr>
            <w:tcW w:w="192" w:type="pct"/>
            <w:shd w:val="clear" w:color="auto" w:fill="auto"/>
            <w:noWrap/>
            <w:hideMark/>
          </w:tcPr>
          <w:p w14:paraId="3C44E25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2A1DAA2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Use of different types of anti-fraud tools within the UK food industry</w:t>
            </w:r>
          </w:p>
        </w:tc>
        <w:tc>
          <w:tcPr>
            <w:tcW w:w="318" w:type="pct"/>
          </w:tcPr>
          <w:p w14:paraId="4CEEAFBE" w14:textId="67AB1E85"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7BD8F0CC" w14:textId="2ABEB70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C9ACE13" w14:textId="717F36F1"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b, </w:t>
            </w: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69E0946E" w14:textId="386BA161"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646790ED" w14:textId="141ADA63" w:rsidTr="00380533">
        <w:trPr>
          <w:trHeight w:val="285"/>
        </w:trPr>
        <w:tc>
          <w:tcPr>
            <w:tcW w:w="715" w:type="pct"/>
            <w:gridSpan w:val="2"/>
            <w:shd w:val="clear" w:color="auto" w:fill="auto"/>
            <w:noWrap/>
            <w:hideMark/>
          </w:tcPr>
          <w:p w14:paraId="79854758" w14:textId="70F930DA"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Soyer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{"citationID":"a12sgv6lngd","properties":{"formattedCitation":"(186)","plainCitation":"(186)","noteIndex":0},"citationItems":[{"id":17084,"uris":["http://zotero.org/groups/2477744/items/FRU5J3GY"],"itemData":{"id":17084,"type":"article-journal","abstract":"Illegal, unreported and unregulated (IUU) fishing is a global problem, which threatens marine ecosystems in addition to putting food security and regional stability at risk. It is often linked to major human rights violations and even organized crime. Legal measures, such as introducing monitoring and surveillance systems or denying services to vessels engaged in IUU fishing, are often implemented at national and international levels to combat such practices. Academics and economists have suggested that IUU fishing might be discouraged equally well by taking the profit out of it. Building on this premise, this article analyzes the extent to which the availability of liability insurance contributes to the problem of IUU fishing. To this end, an empirical study has been carried out, which supports the contention that vessels suspected of involvement in IUU fishing have no serious difficulty in obtaining liability insurance from the market and insurance sector, thereby inadvertently facilitating IUU fishing. The authors conclude that to deter IUU fishing, access to insurance for those involved in it should be restricted. Some success can be achieved if certain steps are taken to improve the risk assessment procedures of underwriters. However, it is advocated that the most effective approach would be the reform of European Union or domestic legislation and putting providers of liability insurance under a clear positive obligation to refuse cover to those involved in IUU fishing.","container-title":"TRANSNATIONAL ENVIRONMENTAL LAW","DOI":"10.1017/S2047102517000267","issue":"1","journalAbbreviation":"TRANSNATIONAL ENVIRONMENTAL LAW","page":"139-163","title":"Tackling IUU Fishing: Developing a Holistic Legal Response","volume":"7","author":[{"family":"Soyer","given":"Baris"},{"family":"Leloudas","given":"George"},{"family":"Miller","given":"Dana"}],"issued":{"date-parts":[["2018"]]}}}],"schema":"https://github.com/citation-style-language/schema/raw/master/csl-citation.json"}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(186)</w:t>
            </w:r>
            <w:r w:rsidRPr="00A61595">
              <w:rPr>
                <w:rFonts w:ascii="Arial" w:eastAsia="Times New Roman" w:hAnsi="Arial" w:cs="Arial"/>
                <w:sz w:val="14"/>
                <w:szCs w:val="14"/>
              </w:rPr>
              <w:fldChar w:fldCharType="end"/>
            </w:r>
          </w:p>
        </w:tc>
        <w:tc>
          <w:tcPr>
            <w:tcW w:w="192" w:type="pct"/>
            <w:shd w:val="clear" w:color="auto" w:fill="auto"/>
            <w:noWrap/>
            <w:hideMark/>
          </w:tcPr>
          <w:p w14:paraId="090EE4D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65E6DAD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extent to which the availability of liability insurance contributes to illegal, unregulated, and unreported fishing</w:t>
            </w:r>
          </w:p>
        </w:tc>
        <w:tc>
          <w:tcPr>
            <w:tcW w:w="318" w:type="pct"/>
          </w:tcPr>
          <w:p w14:paraId="6538BAC4" w14:textId="1A083AA2"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4C61D0E3" w14:textId="48BE1E76"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5F976C94" w14:textId="40A364E4"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c>
          <w:tcPr>
            <w:tcW w:w="229" w:type="pct"/>
          </w:tcPr>
          <w:p w14:paraId="4F2D5AFB" w14:textId="5762585E"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47E27228" w14:textId="72E4EA4F" w:rsidTr="00380533">
        <w:trPr>
          <w:trHeight w:val="285"/>
        </w:trPr>
        <w:tc>
          <w:tcPr>
            <w:tcW w:w="715" w:type="pct"/>
            <w:gridSpan w:val="2"/>
            <w:shd w:val="clear" w:color="auto" w:fill="auto"/>
            <w:noWrap/>
            <w:hideMark/>
          </w:tcPr>
          <w:p w14:paraId="742FADDC" w14:textId="029BD0DF"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Spink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{"citationID":"akhut616ed","properties":{"formattedCitation":"(187)","plainCitation":"(187)","noteIndex":0},"citationItems":[{"id":17074,"uris":["http://zotero.org/groups/2477744/items/BX7T8CI2"],"itemData":{"id":17074,"type":"article-journal","abstract":"Food Fraud is illegal deception for economic gain using food. There are many types of fraud including adulterant-substances, tampering, theft, diversion and gray marketing, simulations, misbranded, and intellectual property rights. product counterfeiting. The concept is beginning to be addressed by laws, regulations, standards, and certifications. Regardless of the presence of an actual health hazard, Food Fraud incidents can: negatively impact sales, brand equity, market capitalization; violate regulations such as Sarbanes-Oxley; and even lead to the criminal prosecution of corporate leaders. Emerging regulations and industry standards are requiring risk and vulnerability assessments of Food Fraud as a prerequisite to countermeasures and decision-making systems. These assessments and risk management systems are not familiar food safety tools. It is effective and efficient to utilize an enterprise risk management (ERM) framework, such as developed by the Committee of the Sponsoring Companies of the Treadway Commission (COSO). ERM risk assessment occurs into two stages: (1) a qualitative initial screening followed by (2) a more detailed quantitative assessment. All types of Food Fraud can result in enterprise-wide risks, so an enterprise risk management system must cover all types of vulnerabilities. The model developed in this paper addresses the unmet need of the first stage referred to here as the Food Fraud Initial Screening (FFIS). (C) 2016 Published by Elsevier Ltd.","container-title":"FOOD CONTROL","DOI":"10.1016/j.foodcont.2016.03.016","journalAbbreviation":"FOOD CONTROL","page":"306-314","title":"Introducing the Food Fraud Initial Screening model (FFIS)","volume":"69","author":[{"family":"Spink","given":"John"},{"family":"Moyer","given":"Douglas C"},{"family":"Speier-Pero","given":"Cheri"}],"issued":{"date-parts":[["2016"]]}}}],"schema":"https://github.com/citation-style-language/schema/raw/master/csl-citation.json"}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(187)</w:t>
            </w:r>
            <w:r w:rsidRPr="00A61595">
              <w:rPr>
                <w:rFonts w:ascii="Arial" w:eastAsia="Times New Roman" w:hAnsi="Arial" w:cs="Arial"/>
                <w:sz w:val="14"/>
                <w:szCs w:val="14"/>
              </w:rPr>
              <w:fldChar w:fldCharType="end"/>
            </w:r>
          </w:p>
        </w:tc>
        <w:tc>
          <w:tcPr>
            <w:tcW w:w="192" w:type="pct"/>
            <w:shd w:val="clear" w:color="auto" w:fill="auto"/>
            <w:noWrap/>
            <w:hideMark/>
          </w:tcPr>
          <w:p w14:paraId="642DC1F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7485B0F4"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Developing a Food Fraud Initial Screening model for risk assessment </w:t>
            </w:r>
          </w:p>
        </w:tc>
        <w:tc>
          <w:tcPr>
            <w:tcW w:w="318" w:type="pct"/>
          </w:tcPr>
          <w:p w14:paraId="52FDC292" w14:textId="0848F089"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6C1E4E34" w14:textId="71405C42"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61AB01B2" w14:textId="4D203B6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d, </w:t>
            </w:r>
            <w:proofErr w:type="spellStart"/>
            <w:r w:rsidRPr="00A61595">
              <w:rPr>
                <w:rFonts w:ascii="Arial" w:hAnsi="Arial" w:cs="Arial"/>
                <w:color w:val="000000"/>
                <w:sz w:val="14"/>
                <w:szCs w:val="14"/>
              </w:rPr>
              <w:t>i</w:t>
            </w:r>
            <w:proofErr w:type="spellEnd"/>
          </w:p>
        </w:tc>
        <w:tc>
          <w:tcPr>
            <w:tcW w:w="229" w:type="pct"/>
          </w:tcPr>
          <w:p w14:paraId="786CFD93" w14:textId="68948A5B" w:rsidR="000B21B4" w:rsidRPr="00A61595" w:rsidRDefault="000B21B4" w:rsidP="00380533">
            <w:pPr>
              <w:rPr>
                <w:rFonts w:ascii="Arial" w:hAnsi="Arial" w:cs="Arial"/>
                <w:sz w:val="14"/>
                <w:szCs w:val="14"/>
              </w:rPr>
            </w:pPr>
            <w:r w:rsidRPr="00A61595">
              <w:rPr>
                <w:rFonts w:ascii="Arial" w:hAnsi="Arial" w:cs="Arial"/>
                <w:color w:val="000000"/>
                <w:sz w:val="14"/>
                <w:szCs w:val="14"/>
              </w:rPr>
              <w:t>d, e, f</w:t>
            </w:r>
          </w:p>
        </w:tc>
      </w:tr>
      <w:tr w:rsidR="000B21B4" w:rsidRPr="00A61595" w14:paraId="43D45AA0" w14:textId="258CA305" w:rsidTr="00380533">
        <w:trPr>
          <w:trHeight w:val="285"/>
        </w:trPr>
        <w:tc>
          <w:tcPr>
            <w:tcW w:w="715" w:type="pct"/>
            <w:gridSpan w:val="2"/>
            <w:shd w:val="clear" w:color="auto" w:fill="auto"/>
            <w:noWrap/>
            <w:hideMark/>
          </w:tcPr>
          <w:p w14:paraId="55424990" w14:textId="55284B0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lastRenderedPageBreak/>
              <w:t xml:space="preserve">Spink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{"citationID":"adjmak2jom","properties":{"formattedCitation":"(188)","plainCitation":"(188)","noteIndex":0},"citationItems":[{"id":18777,"uris":["http://zotero.org/groups/2477744/items/ZEDSITAR"],"itemData":{"id":18777,"type":"article-journal","abstract":"This survey of International Food Safety Authorities Network (INFOSAN) members regarding food fraud prevention, management, education, and information sharing included 166 WHO member states that resulted in 175 responses. The respondents engage in food fraud prevention (70%) or are responsible for food fraud incident response (74%). Nearly all respondents acknowledged a desire for more guidance and information on best practices in managing the full range of “food safety events involving food fraud” (97%), but also for prevention of such events (97%), indicating a need to provide technical support beyond acute incident response. The scope of food fraud covered in the survey comprised the full range of fraudulent activities, including the addition of adulterant-substances, tampering (including mislabeling), theft, smuggling, gray market/diversion, and counterfeiting (intellectual property rights). Key needs included: capacity-building/education; a platform for information sharing; and utilization of INFOSAN as an interagency/intergovernmental collaboration point. © 2019, The Author(s).","container-title":"npj Science of Food","DOI":"10.1038/s41538-019-0044-x","issue":"1","journalAbbreviation":"npj Science of Food","title":"Global perspectives on food fraud: results from a WHO survey of members of the International Food Safety Authorities Network (INFOSAN)","URL":"https://www.scopus.com/inward/record.uri?eid=2-s2.0-85073535442&amp;doi=10.1038%2fs41538-019-0044-x&amp;partnerID=40&amp;md5=f0f1ee0af6bf6f3ce6d49d142d08be0f","volume":"3","author":[{"family":"Spink","given":"J."},{"family":"Embarek","given":"P.B."},{"family":"Savelli","given":"C.J."},{"family":"Bradshaw","given":"A."}],"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(188)</w:t>
            </w:r>
            <w:r w:rsidRPr="00A61595">
              <w:rPr>
                <w:rFonts w:ascii="Arial" w:eastAsia="Times New Roman" w:hAnsi="Arial" w:cs="Arial"/>
                <w:sz w:val="14"/>
                <w:szCs w:val="14"/>
              </w:rPr>
              <w:fldChar w:fldCharType="end"/>
            </w:r>
          </w:p>
        </w:tc>
        <w:tc>
          <w:tcPr>
            <w:tcW w:w="192" w:type="pct"/>
            <w:shd w:val="clear" w:color="auto" w:fill="auto"/>
            <w:noWrap/>
            <w:hideMark/>
          </w:tcPr>
          <w:p w14:paraId="6B0CFBC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293DD2F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Global perspectives of food fraud</w:t>
            </w:r>
          </w:p>
        </w:tc>
        <w:tc>
          <w:tcPr>
            <w:tcW w:w="318" w:type="pct"/>
          </w:tcPr>
          <w:p w14:paraId="1F56C81E" w14:textId="598857CA"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5F47DD72" w14:textId="5E9CB533" w:rsidR="000B21B4" w:rsidRPr="00A61595" w:rsidRDefault="000B21B4" w:rsidP="00380533">
            <w:pPr>
              <w:rPr>
                <w:rFonts w:ascii="Arial" w:hAnsi="Arial" w:cs="Arial"/>
                <w:sz w:val="14"/>
                <w:szCs w:val="14"/>
              </w:rPr>
            </w:pPr>
            <w:r w:rsidRPr="00A61595">
              <w:rPr>
                <w:rFonts w:ascii="Arial" w:hAnsi="Arial" w:cs="Arial"/>
                <w:color w:val="000000"/>
                <w:sz w:val="14"/>
                <w:szCs w:val="14"/>
              </w:rPr>
              <w:t>NA</w:t>
            </w:r>
          </w:p>
        </w:tc>
        <w:tc>
          <w:tcPr>
            <w:tcW w:w="371" w:type="pct"/>
          </w:tcPr>
          <w:p w14:paraId="6307413E" w14:textId="3CE0570B" w:rsidR="000B21B4" w:rsidRPr="00A61595" w:rsidRDefault="000B21B4" w:rsidP="00380533">
            <w:pPr>
              <w:rPr>
                <w:rFonts w:ascii="Arial" w:hAnsi="Arial" w:cs="Arial"/>
                <w:sz w:val="14"/>
                <w:szCs w:val="14"/>
              </w:rPr>
            </w:pPr>
            <w:r w:rsidRPr="00A61595">
              <w:rPr>
                <w:rFonts w:ascii="Arial" w:hAnsi="Arial" w:cs="Arial"/>
                <w:color w:val="000000"/>
                <w:sz w:val="14"/>
                <w:szCs w:val="14"/>
              </w:rPr>
              <w:t>g, h</w:t>
            </w:r>
          </w:p>
        </w:tc>
        <w:tc>
          <w:tcPr>
            <w:tcW w:w="229" w:type="pct"/>
          </w:tcPr>
          <w:p w14:paraId="285ED7C5" w14:textId="057821F5"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51DD5C4" w14:textId="6CBB6920" w:rsidTr="00380533">
        <w:trPr>
          <w:trHeight w:val="285"/>
        </w:trPr>
        <w:tc>
          <w:tcPr>
            <w:tcW w:w="715" w:type="pct"/>
            <w:gridSpan w:val="2"/>
            <w:shd w:val="clear" w:color="auto" w:fill="auto"/>
            <w:noWrap/>
            <w:hideMark/>
          </w:tcPr>
          <w:p w14:paraId="44A58BBC" w14:textId="1D8AC802"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Spink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{"citationID":"a1cnfjggggs","properties":{"formattedCitation":"(189)","plainCitation":"(189)","noteIndex":0},"citationItems":[{"id":17114,"uris":["http://zotero.org/groups/2477744/items/8JBSCCGA"],"itemData":{"id":17114,"type":"article-journal","abstract":"The food industry is advancing at a rapid pace and consumer sensitivity to food safety scares and food fraud scandals is further amplified by rapid communication such as by social media. Academia, regulators, and industry practitioners alike struggle with an evolving issue regarding new terms and definitions including food fraud, food authenticity, food integrity, food protection, economically motivated adulteration, food crime, food security, contaminant, adulterant, and others. This research addressed some of the global need for clarification and harmonization of commonly used terminology. The 150 survey responses were received from various food-related workgroups or committee members, communication with recognized experts, and announcements to the food industry in general. Overall food fraud was identified as a ``food safety{''} issue (86%). The food quality and manufacturing respondents focused mainly on incoming goods and adulterant-substances (&lt;50%) rather than the other illegal activities such as counterfeiting, theft, gray market/diversion, and smuggling. Of the terms included to represent ``intentional deception for economic gain{''} the respondents generally agreed with food fraud as the preferred term. Overall, the preference was 50% ``food fraud,{''} 15% ``economically motivated adulteration{''} EMA, 9% ``food protection,{''} 7% ``food integrity,{''} 5% ``food authenticity,{''} and 2% ``food crime.{''} It appears that ``food protection{''} and ``food integrity{''} are terms that cover broader concepts such as all types of intentional acts and even possibly food safety or food quality. ``Food authenticity{''} was defined with the phrase ``to ensure{''} so seemed to be identified as an ``attribute{''} that helped define fraudulent acts. Practical Application Food Fraud-illegal deception for economic gain using food-is a rapidly evolving research topic and is facing confusion due to the use of different terms and definitions. This research survey presented common definitions and publication details to gain insight that could help provide clarity. The insight from this report provides guidance for others who are harmonizing terminology and setting the overall strategic direction.","container-title":"JOURNAL OF FOOD SCIENCE","DOI":"10.1111/1750-3841.14705","issue":"10","journalAbbreviation":"JOURNAL OF FOOD SCIENCE","page":"2705-2718","title":"International Survey of Food Fraud and Related Terminology: Preliminary Results and Discussion","volume":"84","author":[{"family":"Spink","given":"John"},{"family":"Bedard","given":"Brian"},{"family":"Keogh","given":"John"},{"family":"Moyer","given":"Douglas C"},{"family":"Scimeca","given":"Joe"},{"family":"Vasan","given":"Akhila"}],"issued":{"date-parts":[["2019"]]}}}],"schema":"https://github.com/citation-style-language/schema/raw/master/csl-citation.json"}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(189)</w:t>
            </w:r>
            <w:r w:rsidRPr="00A61595">
              <w:rPr>
                <w:rFonts w:ascii="Arial" w:eastAsia="Times New Roman" w:hAnsi="Arial" w:cs="Arial"/>
                <w:sz w:val="14"/>
                <w:szCs w:val="14"/>
              </w:rPr>
              <w:fldChar w:fldCharType="end"/>
            </w:r>
          </w:p>
        </w:tc>
        <w:tc>
          <w:tcPr>
            <w:tcW w:w="192" w:type="pct"/>
            <w:shd w:val="clear" w:color="auto" w:fill="auto"/>
            <w:noWrap/>
            <w:hideMark/>
          </w:tcPr>
          <w:p w14:paraId="1DEE7C7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7A9AF10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International Survey of Food Fraud </w:t>
            </w:r>
          </w:p>
        </w:tc>
        <w:tc>
          <w:tcPr>
            <w:tcW w:w="318" w:type="pct"/>
          </w:tcPr>
          <w:p w14:paraId="6CBCE882" w14:textId="5E833FB5"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2630B50B" w14:textId="6C2FE6DB" w:rsidR="000B21B4" w:rsidRPr="00A61595" w:rsidRDefault="000B21B4" w:rsidP="00380533">
            <w:pPr>
              <w:rPr>
                <w:rFonts w:ascii="Arial" w:hAnsi="Arial" w:cs="Arial"/>
                <w:sz w:val="14"/>
                <w:szCs w:val="14"/>
              </w:rPr>
            </w:pPr>
            <w:r w:rsidRPr="00A61595">
              <w:rPr>
                <w:rFonts w:ascii="Arial" w:hAnsi="Arial" w:cs="Arial"/>
                <w:color w:val="000000"/>
                <w:sz w:val="14"/>
                <w:szCs w:val="14"/>
              </w:rPr>
              <w:t>NA</w:t>
            </w:r>
          </w:p>
        </w:tc>
        <w:tc>
          <w:tcPr>
            <w:tcW w:w="371" w:type="pct"/>
          </w:tcPr>
          <w:p w14:paraId="359E3D8A" w14:textId="04B8532D" w:rsidR="000B21B4" w:rsidRPr="00A61595" w:rsidRDefault="000B21B4" w:rsidP="00380533">
            <w:pPr>
              <w:rPr>
                <w:rFonts w:ascii="Arial" w:hAnsi="Arial" w:cs="Arial"/>
                <w:sz w:val="14"/>
                <w:szCs w:val="14"/>
              </w:rPr>
            </w:pPr>
            <w:r w:rsidRPr="00A61595">
              <w:rPr>
                <w:rFonts w:ascii="Arial" w:hAnsi="Arial" w:cs="Arial"/>
                <w:color w:val="000000"/>
                <w:sz w:val="14"/>
                <w:szCs w:val="14"/>
              </w:rPr>
              <w:t>g, h</w:t>
            </w:r>
          </w:p>
        </w:tc>
        <w:tc>
          <w:tcPr>
            <w:tcW w:w="229" w:type="pct"/>
          </w:tcPr>
          <w:p w14:paraId="12ABA91C" w14:textId="2E5BA351"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D74E6E2" w14:textId="0C951639" w:rsidTr="00380533">
        <w:trPr>
          <w:trHeight w:val="285"/>
        </w:trPr>
        <w:tc>
          <w:tcPr>
            <w:tcW w:w="715" w:type="pct"/>
            <w:gridSpan w:val="2"/>
            <w:shd w:val="clear" w:color="auto" w:fill="auto"/>
            <w:noWrap/>
            <w:hideMark/>
          </w:tcPr>
          <w:p w14:paraId="049E7E79" w14:textId="11307EA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Stamatis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{"citationID":"a2gumhepqoq","properties":{"formattedCitation":"(190)","plainCitation":"(190)","noteIndex":0},"citationItems":[{"id":17224,"uris":["http://zotero.org/groups/2477744/items/F7ZYY8UR"],"itemData":{"id":17224,"type":"article-journal","abstract":"In this study, analysis of 348 food products was performed based on a universal 16S rDNA marker. The purpose was to check whether the content of the product in particular species listed on the label corresponded with the actual composition of the product. All products were purchased from the local market and from national and international super-market chains and included dairy products and industrially processed packaged food from meat, poultry and fish. All products were grouped in seven groups: milk, food for pets, packaged yellow cheeses, packaged white cheeses, PDO cheeses, processed meats and frozen fish foodstuff. Mislabelled foods were found in all seven groups but the extent of adulteration differed between groups. The lowest percentage (15%) was found for packaged yellow cheeses whilst the highest (54%) for foods for pets. Mislabelling for milks was 26%, for packaged white cheeses 29%, for PDO cheeses 26%, for frozen fish products 35% and for processed meats 34%. These alarming findings, combined with those retrieved from the literature, raise significant concern in the monitoring methods employed for supervision worldwide. It is urgent for the authorities to address the adequacy of labelling, to improve and extent monitoring methods and redefine penalising policies against food fraud. On the other hand, the food industry should assume its responsibilities and establish its own accurate and extensive control and inspection mechanisms. Otherwise, there is a growing risk of losing the trust of consumers as well as a large percentage of profits. © 2014 Elsevier Ltd.","container-title":"Food Research International","DOI":"10.1016/j.foodres.2014.12.033","journalAbbreviation":"Food Research International","page":"151-155","title":"What do we think we eat? Single tracing method across foodstuff of animal origin found in Greek market","URL":"https://www.scopus.com/inward/record.uri?eid=2-s2.0-84920901683&amp;doi=10.1016%2fj.foodres.2014.12.033&amp;partnerID=40&amp;md5=2b8cf3a41b9b0e01aa8c771ede6ce232","volume":"69","author":[{"family":"Stamatis","given":"C."},{"family":"Sarri","given":"C.A."},{"family":"Moutou","given":"K.A."},{"family":"Argyrakoulis","given":"N."},{"family":"Galara","given":"I."},{"family":"Godosopoulos","given":"V."},{"family":"Kolovos","given":"M."},{"family":"Liakou","given":"C."},{"family":"Stasinou","given":"V."},{"family":"Mamuris","given":"Z."}],"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(190)</w:t>
            </w:r>
            <w:r w:rsidRPr="00A61595">
              <w:rPr>
                <w:rFonts w:ascii="Arial" w:eastAsia="Times New Roman" w:hAnsi="Arial" w:cs="Arial"/>
                <w:sz w:val="14"/>
                <w:szCs w:val="14"/>
              </w:rPr>
              <w:fldChar w:fldCharType="end"/>
            </w:r>
          </w:p>
        </w:tc>
        <w:tc>
          <w:tcPr>
            <w:tcW w:w="192" w:type="pct"/>
            <w:shd w:val="clear" w:color="auto" w:fill="auto"/>
            <w:noWrap/>
            <w:hideMark/>
          </w:tcPr>
          <w:p w14:paraId="4F66994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12FC8B3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Single tracing method across foodstuffs of animal origin</w:t>
            </w:r>
          </w:p>
        </w:tc>
        <w:tc>
          <w:tcPr>
            <w:tcW w:w="318" w:type="pct"/>
          </w:tcPr>
          <w:p w14:paraId="4E823A3C" w14:textId="77EB5A58"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7500EC1B" w14:textId="1AF5CED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F6EBF9F" w14:textId="630CE518"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b, d, </w:t>
            </w:r>
            <w:proofErr w:type="spellStart"/>
            <w:r w:rsidRPr="00A61595">
              <w:rPr>
                <w:rFonts w:ascii="Arial" w:hAnsi="Arial" w:cs="Arial"/>
                <w:color w:val="000000"/>
                <w:sz w:val="14"/>
                <w:szCs w:val="14"/>
              </w:rPr>
              <w:t>i</w:t>
            </w:r>
            <w:proofErr w:type="spellEnd"/>
          </w:p>
        </w:tc>
        <w:tc>
          <w:tcPr>
            <w:tcW w:w="229" w:type="pct"/>
          </w:tcPr>
          <w:p w14:paraId="16B9FB53" w14:textId="00BDC581"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F61C581" w14:textId="0B4E9C0A" w:rsidTr="00380533">
        <w:trPr>
          <w:trHeight w:val="285"/>
        </w:trPr>
        <w:tc>
          <w:tcPr>
            <w:tcW w:w="715" w:type="pct"/>
            <w:gridSpan w:val="2"/>
            <w:shd w:val="clear" w:color="auto" w:fill="auto"/>
            <w:noWrap/>
            <w:hideMark/>
          </w:tcPr>
          <w:p w14:paraId="08CA779F" w14:textId="7E6E5043"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Standing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{"citationID":"a13jospguq6","properties":{"formattedCitation":"(191)","plainCitation":"(191)","noteIndex":0},"citationItems":[{"id":17097,"uris":["http://zotero.org/groups/2477744/items/FLRPWIFW"],"itemData":{"id":17097,"type":"article-journal","abstract":"This article applies the concept of state-corporate crime to the fisheries sector. It presents a case study from Senegal where Russian, European and Asian fishing firms supported by their home governments, gained access to overfished stocks that are vital to local food security and the artisanal fishing sector. The discussion elaborates on the main observations from Senegal about the nature and implications of state-corporate crime, drawing on further evidence from other countries. It provides a contrasting perspective to mainstream fisheries policy, including the global fight against ``fish pirates{''}, and the dictates of the wealth-based approach to fisheries reform.","container-title":"STATE CRIME","DOI":"10.13169/statecrime.4.2.0175","issue":"2","journalAbbreviation":"STATE CRIME","page":"175-197","title":"MIRAGE OF PIRATES: STATE-CORPORATE CRIME IN WEST AFRICA'S FISHERIES","volume":"4","author":[{"family":"Standing","given":"Andre"}],"issued":{"date-parts":[["2015"]]}}}],"schema":"https://github.com/citation-style-language/schema/raw/master/csl-citation.json"}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(191)</w:t>
            </w:r>
            <w:r w:rsidRPr="00A61595">
              <w:rPr>
                <w:rFonts w:ascii="Arial" w:eastAsia="Times New Roman" w:hAnsi="Arial" w:cs="Arial"/>
                <w:sz w:val="14"/>
                <w:szCs w:val="14"/>
              </w:rPr>
              <w:fldChar w:fldCharType="end"/>
            </w:r>
          </w:p>
        </w:tc>
        <w:tc>
          <w:tcPr>
            <w:tcW w:w="192" w:type="pct"/>
            <w:shd w:val="clear" w:color="auto" w:fill="auto"/>
            <w:noWrap/>
            <w:hideMark/>
          </w:tcPr>
          <w:p w14:paraId="5A5BCAA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61986B8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Criminogenic relationships between corporate and state actors in fisheries</w:t>
            </w:r>
          </w:p>
        </w:tc>
        <w:tc>
          <w:tcPr>
            <w:tcW w:w="318" w:type="pct"/>
          </w:tcPr>
          <w:p w14:paraId="61C4EB9F" w14:textId="7DA4833F" w:rsidR="000B21B4" w:rsidRPr="00A61595" w:rsidRDefault="000B21B4" w:rsidP="00380533">
            <w:pPr>
              <w:rPr>
                <w:rFonts w:ascii="Arial" w:hAnsi="Arial" w:cs="Arial"/>
                <w:sz w:val="14"/>
                <w:szCs w:val="14"/>
              </w:rPr>
            </w:pPr>
            <w:r w:rsidRPr="00A61595">
              <w:rPr>
                <w:rFonts w:ascii="Arial" w:hAnsi="Arial" w:cs="Arial"/>
                <w:color w:val="000000"/>
                <w:sz w:val="14"/>
                <w:szCs w:val="14"/>
              </w:rPr>
              <w:t>a, c, d, e</w:t>
            </w:r>
          </w:p>
        </w:tc>
        <w:tc>
          <w:tcPr>
            <w:tcW w:w="306" w:type="pct"/>
          </w:tcPr>
          <w:p w14:paraId="5A901CBF" w14:textId="2B4C028C"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65ABB5C8" w14:textId="1E0A75AD" w:rsidR="000B21B4" w:rsidRPr="00A61595" w:rsidRDefault="000B21B4" w:rsidP="00380533">
            <w:pPr>
              <w:rPr>
                <w:rFonts w:ascii="Arial" w:hAnsi="Arial" w:cs="Arial"/>
                <w:sz w:val="14"/>
                <w:szCs w:val="14"/>
              </w:rPr>
            </w:pPr>
            <w:r w:rsidRPr="00A61595">
              <w:rPr>
                <w:rFonts w:ascii="Arial" w:hAnsi="Arial" w:cs="Arial"/>
                <w:color w:val="000000"/>
                <w:sz w:val="14"/>
                <w:szCs w:val="14"/>
              </w:rPr>
              <w:t>a, d, f</w:t>
            </w:r>
          </w:p>
        </w:tc>
        <w:tc>
          <w:tcPr>
            <w:tcW w:w="229" w:type="pct"/>
          </w:tcPr>
          <w:p w14:paraId="0769B72A" w14:textId="125125E6" w:rsidR="000B21B4" w:rsidRPr="00A61595" w:rsidRDefault="000B21B4" w:rsidP="00380533">
            <w:pPr>
              <w:rPr>
                <w:rFonts w:ascii="Arial" w:hAnsi="Arial" w:cs="Arial"/>
                <w:sz w:val="14"/>
                <w:szCs w:val="14"/>
              </w:rPr>
            </w:pPr>
            <w:r w:rsidRPr="00A61595">
              <w:rPr>
                <w:rFonts w:ascii="Arial" w:hAnsi="Arial" w:cs="Arial"/>
                <w:color w:val="000000"/>
                <w:sz w:val="14"/>
                <w:szCs w:val="14"/>
              </w:rPr>
              <w:t>a, b, g</w:t>
            </w:r>
          </w:p>
        </w:tc>
      </w:tr>
      <w:tr w:rsidR="000B21B4" w:rsidRPr="00A61595" w14:paraId="407CEE25" w14:textId="4E2796EF" w:rsidTr="00380533">
        <w:trPr>
          <w:trHeight w:val="285"/>
        </w:trPr>
        <w:tc>
          <w:tcPr>
            <w:tcW w:w="715" w:type="pct"/>
            <w:gridSpan w:val="2"/>
            <w:shd w:val="clear" w:color="auto" w:fill="auto"/>
            <w:noWrap/>
            <w:hideMark/>
          </w:tcPr>
          <w:p w14:paraId="54E2A6D3" w14:textId="58E05CE7"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Stanikzai</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{"citationID":"a95i0lt0ko","properties":{"formattedCitation":"(192)","plainCitation":"(192)","noteIndex":0},"citationItems":[{"id":17223,"uris":["http://zotero.org/groups/2477744/items/QSWQYABM"],"itemData":{"id":17223,"type":"article-journal","abstract":"Wheat is the staple food crop in Afghanistan and maintaining its production plays important role in ensuring food security and food self-sufficiency. Wheat and its products are accounted for almost 60% to 75% of calories intake. However, being a country that has been facing war since 1978, it has been challenging for the wheat production industry to maintain its production to feed its people. Hence, the purpose of this study is to investigate wheat crop industry players’ vulnerabilities in the production of the wheat crop in a prolonged war zone. The study is conducted through the case study approach. Required data was collected through interviews, observations and documents which was analyzed through thematic analysis. This study found that in addition to the normal vulnerabilities/issues faced by the wheat crop industry players in the world, the players in the war zone have to face psychological effects, and financial corruption as well. © 2021 The Authors. Published by Rynnye Lyan Resources.","container-title":"Food Research","DOI":"10.26656/fr.2017.5(2).506","issue":"2","journalAbbreviation":"Food Research","page":"427-439","title":"Vulnerabilities of wheat crop farmers in war zone","URL":"https://www.scopus.com/inward/record.uri?eid=2-s2.0-85105679807&amp;doi=10.26656%2ffr.2017.5%282%29.506&amp;partnerID=40&amp;md5=2902436993652e29ff317ac74a2fd5ff","volume":"5","author":[{"family":"Stanikzai","given":"A.N."},{"family":"Ali","given":"F."},{"family":"Kamarulzaman","given":"N.H."}],"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(192)</w:t>
            </w:r>
            <w:r w:rsidRPr="00A61595">
              <w:rPr>
                <w:rFonts w:ascii="Arial" w:eastAsia="Times New Roman" w:hAnsi="Arial" w:cs="Arial"/>
                <w:sz w:val="14"/>
                <w:szCs w:val="14"/>
              </w:rPr>
              <w:fldChar w:fldCharType="end"/>
            </w:r>
          </w:p>
        </w:tc>
        <w:tc>
          <w:tcPr>
            <w:tcW w:w="192" w:type="pct"/>
            <w:shd w:val="clear" w:color="auto" w:fill="auto"/>
            <w:noWrap/>
            <w:hideMark/>
          </w:tcPr>
          <w:p w14:paraId="1626D90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4EC396C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Vulnerabilities of farmers in the production of wheat crop in a war zone</w:t>
            </w:r>
          </w:p>
        </w:tc>
        <w:tc>
          <w:tcPr>
            <w:tcW w:w="318" w:type="pct"/>
          </w:tcPr>
          <w:p w14:paraId="5FD6395F" w14:textId="28E382C6"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3863D697" w14:textId="3B1CBA8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692C39F7" w14:textId="582C834A"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g, </w:t>
            </w:r>
            <w:proofErr w:type="spellStart"/>
            <w:r w:rsidRPr="00A61595">
              <w:rPr>
                <w:rFonts w:ascii="Arial" w:hAnsi="Arial" w:cs="Arial"/>
                <w:color w:val="000000"/>
                <w:sz w:val="14"/>
                <w:szCs w:val="14"/>
              </w:rPr>
              <w:t>i</w:t>
            </w:r>
            <w:proofErr w:type="spellEnd"/>
          </w:p>
        </w:tc>
        <w:tc>
          <w:tcPr>
            <w:tcW w:w="229" w:type="pct"/>
          </w:tcPr>
          <w:p w14:paraId="60B8B423" w14:textId="3EB59B34" w:rsidR="000B21B4" w:rsidRPr="00A61595" w:rsidRDefault="000B21B4" w:rsidP="00380533">
            <w:pPr>
              <w:rPr>
                <w:rFonts w:ascii="Arial" w:hAnsi="Arial" w:cs="Arial"/>
                <w:sz w:val="14"/>
                <w:szCs w:val="14"/>
              </w:rPr>
            </w:pPr>
            <w:r w:rsidRPr="00A61595">
              <w:rPr>
                <w:rFonts w:ascii="Arial" w:hAnsi="Arial" w:cs="Arial"/>
                <w:color w:val="000000"/>
                <w:sz w:val="14"/>
                <w:szCs w:val="14"/>
              </w:rPr>
              <w:t>c, f</w:t>
            </w:r>
          </w:p>
        </w:tc>
      </w:tr>
      <w:tr w:rsidR="000B21B4" w:rsidRPr="00A61595" w14:paraId="5957A1BB" w14:textId="580FF441" w:rsidTr="00380533">
        <w:trPr>
          <w:trHeight w:val="285"/>
        </w:trPr>
        <w:tc>
          <w:tcPr>
            <w:tcW w:w="715" w:type="pct"/>
            <w:gridSpan w:val="2"/>
            <w:shd w:val="clear" w:color="auto" w:fill="auto"/>
            <w:noWrap/>
            <w:hideMark/>
          </w:tcPr>
          <w:p w14:paraId="13C8D9B6" w14:textId="310AF2BD"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Sugden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{"citationID":"a1entuh540o","properties":{"formattedCitation":"(193)","plainCitation":"(193)","noteIndex":0},"citationItems":[{"id":17129,"uris":["http://zotero.org/groups/2477744/items/85QCJMYE"],"itemData":{"id":17129,"type":"article-journal","abstract":"Reports from a number of informed sources now indicate that British farms are suffering some of the highest levels of crime in their existence. This paper concentrates on one identifiable farming region within the United Kingdom--the county of Rutland--and reports on the findings of a detailed farm crime survey carried out in 1996. The findings reveal a level of crime quite possibly unsuspected even by the farmers themselves. (PsycINFO Database Record (c) 2017 APA, all rights reserved)","container-title":"Crime Prevention and Community Safety","DOI":"10.1057/palgrave.cpcs.8140023","issue":"3","journalAbbreviation":"Crime Prevention and Community Safety","note":"publisher-place: United Kingdom\npublisher: Palgrave Macmillan","page":"29-36","title":"Farm Crime: Out of Sight, Out of Mind: A Study of Crime on Farms in the County of Rutland, England.","volume":"1","author":[{"family":"Sugden","given":"Gavin"}],"issued":{"date-parts":[["1999"]]}}}],"schema":"https://github.com/citation-style-language/schema/raw/master/csl-citation.json"}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(193)</w:t>
            </w:r>
            <w:r w:rsidRPr="00A61595">
              <w:rPr>
                <w:rFonts w:ascii="Arial" w:eastAsia="Times New Roman" w:hAnsi="Arial" w:cs="Arial"/>
                <w:sz w:val="14"/>
                <w:szCs w:val="14"/>
              </w:rPr>
              <w:fldChar w:fldCharType="end"/>
            </w:r>
          </w:p>
        </w:tc>
        <w:tc>
          <w:tcPr>
            <w:tcW w:w="192" w:type="pct"/>
            <w:shd w:val="clear" w:color="auto" w:fill="auto"/>
            <w:noWrap/>
            <w:hideMark/>
          </w:tcPr>
          <w:p w14:paraId="1B54CD8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1999</w:t>
            </w:r>
          </w:p>
        </w:tc>
        <w:tc>
          <w:tcPr>
            <w:tcW w:w="2869" w:type="pct"/>
            <w:gridSpan w:val="4"/>
            <w:shd w:val="clear" w:color="auto" w:fill="auto"/>
            <w:noWrap/>
            <w:hideMark/>
          </w:tcPr>
          <w:p w14:paraId="7B7F2FB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Farm crimes in England</w:t>
            </w:r>
          </w:p>
        </w:tc>
        <w:tc>
          <w:tcPr>
            <w:tcW w:w="318" w:type="pct"/>
          </w:tcPr>
          <w:p w14:paraId="771A3DB2" w14:textId="3A03C179"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06" w:type="pct"/>
          </w:tcPr>
          <w:p w14:paraId="44BDDEEF" w14:textId="3D2206AA"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431E47AC" w14:textId="5D667B14"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w:t>
            </w:r>
            <w:proofErr w:type="spellStart"/>
            <w:r w:rsidRPr="00A61595">
              <w:rPr>
                <w:rFonts w:ascii="Arial" w:hAnsi="Arial" w:cs="Arial"/>
                <w:color w:val="000000"/>
                <w:sz w:val="14"/>
                <w:szCs w:val="14"/>
              </w:rPr>
              <w:t>i</w:t>
            </w:r>
            <w:proofErr w:type="spellEnd"/>
          </w:p>
        </w:tc>
        <w:tc>
          <w:tcPr>
            <w:tcW w:w="229" w:type="pct"/>
          </w:tcPr>
          <w:p w14:paraId="7BB06AF2" w14:textId="3F8C8781"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1FB61DFA" w14:textId="0D374685" w:rsidTr="00380533">
        <w:trPr>
          <w:trHeight w:val="285"/>
        </w:trPr>
        <w:tc>
          <w:tcPr>
            <w:tcW w:w="715" w:type="pct"/>
            <w:gridSpan w:val="2"/>
            <w:shd w:val="clear" w:color="auto" w:fill="auto"/>
            <w:noWrap/>
            <w:hideMark/>
          </w:tcPr>
          <w:p w14:paraId="11E459C7" w14:textId="33DD76D9"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Sulle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{"citationID":"anvqhd4ivg","properties":{"formattedCitation":"(194)","plainCitation":"(194)","noteIndex":0},"citationItems":[{"id":17222,"uris":["http://zotero.org/groups/2477744/items/TR4ZBGTB"],"itemData":{"id":17222,"type":"article-journal","abstract":"The privatisation of formerly state-owned sugar cane estates and mills in the late 1990s led to the reconfiguration of the ownership structure and production of the Tanzanian sugar industry. This included the decentralisation of sugar cane production operations to outgrowers and their associations. Based on an investigation of sugar cane outgrowers of the Kilombero Sugar Company, this article explores the outcomes of this transformation and the dynamics of social differentiation, and the ways in which this is shaped by Tanzania’s institutional and legal framework governing the sugar industry. While increased sugar cane production has created jobs and income for some outgrower households, it has also been associated with several adverse impacts. Large-scale outgrowers have rapidly captured the most lucrative business opportunities and the land they require, marginalising smaller outgrowers. This is further exacerbated by heightened competition among farmers and patronage relations affecting the distribution of harvest quotas and cheap sugar imports. The outgrower model is central to national development initiatives such as the Southern Agriculture Growth Corridor of Tanzania and ‘Big Results Now’. Despite the grand ambitions of large-scale agricultural commercialisation, who wins and who loses out depends more on the local political economy, where the sugar industry, local business, political elites and local communities compete for the benefits of expanded sugar production. © 2016 The Author(s).","container-title":"Journal of Southern African Studies","DOI":"10.1080/03057070.2016.1215171","issue":"3","journalAbbreviation":"Journal of Southern African Studies","page":"517-533","title":"Social differentiation and the politics of land: Sugar cane outgrowing in Kilombero, Tanzania","URL":"https://www.scopus.com/inward/record.uri?eid=2-s2.0-84987858721&amp;doi=10.1080%2f03057070.2016.1215171&amp;partnerID=40&amp;md5=3b78a98544161fc3fa1fad500723650f","volume":"43","author":[{"family":"Sulle","given":"E."}],"issued":{"date-parts":[["2017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(194)</w:t>
            </w:r>
            <w:r w:rsidRPr="00A61595">
              <w:rPr>
                <w:rFonts w:ascii="Arial" w:eastAsia="Times New Roman" w:hAnsi="Arial" w:cs="Arial"/>
                <w:sz w:val="14"/>
                <w:szCs w:val="14"/>
              </w:rPr>
              <w:fldChar w:fldCharType="end"/>
            </w:r>
          </w:p>
        </w:tc>
        <w:tc>
          <w:tcPr>
            <w:tcW w:w="192" w:type="pct"/>
            <w:shd w:val="clear" w:color="auto" w:fill="auto"/>
            <w:noWrap/>
            <w:hideMark/>
          </w:tcPr>
          <w:p w14:paraId="0054EEC7"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2017</w:t>
            </w:r>
          </w:p>
        </w:tc>
        <w:tc>
          <w:tcPr>
            <w:tcW w:w="2869" w:type="pct"/>
            <w:gridSpan w:val="4"/>
            <w:shd w:val="clear" w:color="auto" w:fill="auto"/>
            <w:noWrap/>
            <w:hideMark/>
          </w:tcPr>
          <w:p w14:paraId="5363335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Impacts of class dynamics and social differentiation on sugar cane out growers</w:t>
            </w:r>
          </w:p>
        </w:tc>
        <w:tc>
          <w:tcPr>
            <w:tcW w:w="318" w:type="pct"/>
          </w:tcPr>
          <w:p w14:paraId="1C9909F3" w14:textId="708341CB"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06" w:type="pct"/>
          </w:tcPr>
          <w:p w14:paraId="361F7A82" w14:textId="768004FA"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0AB8EC9" w14:textId="284BD65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229" w:type="pct"/>
          </w:tcPr>
          <w:p w14:paraId="0091B2C1" w14:textId="006ABAA0" w:rsidR="000B21B4" w:rsidRPr="00A61595" w:rsidRDefault="000B21B4" w:rsidP="00380533">
            <w:pPr>
              <w:rPr>
                <w:rFonts w:ascii="Arial" w:hAnsi="Arial" w:cs="Arial"/>
                <w:sz w:val="14"/>
                <w:szCs w:val="14"/>
              </w:rPr>
            </w:pPr>
            <w:r w:rsidRPr="00A61595">
              <w:rPr>
                <w:rFonts w:ascii="Arial" w:hAnsi="Arial" w:cs="Arial"/>
                <w:color w:val="000000"/>
                <w:sz w:val="14"/>
                <w:szCs w:val="14"/>
              </w:rPr>
              <w:t>g</w:t>
            </w:r>
          </w:p>
        </w:tc>
      </w:tr>
      <w:tr w:rsidR="000B21B4" w:rsidRPr="00A61595" w14:paraId="5B116C60" w14:textId="198638A3" w:rsidTr="00380533">
        <w:trPr>
          <w:trHeight w:val="285"/>
        </w:trPr>
        <w:tc>
          <w:tcPr>
            <w:tcW w:w="715" w:type="pct"/>
            <w:gridSpan w:val="2"/>
            <w:shd w:val="clear" w:color="auto" w:fill="auto"/>
            <w:noWrap/>
            <w:hideMark/>
          </w:tcPr>
          <w:p w14:paraId="28A8B339" w14:textId="2FF1E1FA"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Sullivan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{"citationID":"a2agbgpu3td","properties":{"formattedCitation":"(195)","plainCitation":"(195)","noteIndex":0},"citationItems":[{"id":18773,"uris":["http://zotero.org/groups/2477744/items/ICM2LQQQ"],"itemData":{"id":18773,"type":"article-journal","abstract":"In the last century, national and international movements in capital and ideas have contributed to the radical transformation of the Brazilian countryside. In Mato Grosso do Sul, Guarani have been displaced onto reservations (through often extra-legal means) due to deforestation for cattle ranches and agricultural plantations. Guarani land activists link displacement to problems like starvation and high crime rates. Today, protest occupations of plantations result in sometimes violent counter-mobilization by plantation owners. This article investigates the production of ethnic boundaries between self-identified 'Indians' and 'non-Indians', which become articulated as territorial. It interrogates how these boundaries are both produced by and contribute to the economic development policies driving the land grab in Brazil. © 2013 International Institute of Social Studies.","container-title":"Development and Change","DOI":"10.1111/dech.12010","issue":"2","journalAbbreviation":"Development and Change","page":"451-471","title":"Identity, Territory and Land Conflict in Brazil","URL":"https://www.scopus.com/inward/record.uri?eid=2-s2.0-84875080743&amp;doi=10.1111%2fdech.12010&amp;partnerID=40&amp;md5=ee6508178cb605c6a0f754d0c49bf1fc","volume":"44","author":[{"family":"Sullivan","given":"L."}],"issued":{"date-parts":[["2013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(195)</w:t>
            </w:r>
            <w:r w:rsidRPr="00A61595">
              <w:rPr>
                <w:rFonts w:ascii="Arial" w:eastAsia="Times New Roman" w:hAnsi="Arial" w:cs="Arial"/>
                <w:sz w:val="14"/>
                <w:szCs w:val="14"/>
              </w:rPr>
              <w:fldChar w:fldCharType="end"/>
            </w:r>
          </w:p>
        </w:tc>
        <w:tc>
          <w:tcPr>
            <w:tcW w:w="192" w:type="pct"/>
            <w:shd w:val="clear" w:color="auto" w:fill="auto"/>
            <w:noWrap/>
            <w:hideMark/>
          </w:tcPr>
          <w:p w14:paraId="6AF05C6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2013</w:t>
            </w:r>
          </w:p>
        </w:tc>
        <w:tc>
          <w:tcPr>
            <w:tcW w:w="2869" w:type="pct"/>
            <w:gridSpan w:val="4"/>
            <w:shd w:val="clear" w:color="auto" w:fill="auto"/>
            <w:noWrap/>
            <w:hideMark/>
          </w:tcPr>
          <w:p w14:paraId="41E3CBE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Identity, </w:t>
            </w:r>
            <w:bookmarkStart w:id="8" w:name="_Int_XHgcuqTC"/>
            <w:r w:rsidRPr="00A61595">
              <w:rPr>
                <w:rFonts w:ascii="Arial" w:eastAsia="Times New Roman" w:hAnsi="Arial" w:cs="Arial"/>
                <w:color w:val="000000" w:themeColor="text1"/>
                <w:sz w:val="14"/>
                <w:szCs w:val="14"/>
              </w:rPr>
              <w:t>territory,</w:t>
            </w:r>
            <w:bookmarkEnd w:id="8"/>
            <w:r w:rsidRPr="00A61595">
              <w:rPr>
                <w:rFonts w:ascii="Arial" w:eastAsia="Times New Roman" w:hAnsi="Arial" w:cs="Arial"/>
                <w:color w:val="000000" w:themeColor="text1"/>
                <w:sz w:val="14"/>
                <w:szCs w:val="14"/>
              </w:rPr>
              <w:t xml:space="preserve"> and land grabbing conflict</w:t>
            </w:r>
          </w:p>
        </w:tc>
        <w:tc>
          <w:tcPr>
            <w:tcW w:w="318" w:type="pct"/>
          </w:tcPr>
          <w:p w14:paraId="4D3774A5" w14:textId="1FFE8275"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6382C275" w14:textId="01DF8AF7"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A6AE2DD" w14:textId="77E2CBA4"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c>
          <w:tcPr>
            <w:tcW w:w="229" w:type="pct"/>
          </w:tcPr>
          <w:p w14:paraId="618E0263" w14:textId="52AB4F56"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85E142F" w14:textId="110F7149" w:rsidTr="00380533">
        <w:trPr>
          <w:trHeight w:val="285"/>
        </w:trPr>
        <w:tc>
          <w:tcPr>
            <w:tcW w:w="715" w:type="pct"/>
            <w:gridSpan w:val="2"/>
            <w:shd w:val="clear" w:color="auto" w:fill="auto"/>
            <w:noWrap/>
            <w:hideMark/>
          </w:tcPr>
          <w:p w14:paraId="46777F75" w14:textId="0870FE6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Sundstrom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{"citationID":"a26nb9ht10","properties":{"formattedCitation":"(196)","plainCitation":"(196)","noteIndex":0},"citationItems":[{"id":17095,"uris":["http://zotero.org/groups/2477744/items/EN7G4M8E"],"itemData":{"id":17095,"type":"article-journal","abstract":"Insights into how corruption hampers law enforcement in the governance of common-pool resources are currently limited. This article develops our understanding of this process through confidential interviews with enforcement officials in South African fisheries. First, it outlines how inspectors become ``blind and corrupt{''}: They receive bribes from fishermen in the form of finance, food, or friendship, which they pay back through inadequate enforcement, information sharing, or involvement. Second, it shows that widespread bribery increases the costs of remaining honest: Inspectors face corruption in the judiciary, which makes the writing of fines useless because these disappear from bribery among clerks and judges in the enforcement chain. Moreover, they face corruption in their organization, where substation managers and actors in top management are engaged in bribery, sending signals that corruption has small consequences. The article concludes by discussing how corruption distorts regulations and the implications for governing the commons. (C) 2015 Elsevier Ltd. All rights reserved.","container-title":"GLOBAL ENVIRONMENTAL CHANGE-HUMAN AND POLICY DIMENSIONS","DOI":"10.1016/j.gloenvcha.2015.02.002","journalAbbreviation":"GLOBAL ENVIRONMENTAL CHANGE-HUMAN AND POLICY DIMENSIONS","page":"253-262","title":"Covenants with broken swords: Corruption and law enforcement in governance of the commons","volume":"31","author":[{"family":"Sundstrom","given":"Aksel"}],"issued":{"date-parts":[["2015"]]}}}],"schema":"https://github.com/citation-style-language/schema/raw/master/csl-citation.json"}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(196)</w:t>
            </w:r>
            <w:r w:rsidRPr="00A61595">
              <w:rPr>
                <w:rFonts w:ascii="Arial" w:eastAsia="Times New Roman" w:hAnsi="Arial" w:cs="Arial"/>
                <w:sz w:val="14"/>
                <w:szCs w:val="14"/>
              </w:rPr>
              <w:fldChar w:fldCharType="end"/>
            </w:r>
          </w:p>
        </w:tc>
        <w:tc>
          <w:tcPr>
            <w:tcW w:w="192" w:type="pct"/>
            <w:shd w:val="clear" w:color="auto" w:fill="auto"/>
            <w:noWrap/>
            <w:hideMark/>
          </w:tcPr>
          <w:p w14:paraId="71618A8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487AC18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Insights into how corruption hampers law enforcement in the governance of common-pool resources</w:t>
            </w:r>
          </w:p>
        </w:tc>
        <w:tc>
          <w:tcPr>
            <w:tcW w:w="318" w:type="pct"/>
          </w:tcPr>
          <w:p w14:paraId="1879A53C" w14:textId="08A052F4"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306" w:type="pct"/>
          </w:tcPr>
          <w:p w14:paraId="0DC4AC9E" w14:textId="099B0CC5" w:rsidR="000B21B4" w:rsidRPr="00A61595" w:rsidRDefault="000B21B4" w:rsidP="00380533">
            <w:pPr>
              <w:rPr>
                <w:rFonts w:ascii="Arial" w:hAnsi="Arial" w:cs="Arial"/>
                <w:sz w:val="14"/>
                <w:szCs w:val="14"/>
              </w:rPr>
            </w:pPr>
            <w:r w:rsidRPr="00A61595">
              <w:rPr>
                <w:rFonts w:ascii="Arial" w:hAnsi="Arial" w:cs="Arial"/>
                <w:color w:val="000000"/>
                <w:sz w:val="14"/>
                <w:szCs w:val="14"/>
              </w:rPr>
              <w:t>f</w:t>
            </w:r>
          </w:p>
        </w:tc>
        <w:tc>
          <w:tcPr>
            <w:tcW w:w="371" w:type="pct"/>
          </w:tcPr>
          <w:p w14:paraId="4D1ED741" w14:textId="1C45A8E7" w:rsidR="000B21B4" w:rsidRPr="00A61595" w:rsidRDefault="000B21B4" w:rsidP="00380533">
            <w:pPr>
              <w:rPr>
                <w:rFonts w:ascii="Arial" w:hAnsi="Arial" w:cs="Arial"/>
                <w:sz w:val="14"/>
                <w:szCs w:val="14"/>
              </w:rPr>
            </w:pPr>
            <w:r w:rsidRPr="00A61595">
              <w:rPr>
                <w:rFonts w:ascii="Arial" w:hAnsi="Arial" w:cs="Arial"/>
                <w:color w:val="000000"/>
                <w:sz w:val="14"/>
                <w:szCs w:val="14"/>
              </w:rPr>
              <w:t>k</w:t>
            </w:r>
          </w:p>
        </w:tc>
        <w:tc>
          <w:tcPr>
            <w:tcW w:w="229" w:type="pct"/>
          </w:tcPr>
          <w:p w14:paraId="3334B8BF" w14:textId="376D566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149B70D9" w14:textId="78984E88" w:rsidTr="00380533">
        <w:trPr>
          <w:trHeight w:val="285"/>
        </w:trPr>
        <w:tc>
          <w:tcPr>
            <w:tcW w:w="715" w:type="pct"/>
            <w:gridSpan w:val="2"/>
            <w:shd w:val="clear" w:color="auto" w:fill="auto"/>
            <w:noWrap/>
            <w:hideMark/>
          </w:tcPr>
          <w:p w14:paraId="3C3909E5" w14:textId="31A9CE4F"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Sunge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{"citationID":"a2frtfj9hgc","properties":{"formattedCitation":"(197)","plainCitation":"(197)","noteIndex":0},"citationItems":[{"id":18906,"uris":["http://zotero.org/groups/2477744/items/UNIXL5S5"],"itemData":{"id":18906,"type":"article-journal","abstract":"Despite increased agricultural trade liberalization, high productive inefficiency in agriculture has kept Africa as a net importer of agriculture products. Empirical studies have focused on the trade liberalization-productivity growth nexus and overlooked the efficiency linkage. Also the role of regional trade agreements (RTAs) and institutions in reducing inefficiency in agriculture have been sidelined. We use a stochastic frontier approach and single-stage maximum likelihood estimation of a true fixed-effects panel data model for our analysis. Using maize and rice data, we provide evidence that through technology transfer, agricultural trade statistically improves technical efficiency. Moreover, results suggest that RTAs provide favourable technical efficiency effects, which varies across products and membership. Furthermore, we document that while regulatory quality reduces technical inefficiency, control of corruption increases it. Our findings call for increased role of RTAs in promoting agricultural trade liberalization. This should be complemented by further strengthening of institutions involved in the agriculture value chain.","container-title":"OUTLOOK ON AGRICULTURE","DOI":"10.1177/0030727019870551","journalAbbreviation":"OUTLOOK ON AGRICULTURE","title":"Agricultural trade liberalization, regional trade agreements and agricultural technical efficiency in Africa","author":[{"family":"Sunge","given":"Regret"},{"family":"Ngepah","given":"Nicholas"}],"issued":{"date-parts":[["2019"]]}}}],"schema":"https://github.com/citation-style-language/schema/raw/master/csl-citation.json"}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(197)</w:t>
            </w:r>
            <w:r w:rsidRPr="00A61595">
              <w:rPr>
                <w:rFonts w:ascii="Arial" w:eastAsia="Times New Roman" w:hAnsi="Arial" w:cs="Arial"/>
                <w:sz w:val="14"/>
                <w:szCs w:val="14"/>
              </w:rPr>
              <w:fldChar w:fldCharType="end"/>
            </w:r>
          </w:p>
        </w:tc>
        <w:tc>
          <w:tcPr>
            <w:tcW w:w="192" w:type="pct"/>
            <w:shd w:val="clear" w:color="auto" w:fill="auto"/>
            <w:noWrap/>
            <w:hideMark/>
          </w:tcPr>
          <w:p w14:paraId="733D6038"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06B6244E"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Impact of agricultural trade liberalization on technical efficiency</w:t>
            </w:r>
          </w:p>
        </w:tc>
        <w:tc>
          <w:tcPr>
            <w:tcW w:w="318" w:type="pct"/>
          </w:tcPr>
          <w:p w14:paraId="0609C28D" w14:textId="23AA1D23"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3F795A8A" w14:textId="502C8023"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2D932644" w14:textId="563C9B70" w:rsidR="000B21B4" w:rsidRPr="00A61595" w:rsidRDefault="000B21B4" w:rsidP="00380533">
            <w:pPr>
              <w:rPr>
                <w:rFonts w:ascii="Arial" w:hAnsi="Arial" w:cs="Arial"/>
                <w:sz w:val="14"/>
                <w:szCs w:val="14"/>
              </w:rPr>
            </w:pPr>
            <w:r w:rsidRPr="00A61595">
              <w:rPr>
                <w:rFonts w:ascii="Arial" w:hAnsi="Arial" w:cs="Arial"/>
                <w:color w:val="000000"/>
                <w:sz w:val="14"/>
                <w:szCs w:val="14"/>
              </w:rPr>
              <w:t>NA</w:t>
            </w:r>
          </w:p>
        </w:tc>
        <w:tc>
          <w:tcPr>
            <w:tcW w:w="229" w:type="pct"/>
          </w:tcPr>
          <w:p w14:paraId="012FD925" w14:textId="6E23FC3D"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r>
      <w:tr w:rsidR="000B21B4" w:rsidRPr="00A61595" w14:paraId="0F805246" w14:textId="7590A738" w:rsidTr="00380533">
        <w:trPr>
          <w:trHeight w:val="285"/>
        </w:trPr>
        <w:tc>
          <w:tcPr>
            <w:tcW w:w="715" w:type="pct"/>
            <w:gridSpan w:val="2"/>
            <w:shd w:val="clear" w:color="auto" w:fill="auto"/>
            <w:noWrap/>
            <w:hideMark/>
          </w:tcPr>
          <w:p w14:paraId="2A44E443" w14:textId="53FF4BCF"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Tagliarino</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{"citationID":"a25sgp85i2o","properties":{"formattedCitation":"(198)","plainCitation":"(198)","noteIndex":0},"citationItems":[{"id":17085,"uris":["http://zotero.org/groups/2477744/items/2KJQJV46"],"itemData":{"id":17085,"type":"article-journal","abstract":"In Nigeria, the recurring impoverishment and other negative socioeconomic impacts endured by landholders affected by expropriation are well-documented and call into question the Land Use Act's (LUA) effectiveness in protecting local land rights. The World Bank's Land Governance Assessment Framework found that, in Nigeria, ``a large number of acquisitions occurs without prompt and adequate compensation, thus leaving those losing land worse off, with no mechanism for independent appeal even though the land is often not utilized for a public purpose{''}. Such negative outcomes may be due to a number of factors, including corruption, limited capacity, and insufficient financing as well as Nigeria's weak legal framework. According to a recent study of compensation procedures established in national laws of 50 countries, Nigeria's compensation procedure lags behind many of the countries assessed because the LUA mostly fails to adopt international standards on the valuation of compensation. This article examines Nigerian expropriation and compensation procedures in more detail by combining both an in-depth legal analysis of Nigeria's expropriation laws as well as survey and qualitative research that indicates, to some extent, how expropriation laws function in practice in Nigeria. Based on our legal assessment, surveys, and interviews with both government and private sector officials involved in the LFTZ, we found that the Nigerian government failed to comply with international standards on expropriation and compensation, both in terms of its laws and its practices in the LFTZ case. This article expands our conference paper written for the UN Economic Commission of Africa Conference on Land Policy in Africa, which took place in Addis Ababa, Ethiopia in November of 2017. Under Nigeria's LUA, affected landholders are not granted the right to participate in expropriation and compensation decision- making or otherwise be consulted on matters affecting their land and livelihoods. In 2004, the LUA enabled the Lagos State government to set aside 16,500 hectares of expropriated agricultural land from Lagos coastal communities to develop the Lekki Free Trade Zone (LFTZ). Following the expropriation, the Lagos State Government (LSG) and Lekki Worldwide Investment Limited signed a Memorandum of Understand (MOU) with nine affected communities in 2007. The MOU is a legally binding document that promises compensation, alternative land, jobs, healthcare, and educational opportunities to the communities affected by expropriation. However, our research suggests that the MOU has not been fully honored. According to a survey of 140 affected households conducted in August 2017, the government still had not paid sufficient compensation to all affected communities or had not yet provided them with suitable alternative land, jobs, equity shares and other entitlements promised by the MOU. While there are several reasons why the MOU has not been honored, this article mainly focuses on the failure of the LUA to establish binding obligations on government officials to compensation, resettle, and reconstruct the livelihoods of affected landholders. This article argues that the LUA must be reformed so that, whenever land is expropriated for development projects, the government and private sector entities (i.e., acquiring bodies) have a legal obligation to provide sufficient and prompt compensation, alternative land, jobs, equity shares, and other entitlements to affected landholders. Moreover, the LUA should obligate the government and acquiring bodies to follow a transparent and participatory process when expropriating land and compensating communities so that, if properly enforced, the reformed LUA can mitigate the risks commonly associated with expropriation, including landholder impoverishment, displacement, food insecurity, and conflict.","container-title":"LAND","DOI":"10.3390/land7010023","issue":"1","journalAbbreviation":"LAND","title":"Compensation for Expropriated Community Farmland in Nigeria: An In-Depth Analysis of the Laws and Practices Related to Land Expropriation for the Lekki Free Trade Zone in Lagos","volume":"7","author":[{"family":"Tagliarino","given":"Nicholas K"},{"family":"Bununu","given":"Yakubu A"},{"family":"Micheal","given":"Magbagbeola O"},{"family":"De Maria","given":"Marcello"},{"family":"Olusanmi","given":"Akintobi"}],"issued":{"date-parts":[["2018"]]}}}],"schema":"https://github.com/citation-style-language/schema/raw/master/csl-citation.json"}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(198)</w:t>
            </w:r>
            <w:r w:rsidRPr="00A61595">
              <w:rPr>
                <w:rFonts w:ascii="Arial" w:eastAsia="Times New Roman" w:hAnsi="Arial" w:cs="Arial"/>
                <w:sz w:val="14"/>
                <w:szCs w:val="14"/>
              </w:rPr>
              <w:fldChar w:fldCharType="end"/>
            </w:r>
          </w:p>
        </w:tc>
        <w:tc>
          <w:tcPr>
            <w:tcW w:w="192" w:type="pct"/>
            <w:shd w:val="clear" w:color="auto" w:fill="auto"/>
            <w:noWrap/>
            <w:hideMark/>
          </w:tcPr>
          <w:p w14:paraId="2FF5B75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7A07923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Expropriation and compensation procedures for farmland in Nigeria</w:t>
            </w:r>
          </w:p>
        </w:tc>
        <w:tc>
          <w:tcPr>
            <w:tcW w:w="318" w:type="pct"/>
          </w:tcPr>
          <w:p w14:paraId="496C014F" w14:textId="7B3ACC16"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06" w:type="pct"/>
          </w:tcPr>
          <w:p w14:paraId="4F7B182D" w14:textId="19B458C3"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405B6671" w14:textId="36BDF28E"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f, </w:t>
            </w:r>
            <w:proofErr w:type="spellStart"/>
            <w:r w:rsidRPr="00A61595">
              <w:rPr>
                <w:rFonts w:ascii="Arial" w:hAnsi="Arial" w:cs="Arial"/>
                <w:color w:val="000000"/>
                <w:sz w:val="14"/>
                <w:szCs w:val="14"/>
              </w:rPr>
              <w:t>i</w:t>
            </w:r>
            <w:proofErr w:type="spellEnd"/>
          </w:p>
        </w:tc>
        <w:tc>
          <w:tcPr>
            <w:tcW w:w="229" w:type="pct"/>
          </w:tcPr>
          <w:p w14:paraId="0D75CCB4" w14:textId="300EF087"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C5FCFA4" w14:textId="482E34B3" w:rsidTr="00380533">
        <w:trPr>
          <w:trHeight w:val="285"/>
        </w:trPr>
        <w:tc>
          <w:tcPr>
            <w:tcW w:w="715" w:type="pct"/>
            <w:gridSpan w:val="2"/>
            <w:shd w:val="clear" w:color="auto" w:fill="auto"/>
            <w:noWrap/>
            <w:hideMark/>
          </w:tcPr>
          <w:p w14:paraId="48E0F8CF" w14:textId="531AC4A5"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Tähkäpää</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{"citationID":"a2ge03n5tlv","properties":{"formattedCitation":"(199)","plainCitation":"(199)","noteIndex":0},"citationItems":[{"id":17255,"uris":["http://zotero.org/groups/2477744/items/GEHLMZ98"],"itemData":{"id":17255,"type":"article-journal","abstract":"Food control systems are sometimes challenged when requirements set by law are intentionally violated by Food Business Operators (FBOs) deliberately putting food on the market with the intention of deceiving the consumer (food fraud/adulteration). There is also a growing concern that in some cases food frauds could be considered more risky than traditional food safety threats since their public health risks are often unconventional and difficult to detect. In this study, food frauds/adulterations published in the EU Rapid Alert System for Food and Feed (RASFF) (n = 376) in 2008-2012, notifications of recalls published by the Finnish Food Safety Authority (Evira) (n. = 50) in 2008-2012 and local Finnish cases (n = 16) in 2003-2012 were analysed to determine the overall pattern of reported frauds/adulterations in 2008-2012. Products originating from outside the borders were most often reported by both RASFF (92%) and Evira (90%), whereas local Finnish cases mainly dealt with domestic production (69%). In RASFF, 33% of notification reasons reported illegal or unauthorized trade, practices or adulteration/tampering, whereas the rest (67%) concerned detected frauds or intention of fraud in documentation. Missing, fraudulent or improper documents were also most commonly reported in local Finnish cases (63%), but the pattern was very different in Evira's notifications, where unauthorized food, ingredients or processes comprised 98% of all fraud notifications reasons. Both in RASFF fraud notifications (50%) and in local Finnish cases (88%), the majority of cases concerned food of animal origin, whereas in Evira's fraud notifications food supplements dominated (44%) and food of animal origin was reported only once (2%). The FBO was accused and found guilty of a health crime in 83% of local Finnish cases processed in court (n = 12). Although the differences detected in patterns of fraud/adulteration cases may be a reflection of true differences in frauds on the market, it may also indicate a risk of an overly narrow scope in surveillance of frauds/adulterations at the international, national or local level. This study also highlights the need to incorporate different types of data sources when planning national and international control systems for food frauds and adulterations. (C) 2014 Elsevier Ltd. All rights reserved.","archive_location":"WOS:000343612700027","container-title":"FOOD CONTROL","DOI":"10.1016/j.foodcont.2014.07.007","journalAbbreviation":"FOOD CONTROL","page":"175-184","title":"Patterns of food frauds and adulterations reported in the EU rapid alert system for food and feed and in Finland","volume":"47","author":[{"family":"Tahkapaa","given":"S"},{"family":"Maijala","given":"R"},{"family":"Korkeala","given":"H"},{"family":"Nevas","given":"M"}],"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(199)</w:t>
            </w:r>
            <w:r w:rsidRPr="00A61595">
              <w:rPr>
                <w:rFonts w:ascii="Arial" w:eastAsia="Times New Roman" w:hAnsi="Arial" w:cs="Arial"/>
                <w:sz w:val="14"/>
                <w:szCs w:val="14"/>
              </w:rPr>
              <w:fldChar w:fldCharType="end"/>
            </w:r>
          </w:p>
        </w:tc>
        <w:tc>
          <w:tcPr>
            <w:tcW w:w="192" w:type="pct"/>
            <w:shd w:val="clear" w:color="auto" w:fill="auto"/>
            <w:noWrap/>
            <w:hideMark/>
          </w:tcPr>
          <w:p w14:paraId="79B5EB9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57769C87"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Patterns of food frauds and adulterations reported in the EU rapid</w:t>
            </w:r>
            <w:r w:rsidRPr="00A61595">
              <w:rPr>
                <w:rFonts w:ascii="Arial" w:hAnsi="Arial" w:cs="Arial"/>
                <w:sz w:val="14"/>
                <w:szCs w:val="14"/>
              </w:rPr>
              <w:br/>
            </w:r>
            <w:r w:rsidRPr="00A61595">
              <w:rPr>
                <w:rFonts w:ascii="Arial" w:eastAsia="Times New Roman" w:hAnsi="Arial" w:cs="Arial"/>
                <w:color w:val="000000" w:themeColor="text1"/>
                <w:sz w:val="14"/>
                <w:szCs w:val="14"/>
              </w:rPr>
              <w:t>alert system</w:t>
            </w:r>
          </w:p>
        </w:tc>
        <w:tc>
          <w:tcPr>
            <w:tcW w:w="318" w:type="pct"/>
          </w:tcPr>
          <w:p w14:paraId="2FA87FB6" w14:textId="481B3E84"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6E3823EF" w14:textId="583A20D3"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7AC77837" w14:textId="490A1472"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w:t>
            </w:r>
            <w:proofErr w:type="spellStart"/>
            <w:r w:rsidRPr="00A61595">
              <w:rPr>
                <w:rFonts w:ascii="Arial" w:hAnsi="Arial" w:cs="Arial"/>
                <w:color w:val="000000"/>
                <w:sz w:val="14"/>
                <w:szCs w:val="14"/>
              </w:rPr>
              <w:t>i</w:t>
            </w:r>
            <w:proofErr w:type="spellEnd"/>
          </w:p>
        </w:tc>
        <w:tc>
          <w:tcPr>
            <w:tcW w:w="229" w:type="pct"/>
          </w:tcPr>
          <w:p w14:paraId="515BC180" w14:textId="22BF326E" w:rsidR="000B21B4" w:rsidRPr="00A61595" w:rsidRDefault="000B21B4" w:rsidP="00380533">
            <w:pPr>
              <w:rPr>
                <w:rFonts w:ascii="Arial" w:hAnsi="Arial" w:cs="Arial"/>
                <w:sz w:val="14"/>
                <w:szCs w:val="14"/>
              </w:rPr>
            </w:pPr>
            <w:r w:rsidRPr="00A61595">
              <w:rPr>
                <w:rFonts w:ascii="Arial" w:hAnsi="Arial" w:cs="Arial"/>
                <w:color w:val="000000"/>
                <w:sz w:val="14"/>
                <w:szCs w:val="14"/>
              </w:rPr>
              <w:t>d, e, f</w:t>
            </w:r>
          </w:p>
        </w:tc>
      </w:tr>
      <w:tr w:rsidR="000B21B4" w:rsidRPr="00A61595" w14:paraId="0CB3C34E" w14:textId="1BFE77B6" w:rsidTr="00380533">
        <w:trPr>
          <w:trHeight w:val="285"/>
        </w:trPr>
        <w:tc>
          <w:tcPr>
            <w:tcW w:w="715" w:type="pct"/>
            <w:gridSpan w:val="2"/>
            <w:shd w:val="clear" w:color="auto" w:fill="auto"/>
            <w:noWrap/>
            <w:hideMark/>
          </w:tcPr>
          <w:p w14:paraId="02ADB64D" w14:textId="714694D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Thomas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{"citationID":"a143fpuemd6","properties":{"formattedCitation":"(200)","plainCitation":"(200)","noteIndex":0},"citationItems":[{"id":17121,"uris":["http://zotero.org/groups/2477744/items/JS2HH8I6"],"itemData":{"id":17121,"type":"article-journal","abstract":"The retail grocery industry has long been plagued by dishonest delivery persons.  Controlling theft at the point of retail delivery is difficult for several reasons, and the emergence of computerized receiving systems has created an additional array of sophisticated theft techniques.  Interviews with delivery persons reveal that: 1.  computerized receiving systems can actually aid the theft that such systems are, in part, designed to prevent, 2.  small independents are especially vulnerable, 3.  cooperatives and independent distributors are doing little to help the retailer with these problems, and 4.  some Uniform Communication Standard Task Force recommendations are flawed.  Minimal and inexpensive efforts are discussed that can dramatically reduce the opportunity to use computers to steal from independent food retailers.  Enhanced distributor controls such as audits on the route, tighter invoice control, and monthly summary statements will provide a valuable service to the grocery industry.","archive_location":"220954564; 00675725","container-title":"Journal of Small Business Management","issue":"4","journalAbbreviation":"Journal of Small Business Management","note":"publisher-place: Milwaukee\npublisher: International Council for Small Business","page":"54","title":"Computer fraud perpetrated against small independent food retailers during the direct store delivery process","URL":"http://ezproxy.library.yorku.ca/login?url=https://search.proquest.com/docview/220954564?accountid=15182","volume":"30","author":[{"family":"Thomas","given":"James"},{"family":"Thomas","given":"Linda Thiede"}],"issued":{"date-parts":[["1992"]]}}}],"schema":"https://github.com/citation-style-language/schema/raw/master/csl-citation.json"}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(200)</w:t>
            </w:r>
            <w:r w:rsidRPr="00A61595">
              <w:rPr>
                <w:rFonts w:ascii="Arial" w:eastAsia="Times New Roman" w:hAnsi="Arial" w:cs="Arial"/>
                <w:sz w:val="14"/>
                <w:szCs w:val="14"/>
              </w:rPr>
              <w:fldChar w:fldCharType="end"/>
            </w:r>
          </w:p>
        </w:tc>
        <w:tc>
          <w:tcPr>
            <w:tcW w:w="192" w:type="pct"/>
            <w:shd w:val="clear" w:color="auto" w:fill="auto"/>
            <w:noWrap/>
            <w:hideMark/>
          </w:tcPr>
          <w:p w14:paraId="5D3754D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1992</w:t>
            </w:r>
          </w:p>
        </w:tc>
        <w:tc>
          <w:tcPr>
            <w:tcW w:w="2869" w:type="pct"/>
            <w:gridSpan w:val="4"/>
            <w:shd w:val="clear" w:color="auto" w:fill="auto"/>
            <w:noWrap/>
            <w:hideMark/>
          </w:tcPr>
          <w:p w14:paraId="7667F1C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Computer fraud perpetrated against small independent food retailers </w:t>
            </w:r>
          </w:p>
        </w:tc>
        <w:tc>
          <w:tcPr>
            <w:tcW w:w="318" w:type="pct"/>
          </w:tcPr>
          <w:p w14:paraId="0C433B1D" w14:textId="0D0497E6"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0A3F91A5" w14:textId="04440296"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3C30CB5" w14:textId="4023F887"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229" w:type="pct"/>
          </w:tcPr>
          <w:p w14:paraId="2CCB4436" w14:textId="3F022A2F"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B939854" w14:textId="5119306E" w:rsidTr="00380533">
        <w:trPr>
          <w:trHeight w:val="285"/>
        </w:trPr>
        <w:tc>
          <w:tcPr>
            <w:tcW w:w="715" w:type="pct"/>
            <w:gridSpan w:val="2"/>
            <w:shd w:val="clear" w:color="auto" w:fill="auto"/>
            <w:noWrap/>
            <w:hideMark/>
          </w:tcPr>
          <w:p w14:paraId="6758309F" w14:textId="17AE5529"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Tibugari</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{"citationID":"a1t0rsdlid5","properties":{"formattedCitation":"(201)","plainCitation":"(201)","noteIndex":0},"citationItems":[{"id":17221,"uris":["http://zotero.org/groups/2477744/items/G2TYBHNP"],"itemData":{"id":17221,"type":"article-journal","abstract":"High cost of hybrid seed can affect food self-sufficiency. A study was conducted to investigate the structure, conduct and performance of the hybrid maize seed industry in Zimbabwe to determine whether the level of competition in the industry caused high and unstable prices. Primary data on the quantity of hybrid maize produced and/or marketed, pricing strategies and hybrid maize seed prices for the period 2011 to 2015 was collected using questionnaires administered to marketing managers of 10 seed houses involved in hybrid maize seed production and marketing in Zimbabwe as well as key stakeholders. The questionnaires were also used as interview guides for key informant interviews with production managers of respective seed houses. Secondary data were obtained from annual reports and technical bulletins of respective companies. The analysis involved respondent triangulation as well as triangulating the data from responses with secondary data in order to increase the convergent validity of the data. Descriptive statistics, ANOVA and trend analysis were used for data analysis. Results indicated that the hybrid maize seed industry in Zimbabwe is highly concentrated meaning that there is low competition. The study established that there may be tacit collusion in the pricing of hybrid maize seed in the form of dominant firm price leadership. The study showed that prices have not been stable for the period 2011 to 2015. It is recommended that the government should enact policies that; prohibit abuse of a dominant position, prohibit mergers which create or strengthen a dominant position and prohibit state aid that creates monopolies. © 2019 The Author(s). This open access article is distributed under a Creative Commons Attribution (CC-BY) 4.0 license.","container-title":"Cogent Food and Agriculture","DOI":"10.1080/23311932.2019.1682230","issue":"1","journalAbbreviation":"Cogent Food and Agriculture","title":"Poor maize productivity in Zimbabwe: Can collusion in pricing by seed houses be the cause?","URL":"https://www.scopus.com/inward/record.uri?eid=2-s2.0-85092662584&amp;doi=10.1080%2f23311932.2019.1682230&amp;partnerID=40&amp;md5=6dd4b2018e7703d78cd5ac11840db112","volume":"5","author":[{"family":"Tibugari","given":"H."},{"family":"Chikasha","given":"T."},{"family":"Manyeruke","given":"N."},{"family":"Mathema","given":"N."},{"family":"Musara","given":"J.P."},{"family":"Dlamini","given":"D."},{"family":"Mapuranga","given":"R."},{"family":"Mapanje","given":"O."},{"family":"Banda","given":"A."},{"family":"Parwada","given":"C."}],"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(201)</w:t>
            </w:r>
            <w:r w:rsidRPr="00A61595">
              <w:rPr>
                <w:rFonts w:ascii="Arial" w:eastAsia="Times New Roman" w:hAnsi="Arial" w:cs="Arial"/>
                <w:sz w:val="14"/>
                <w:szCs w:val="14"/>
              </w:rPr>
              <w:fldChar w:fldCharType="end"/>
            </w:r>
          </w:p>
        </w:tc>
        <w:tc>
          <w:tcPr>
            <w:tcW w:w="192" w:type="pct"/>
            <w:shd w:val="clear" w:color="auto" w:fill="auto"/>
            <w:noWrap/>
            <w:hideMark/>
          </w:tcPr>
          <w:p w14:paraId="3D4E20D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41BE461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Collusion in the pricing of hybrid maize seed</w:t>
            </w:r>
          </w:p>
        </w:tc>
        <w:tc>
          <w:tcPr>
            <w:tcW w:w="318" w:type="pct"/>
          </w:tcPr>
          <w:p w14:paraId="4E63C041" w14:textId="320004C2"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63D364B6" w14:textId="45C348B7"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FCB97EC" w14:textId="6FC96956" w:rsidR="000B21B4" w:rsidRPr="00A61595" w:rsidRDefault="000B21B4" w:rsidP="00380533">
            <w:pPr>
              <w:rPr>
                <w:rFonts w:ascii="Arial" w:hAnsi="Arial" w:cs="Arial"/>
                <w:sz w:val="14"/>
                <w:szCs w:val="14"/>
              </w:rPr>
            </w:pPr>
            <w:r w:rsidRPr="00A61595">
              <w:rPr>
                <w:rFonts w:ascii="Arial" w:hAnsi="Arial" w:cs="Arial"/>
                <w:color w:val="000000"/>
                <w:sz w:val="14"/>
                <w:szCs w:val="14"/>
              </w:rPr>
              <w:t>a, d</w:t>
            </w:r>
          </w:p>
        </w:tc>
        <w:tc>
          <w:tcPr>
            <w:tcW w:w="229" w:type="pct"/>
          </w:tcPr>
          <w:p w14:paraId="0090119B" w14:textId="1CDAEA1A" w:rsidR="000B21B4" w:rsidRPr="00A61595" w:rsidRDefault="000B21B4" w:rsidP="00380533">
            <w:pPr>
              <w:rPr>
                <w:rFonts w:ascii="Arial" w:hAnsi="Arial" w:cs="Arial"/>
                <w:sz w:val="14"/>
                <w:szCs w:val="14"/>
              </w:rPr>
            </w:pPr>
            <w:r w:rsidRPr="00A61595">
              <w:rPr>
                <w:rFonts w:ascii="Arial" w:hAnsi="Arial" w:cs="Arial"/>
                <w:color w:val="000000"/>
                <w:sz w:val="14"/>
                <w:szCs w:val="14"/>
              </w:rPr>
              <w:t>f, g</w:t>
            </w:r>
          </w:p>
        </w:tc>
      </w:tr>
      <w:tr w:rsidR="000B21B4" w:rsidRPr="00A61595" w14:paraId="6D49EB94" w14:textId="1553A39E" w:rsidTr="00380533">
        <w:trPr>
          <w:trHeight w:val="285"/>
        </w:trPr>
        <w:tc>
          <w:tcPr>
            <w:tcW w:w="715" w:type="pct"/>
            <w:gridSpan w:val="2"/>
            <w:shd w:val="clear" w:color="auto" w:fill="auto"/>
            <w:noWrap/>
            <w:hideMark/>
          </w:tcPr>
          <w:p w14:paraId="28479C4B" w14:textId="1C195E4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Tracy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{"citationID":"a2ad3c8r59a","properties":{"formattedCitation":"(202)","plainCitation":"(202)","noteIndex":0},"citationItems":[{"id":17073,"uris":["http://zotero.org/groups/2477744/items/T658K87V"],"itemData":{"id":17073,"type":"article-journal","abstract":"In September 2008, revelation of melamine-contaminated milk supplies in China's dairy industry rocked its manufacturing sector still reeling from highly publicized food and safety scandals in 2007. Despite state and corporate interventions, regulatory and quality management issues highlighted in these earlier scandals remained. Local government and corporate actors' attempts to suppress information about the scandal highlighted concerns about transparency, accountability, and corruption. This article is based on ethnographic research conducted in 2009 and 2010 in Beijing and Shanghai and across 2012 and 2013 in Beijing and China's Inner Mongolia Autonomous Region. My goals are twofold. First, I seek to move forward discussions of transparency in China, which often suffer from easy dismissals by academics, the media and the public alike. Second, I aim to broaden our understanding of transparency as not just fulfilling multiple functions but also as multimodal in that it is actively produced across different scales of experience and through diverse mechanisms. Using data focused on the production and monitoring of food safety, I describe the structural challenges that led to the 2008 scandal, the measures implemented in the industry to prevent future problems, and the broader discussions and interventions designed to improve China's overall food safety record.","container-title":"POLAR-POLITICAL AND LEGAL ANTHROPOLOGY REVIEW","DOI":"10.1111/plar.12170","issue":"1","journalAbbreviation":"POLAR-POLITICAL AND LEGAL ANTHROPOLOGY REVIEW","page":"34-53","title":"Multimodality, Transparency, and Food Safety in China","volume":"39","author":[{"family":"Tracy","given":"Megan"}],"issued":{"date-parts":[["2016"]]}}}],"schema":"https://github.com/citation-style-language/schema/raw/master/csl-citation.json"}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(202)</w:t>
            </w:r>
            <w:r w:rsidRPr="00A61595">
              <w:rPr>
                <w:rFonts w:ascii="Arial" w:eastAsia="Times New Roman" w:hAnsi="Arial" w:cs="Arial"/>
                <w:sz w:val="14"/>
                <w:szCs w:val="14"/>
              </w:rPr>
              <w:fldChar w:fldCharType="end"/>
            </w:r>
          </w:p>
        </w:tc>
        <w:tc>
          <w:tcPr>
            <w:tcW w:w="192" w:type="pct"/>
            <w:shd w:val="clear" w:color="auto" w:fill="auto"/>
            <w:noWrap/>
            <w:hideMark/>
          </w:tcPr>
          <w:p w14:paraId="5E43B18D"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0F1D2CB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Transparency and Food Safety in China</w:t>
            </w:r>
          </w:p>
        </w:tc>
        <w:tc>
          <w:tcPr>
            <w:tcW w:w="318" w:type="pct"/>
          </w:tcPr>
          <w:p w14:paraId="44B89268" w14:textId="084602A4"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77D5677C" w14:textId="00DFFB37"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50EFF9BB" w14:textId="2BB511D9"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214C542D" w14:textId="5C7A7365"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1E4B48C6" w14:textId="60A9CC8F" w:rsidTr="00380533">
        <w:trPr>
          <w:trHeight w:val="285"/>
        </w:trPr>
        <w:tc>
          <w:tcPr>
            <w:tcW w:w="715" w:type="pct"/>
            <w:gridSpan w:val="2"/>
            <w:shd w:val="clear" w:color="auto" w:fill="auto"/>
            <w:noWrap/>
            <w:hideMark/>
          </w:tcPr>
          <w:p w14:paraId="47DF9150" w14:textId="07D249E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Traikova</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{"citationID":"a1vahoc3a0f","properties":{"formattedCitation":"(203)","plainCitation":"(203)","noteIndex":0},"citationItems":[{"id":17092,"uris":["http://zotero.org/groups/2477744/items/E3R5YQXM"],"itemData":{"id":17092,"type":"article-journal","abstract":"Western Europe is one of the main destinations for young emigrants coming from Eastern Europe. While most migrants want to move into urban areas, this paper explores in detail the motivational make-up of those targeting international rural destinations. Specifically, we look at the motivation behind the intentions of soon-to graduate students of agriculture in Bulgaria to move into rural areas in Germany for high-skilled farm work. The formation of migration intentions is depicted along the lines of the Theory of Planned Behavior in a Structural Equation Model. The paper takes a pioneer step in identifying, operationalizing and analyzing the background factors driving the international migration decisions of high-skilled farm specialists. The quantitative survey results highlight general economic motives, such as the desire for better earnings and to avoid unemployment at home, as crucial for the attractiveness of a possible move. With regard to their future career in agriculture, the respondents wished to learn how to run their own farm, take managerial responsibility for a farm, and saw emigration as an opportunity to work with animals. Non-economic aspects such as the desire to escape corruption, or lifestyle considerations were overall not significant, although migration decision-making is influenced by the opinion of the core family. The main perceived barriers for potential migration are a lack of language skills and fear of difficult integration in the host country.","container-title":"JOURNAL OF RURAL STUDIES","DOI":"10.1016/j.jrurstud.2018.07.008","journalAbbreviation":"JOURNAL OF RURAL STUDIES","page":"134-145","title":"Go west? Emigration intentions of young Bulgarian agricultural specialists","volume":"62","author":[{"family":"Traikova","given":"Diana"},{"family":"Moellers","given":"Judith"},{"family":"Petrick","given":"Martin"}],"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(203)</w:t>
            </w:r>
            <w:r w:rsidRPr="00A61595">
              <w:rPr>
                <w:rFonts w:ascii="Arial" w:eastAsia="Times New Roman" w:hAnsi="Arial" w:cs="Arial"/>
                <w:sz w:val="14"/>
                <w:szCs w:val="14"/>
              </w:rPr>
              <w:fldChar w:fldCharType="end"/>
            </w:r>
          </w:p>
        </w:tc>
        <w:tc>
          <w:tcPr>
            <w:tcW w:w="192" w:type="pct"/>
            <w:shd w:val="clear" w:color="auto" w:fill="auto"/>
            <w:noWrap/>
            <w:hideMark/>
          </w:tcPr>
          <w:p w14:paraId="66D69056"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61A5521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Motivation behind the intentions of Bulgarian agriculture students to emigrate to Germany for high-skilled farm work</w:t>
            </w:r>
          </w:p>
        </w:tc>
        <w:tc>
          <w:tcPr>
            <w:tcW w:w="318" w:type="pct"/>
          </w:tcPr>
          <w:p w14:paraId="6D196A74" w14:textId="73A66D6B"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315E28C" w14:textId="52C09A0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9A0D8D1" w14:textId="41E2F26A"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w:t>
            </w:r>
            <w:proofErr w:type="spellStart"/>
            <w:r w:rsidRPr="00A61595">
              <w:rPr>
                <w:rFonts w:ascii="Arial" w:hAnsi="Arial" w:cs="Arial"/>
                <w:color w:val="000000"/>
                <w:sz w:val="14"/>
                <w:szCs w:val="14"/>
              </w:rPr>
              <w:t>i</w:t>
            </w:r>
            <w:proofErr w:type="spellEnd"/>
          </w:p>
        </w:tc>
        <w:tc>
          <w:tcPr>
            <w:tcW w:w="229" w:type="pct"/>
          </w:tcPr>
          <w:p w14:paraId="2AAAC077" w14:textId="3A7A927E"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r>
      <w:tr w:rsidR="000B21B4" w:rsidRPr="00A61595" w14:paraId="3ACAA34B" w14:textId="0B52B847" w:rsidTr="00380533">
        <w:trPr>
          <w:trHeight w:val="285"/>
        </w:trPr>
        <w:tc>
          <w:tcPr>
            <w:tcW w:w="715" w:type="pct"/>
            <w:gridSpan w:val="2"/>
            <w:shd w:val="clear" w:color="auto" w:fill="auto"/>
            <w:noWrap/>
            <w:hideMark/>
          </w:tcPr>
          <w:p w14:paraId="4933968A" w14:textId="407326C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Tse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{"citationID":"a26h5anaoig","properties":{"formattedCitation":"(204)","plainCitation":"(204)","noteIndex":0},"citationItems":[{"id":17220,"uris":["http://zotero.org/groups/2477744/items/K98WI3Q9"],"itemData":{"id":17220,"type":"article-journal","abstract":"Purpose - Social media has become an important part of daily interpersonal communication in contemporary society. The purpose of this paper is to explore the attitudes of UK consumers by identifying the hidden information in tweets, and provide a framework which can assist industry practitioners in managing social media data. Design/methodology/approach - Using a large-scale dataset of tweets relating to the Horsemeat scandal of 2013, a comprehensive data analysis framework, which comprises multidimensional scaling and sentiment analysis, alongside other methods, was applied to explore customers' opinions. Findings - Making jokes in social media was a main trend in the tweets relating to Tesco during the Horsemeat scandal. Consumer sentiments were overall negative and burgers were the most mentioned product in the week-long period after the story broke. The posting of tweets was correlated with the timing of news coverage, which indicates that the traditional media is still crucial to public opinion formation. Practical implications - This paper presents a progressive tweet-mining framework that can serve as a tool for academia and practitioners in crisis management. The proposed framework indicates the significant importance of timely categorising the topics, identifying the sentiment of tweets and understanding the changes of consumer opinions over time in a crisis. Originality/value - The research presented in this paper is one of the limited social media research to focus on a UK food fraud issue and adds to the limited body of literature investigating consumer social media use from the side of industry practitioners. © Emerald Group Publishing Limited.","container-title":"Industrial Management and Data Systems","DOI":"10.1108/IMDS-10-2015-0417","issue":"6","journalAbbreviation":"Industrial Management and Data Systems","page":"1178-1200","title":"Insight from the horsemeat scandal Exploring the consumers' opinion of tweets toward Tesco","URL":"https://www.scopus.com/inward/record.uri?eid=2-s2.0-84976584147&amp;doi=10.1108%2fIMDS-10-2015-0417&amp;partnerID=40&amp;md5=5928f2b1ef2c9cd051c4bbcb98af0a9f","volume":"116","author":[{"family":"Tse","given":"Y.K."},{"family":"Zhang","given":"M."},{"family":"Doherty","given":"B."},{"family":"Chappell","given":"P."},{"family":"Garnett","given":"P."}],"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(204)</w:t>
            </w:r>
            <w:r w:rsidRPr="00A61595">
              <w:rPr>
                <w:rFonts w:ascii="Arial" w:eastAsia="Times New Roman" w:hAnsi="Arial" w:cs="Arial"/>
                <w:sz w:val="14"/>
                <w:szCs w:val="14"/>
              </w:rPr>
              <w:fldChar w:fldCharType="end"/>
            </w:r>
          </w:p>
        </w:tc>
        <w:tc>
          <w:tcPr>
            <w:tcW w:w="192" w:type="pct"/>
            <w:shd w:val="clear" w:color="auto" w:fill="auto"/>
            <w:noWrap/>
            <w:hideMark/>
          </w:tcPr>
          <w:p w14:paraId="5B231854"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1AE7699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Insight from the EU horsemeat scandal</w:t>
            </w:r>
          </w:p>
        </w:tc>
        <w:tc>
          <w:tcPr>
            <w:tcW w:w="318" w:type="pct"/>
          </w:tcPr>
          <w:p w14:paraId="7F7440B9" w14:textId="66FE17E5"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29E3FD9B" w14:textId="3CE7994A"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A84FBA7" w14:textId="1BF0715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4AB6EF10" w14:textId="7238FF0E"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6861104D" w14:textId="0F9D9DDF" w:rsidTr="00380533">
        <w:trPr>
          <w:trHeight w:val="285"/>
        </w:trPr>
        <w:tc>
          <w:tcPr>
            <w:tcW w:w="715" w:type="pct"/>
            <w:gridSpan w:val="2"/>
            <w:shd w:val="clear" w:color="auto" w:fill="auto"/>
            <w:noWrap/>
            <w:hideMark/>
          </w:tcPr>
          <w:p w14:paraId="0AE73B22" w14:textId="443AEC4A"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Tselengidis</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{"citationID":"a2pi4agmcrf","properties":{"formattedCitation":"(205)","plainCitation":"(205)","noteIndex":0},"citationItems":[{"id":17219,"uris":["http://zotero.org/groups/2477744/items/J6ZZQXL3"],"itemData":{"id":17219,"type":"article-journal","abstract":"Aims: This study investigates the lobbying actors of the food and drink industry (FDI), their web lobbying arguments used in the sugar taxation debate and the tactics deployed when facing legislative restrictions on their products to curb the burden of non-communicable diseases in Europe. Methods: A stakeholder analysis was performed to identify the FDI’s actors lobbying against sugar taxation within the EU Platform for Action on Diet, Physical Activity and Health during December 2015. Qualitative content analysis was applied to assess the FDI’s web lobbying claims related to three main concepts (sugar as a product, sugar’s association with non-communicable diseases and sugar taxation), guided by a framework for corporate political activity. Results: The web site content of a front organization and six FDI lobbyists was analysed. Some new strategies emerged alongside known corporate strategies (‘questioning the effectiveness of regulation and promoting benefits of a withdrawal’, ‘promoting sugar’s good traits and shift the blame away from it’ and ‘establishing relationships with trade unions’). The lobby tactics were similar to those previously applied by the tobacco industry in Europe, although the argument that sugar is a natural ingredient in many foods was unique to the FDI. Conclusions: The observed tactics and arguments presented by the FDI in opposition to sugar taxation have striking similarities with those previously used by the tobacco industry. An improved understanding of the stakeholders’ mandate and resources and their most important tactics will strengthen the position of public health experts when debating sugar taxation with the FDI, which may contribute to improving population health. © Author(s) 2018.","container-title":"Scandinavian Journal of Public Health","DOI":"10.1177/1403494818787102","issue":"5","journalAbbreviation":"Scandinavian Journal of Public Health","page":"565-575","title":"Lobbying against sugar taxation in the European Union: Analysing the lobbying arguments and tactics of stakeholders in the food and drink industries","URL":"https://www.scopus.com/inward/record.uri?eid=2-s2.0-85049776324&amp;doi=10.1177%2f1403494818787102&amp;partnerID=40&amp;md5=53a30347922f0b5d9b95d5f6856c5f7a","volume":"47","author":[{"family":"Tselengidis","given":"A."},{"family":"Östergren","given":"P.-O."}],"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(205)</w:t>
            </w:r>
            <w:r w:rsidRPr="00A61595">
              <w:rPr>
                <w:rFonts w:ascii="Arial" w:eastAsia="Times New Roman" w:hAnsi="Arial" w:cs="Arial"/>
                <w:sz w:val="14"/>
                <w:szCs w:val="14"/>
              </w:rPr>
              <w:fldChar w:fldCharType="end"/>
            </w:r>
          </w:p>
        </w:tc>
        <w:tc>
          <w:tcPr>
            <w:tcW w:w="192" w:type="pct"/>
            <w:shd w:val="clear" w:color="auto" w:fill="auto"/>
            <w:noWrap/>
            <w:hideMark/>
          </w:tcPr>
          <w:p w14:paraId="63D4346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6369AEB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Lobbying arguments and tactics of stakeholders in the food and drink industries relating to the sugar tax</w:t>
            </w:r>
          </w:p>
        </w:tc>
        <w:tc>
          <w:tcPr>
            <w:tcW w:w="318" w:type="pct"/>
          </w:tcPr>
          <w:p w14:paraId="2CBE2923" w14:textId="216858DE"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163CF53D" w14:textId="3B260FBF"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B98F09D" w14:textId="3E36D6B9"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w:t>
            </w:r>
            <w:proofErr w:type="spellStart"/>
            <w:r w:rsidRPr="00A61595">
              <w:rPr>
                <w:rFonts w:ascii="Arial" w:hAnsi="Arial" w:cs="Arial"/>
                <w:color w:val="000000"/>
                <w:sz w:val="14"/>
                <w:szCs w:val="14"/>
              </w:rPr>
              <w:t>i</w:t>
            </w:r>
            <w:proofErr w:type="spellEnd"/>
          </w:p>
        </w:tc>
        <w:tc>
          <w:tcPr>
            <w:tcW w:w="229" w:type="pct"/>
          </w:tcPr>
          <w:p w14:paraId="75538D80" w14:textId="58D843DC"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38A57124" w14:textId="7BB021CA" w:rsidTr="00380533">
        <w:trPr>
          <w:trHeight w:val="285"/>
        </w:trPr>
        <w:tc>
          <w:tcPr>
            <w:tcW w:w="715" w:type="pct"/>
            <w:gridSpan w:val="2"/>
            <w:shd w:val="clear" w:color="auto" w:fill="auto"/>
            <w:noWrap/>
            <w:hideMark/>
          </w:tcPr>
          <w:p w14:paraId="6EBB480A" w14:textId="0D460F68"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Uchendu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{"citationID":"as4u7b1uh1","properties":{"formattedCitation":"(206)","plainCitation":"(206)","noteIndex":0},"citationItems":[{"id":17051,"uris":["http://zotero.org/groups/2477744/items/HHDU6QIC"],"itemData":{"id":17051,"type":"article-journal","abstract":"Malnutrition is a global public health problem more prevalent in developing countries than in developed countries. Indicators of malnutrition include household food security and life expectancy. Corruption might be one of socio-political problems fuelling malnutrition in developing countries. The aim of this paper is to compare influence of corruption on food security, live expectancy (LE) and population in developed and developing countries. Thirty two least corrupt countries (LCC) and most corrupt countries (MCC) representing developed and developing countries were systematically selected using Corruption Perceptions Index (CPI). Countries' data on population, food security index (FSI) and LE scores were obtained from Global food security index (GFSI) and Population reference bureau. T-test, Multivariate (Wilks' Lambda), Pearson product moment analysis were performed to determine relationship between CPI, FSI, LE, and population in LCC and MCC at p &lt; .05. Data were presented in tables, means and percentages. Mean CPI, Population, FSI, and LE in LCC and MCC were 71.5% and 24.2%; 34.8 and 41.7 million; 75.0% and 37.4%; and 78.4 years and 62.4 years. There was a significant difference between CPI, FSI and LE in LCC and MCC (p &lt; 0.05). CPI had a significant positive relationship with FSI and LE in LCC not MCC. There was also a significant relationship between FSI and LE in MCC. Low CPI influenced high FSI and LE in LCC while Low LE was associated with low FSI in MCC. Policies discouraging corrupt practices and promoting good governance should be embraced to eradicate malnutrition in developing countries.","container-title":"The Pan African medical journal","DOI":"10.11604/pamj.2015.20.110.5311","journalAbbreviation":"The Pan African medical journal","page":"110-110","title":"Corrupt practices negatively influenced food security and live expectancy in developing countries","volume":"20","author":[{"family":"Uchendu","given":"Florence Ngozi"},{"family":"Abolarin","given":"Thaddeus Olatunbosun"}],"issued":{"date-parts":[["2015"]]}}}],"schema":"https://github.com/citation-style-language/schema/raw/master/csl-citation.json"}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(206)</w:t>
            </w:r>
            <w:r w:rsidRPr="00A61595">
              <w:rPr>
                <w:rFonts w:ascii="Arial" w:eastAsia="Times New Roman" w:hAnsi="Arial" w:cs="Arial"/>
                <w:sz w:val="14"/>
                <w:szCs w:val="14"/>
              </w:rPr>
              <w:fldChar w:fldCharType="end"/>
            </w:r>
          </w:p>
        </w:tc>
        <w:tc>
          <w:tcPr>
            <w:tcW w:w="192" w:type="pct"/>
            <w:shd w:val="clear" w:color="auto" w:fill="auto"/>
            <w:noWrap/>
            <w:hideMark/>
          </w:tcPr>
          <w:p w14:paraId="21C7A152"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2F3C556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Influence of corruption on food security</w:t>
            </w:r>
          </w:p>
        </w:tc>
        <w:tc>
          <w:tcPr>
            <w:tcW w:w="318" w:type="pct"/>
          </w:tcPr>
          <w:p w14:paraId="2F0D3E8A" w14:textId="2B10E77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2A250D39" w14:textId="428B7C4B"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6A791C6B" w14:textId="7C2C2375"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43443779" w14:textId="44593404" w:rsidR="000B21B4" w:rsidRPr="00A61595" w:rsidRDefault="000B21B4" w:rsidP="00380533">
            <w:pPr>
              <w:rPr>
                <w:rFonts w:ascii="Arial" w:hAnsi="Arial" w:cs="Arial"/>
                <w:sz w:val="14"/>
                <w:szCs w:val="14"/>
              </w:rPr>
            </w:pPr>
            <w:r w:rsidRPr="00A61595">
              <w:rPr>
                <w:rFonts w:ascii="Arial" w:hAnsi="Arial" w:cs="Arial"/>
                <w:color w:val="000000"/>
                <w:sz w:val="14"/>
                <w:szCs w:val="14"/>
              </w:rPr>
              <w:t>d, g</w:t>
            </w:r>
          </w:p>
        </w:tc>
      </w:tr>
      <w:tr w:rsidR="000B21B4" w:rsidRPr="00A61595" w14:paraId="10EE0FE2" w14:textId="2D2D68AD" w:rsidTr="00380533">
        <w:trPr>
          <w:trHeight w:val="285"/>
        </w:trPr>
        <w:tc>
          <w:tcPr>
            <w:tcW w:w="715" w:type="pct"/>
            <w:gridSpan w:val="2"/>
            <w:shd w:val="clear" w:color="auto" w:fill="auto"/>
            <w:noWrap/>
            <w:hideMark/>
          </w:tcPr>
          <w:p w14:paraId="3DF2544F" w14:textId="77309C9F"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Uchendu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{"citationID":"a92cf4s4f1","properties":{"formattedCitation":"(207)","plainCitation":"(207)","noteIndex":0},"citationItems":[{"id":18561,"uris":["http://zotero.org/groups/2477744/items/6BGBK2MS"],"itemData":{"id":18561,"type":"article-journal","abstract":"BACKGROUND Malnutrition is a global public health problem especially in developing countries experiencing war/conflicts. War might be one of the socio-political factors influencing malnutrition in Sub-Saharan African (SSA) countries. This study aims at determining the influence of war on corruption, population (POP), number of population malnourished (NPU), food security and life expectancy (LE) in war-torn SSA countries (WTSSA) by comparing their malnutrition indicators. METHODS Fourteen countries in WTSSA were stratified into zones according to war incidences. Countries' secondary data on population (POP), NPU, Food Security Index (FSI), corruption perceptions index (CPI), Global Hunger Index (GHI) and LE were obtained from global published data. T test, multivariate and Pearson correlation analyses were performed to determine the relationship between CPI, POP, GHI, FSI, NPU, male LE (MLE) and female LE (FLE) in WTSSA at p &lt; .05. Data were presented in tables, means, standard deviation and percentages. RESULTS Mean NPU, CPI, GHI, POP, FSI, MLE and FLE in WTSSA were 5.0 million, 28.3%, 18.2%, 33.8 million, 30.8%, 54.7 years and 57.1 years, respectively. GHI significantly influenced LE in both male and female POP in WTSSA. NPU, CPI, FSI, GHI and FLE were not significantly different according to zones except in MLE. CONCLUSIONS Malnutrition indicators were similarly affected in WTSSA. Hunger influenced life expectancy. Policies promoting good governance, equity, peaceful co-existence, respect for human right and adequate food supply will aid malnutrition eradication and prevent war occurrences in Sub-Saharan African countries.","container-title":"Journal of health, population, and nutrition","DOI":"10.1186/s41043-018-0143-3","issue":"1","journalAbbreviation":"Journal of health, population, and nutrition","note":"publisher: BioMed Central Ltd.","page":"11-11","title":"Hunger influenced life expectancy in war-torn Sub-Saharan African countries.","URL":"http://www.pubmedcentral.nih.gov/articlerender.fcgi?artid=PMC5921790","volume":"37","author":[{"family":"Uchendu","given":"Florence N"}],"issued":{"date-parts":[["2018"]]}}}],"schema":"https://github.com/citation-style-language/schema/raw/master/csl-citation.json"}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(207)</w:t>
            </w:r>
            <w:r w:rsidRPr="00A61595">
              <w:rPr>
                <w:rFonts w:ascii="Arial" w:eastAsia="Times New Roman" w:hAnsi="Arial" w:cs="Arial"/>
                <w:sz w:val="14"/>
                <w:szCs w:val="14"/>
              </w:rPr>
              <w:fldChar w:fldCharType="end"/>
            </w:r>
          </w:p>
        </w:tc>
        <w:tc>
          <w:tcPr>
            <w:tcW w:w="192" w:type="pct"/>
            <w:shd w:val="clear" w:color="auto" w:fill="auto"/>
            <w:noWrap/>
            <w:hideMark/>
          </w:tcPr>
          <w:p w14:paraId="1499399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5F4C65E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Hunger influenced life expectancy in war-torn countries</w:t>
            </w:r>
          </w:p>
        </w:tc>
        <w:tc>
          <w:tcPr>
            <w:tcW w:w="318" w:type="pct"/>
          </w:tcPr>
          <w:p w14:paraId="42158BEA" w14:textId="79177BBB"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FA56C65" w14:textId="14F2A26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83C371C" w14:textId="3B4D31CB"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591AED89" w14:textId="1B7C1390"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010363AC" w14:textId="0207347D" w:rsidTr="00380533">
        <w:trPr>
          <w:trHeight w:val="285"/>
        </w:trPr>
        <w:tc>
          <w:tcPr>
            <w:tcW w:w="715" w:type="pct"/>
            <w:gridSpan w:val="2"/>
            <w:shd w:val="clear" w:color="auto" w:fill="auto"/>
            <w:noWrap/>
            <w:hideMark/>
          </w:tcPr>
          <w:p w14:paraId="17E41716" w14:textId="1B8EE644"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Ujunwa</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{"citationID":"akmlcmvcum","properties":{"formattedCitation":"(208)","plainCitation":"(208)","noteIndex":0},"citationItems":[{"id":17054,"uris":["http://zotero.org/groups/2477744/items/JYG42DRZ"],"itemData":{"id":17054,"type":"article-journal","container-title":"INTERNATIONAL JOURNAL OF SOCIAL ECONOMICS","DOI":"10.1108/IJSE-11-2017-0538","issue":"2","journalAbbreviation":"INTERNATIONAL JOURNAL OF SOCIAL ECONOMICS","page":"182-198","title":"Armed Conflict and Food Security in West Africa: Socioeconomic Perspective","volume":"46","author":[{"family":"Ujunwa","given":"Augustine"},{"family":"Okoyeuzu","given":"Chinwe"},{"family":"Kalu","given":"Ebere Ume"}],"issued":{"date-parts":[["2019"]]}}}],"schema":"https://github.com/citation-style-language/schema/raw/master/csl-citation.json"}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(208)</w:t>
            </w:r>
            <w:r w:rsidRPr="00A61595">
              <w:rPr>
                <w:rFonts w:ascii="Arial" w:eastAsia="Times New Roman" w:hAnsi="Arial" w:cs="Arial"/>
                <w:sz w:val="14"/>
                <w:szCs w:val="14"/>
              </w:rPr>
              <w:fldChar w:fldCharType="end"/>
            </w:r>
          </w:p>
        </w:tc>
        <w:tc>
          <w:tcPr>
            <w:tcW w:w="192" w:type="pct"/>
            <w:shd w:val="clear" w:color="auto" w:fill="auto"/>
            <w:noWrap/>
            <w:hideMark/>
          </w:tcPr>
          <w:p w14:paraId="2456737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55D2549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Impacts of Corruption to Agricultural Export Potential</w:t>
            </w:r>
          </w:p>
        </w:tc>
        <w:tc>
          <w:tcPr>
            <w:tcW w:w="318" w:type="pct"/>
          </w:tcPr>
          <w:p w14:paraId="69754339" w14:textId="5877775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52A0DB2B" w14:textId="7A2A01D2"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0004DBF7" w14:textId="3894BE7D"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f, g, </w:t>
            </w:r>
            <w:proofErr w:type="spellStart"/>
            <w:r w:rsidRPr="00A61595">
              <w:rPr>
                <w:rFonts w:ascii="Arial" w:hAnsi="Arial" w:cs="Arial"/>
                <w:color w:val="000000"/>
                <w:sz w:val="14"/>
                <w:szCs w:val="14"/>
              </w:rPr>
              <w:t>i</w:t>
            </w:r>
            <w:proofErr w:type="spellEnd"/>
          </w:p>
        </w:tc>
        <w:tc>
          <w:tcPr>
            <w:tcW w:w="229" w:type="pct"/>
          </w:tcPr>
          <w:p w14:paraId="55772FF4" w14:textId="3D5C9C26"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3FF66D88" w14:textId="24DF365F" w:rsidTr="00380533">
        <w:trPr>
          <w:trHeight w:val="285"/>
        </w:trPr>
        <w:tc>
          <w:tcPr>
            <w:tcW w:w="715" w:type="pct"/>
            <w:gridSpan w:val="2"/>
            <w:shd w:val="clear" w:color="auto" w:fill="auto"/>
            <w:noWrap/>
            <w:hideMark/>
          </w:tcPr>
          <w:p w14:paraId="7A136FE8" w14:textId="5347109A"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Uzel</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{"citationID":"a1f1mtc0dgq","properties":{"formattedCitation":"(209)","plainCitation":"(209)","noteIndex":0},"citationItems":[{"id":18823,"uris":["http://zotero.org/groups/2477744/items/SDE32FCH"],"itemData":{"id":18823,"type":"article-journal","abstract":"The purpose of this study was to investigate the mutual interaction between corruption and agricultural export variations with using corruption perception index, exchange rate and gross domestic product affect. Study, centers the Gambia country, but her neighbour and competitive countries in order to make comparisons. Study constructs a multinominal logit model to analyze the determinants of agricultural export variations and depends on panel data belongs to six Sub-Saharan African countries. Study shows that, the corruption perception index had a probality on agricultural export. Value of corruption production index in the previous year was likely to contribute to the current agricultural export of Sub-Saharan Africa countries. Increases at Gross Domestic Product provide benefits to agricultural export in parallel with corruption perception index. Policy makers, trade sector, business and civil society movements and governmental approaches have significance on preventing corruption climate atmosphere. To the best of authors knowledge, this study constitutes the first attempt to build a theoretical framework to explore how the interactions between determinants of agricultural export variations and corruption inflluence.","archive_location":"WOS:000681023500023","container-title":"KSU TARIM VE DOGA DERGISI-KSU JOURNAL OF AGRICULTURE AND NATURE","DOI":"10.18016/ksutarimdoga.vi.773249","issue":"4","journalAbbreviation":"KSU TARIM VE DOGA DERGISI-KSU JOURNAL OF AGRICULTURE AND NATURE","page":"886-894","title":"Impacts of Corruption to Agricultural Export Potential of the Gambia Competitive Neighbours","volume":"24","author":[{"family":"Uzel","given":"G"},{"family":"Ndimballan","given":"A"},{"family":"Gurluk","given":"S"}],"issued":{"date-parts":[["2021"]]}}}],"schema":"https://github.com/citation-style-language/schema/raw/master/csl-citation.json"}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(209)</w:t>
            </w:r>
            <w:r w:rsidRPr="00A61595">
              <w:rPr>
                <w:rFonts w:ascii="Arial" w:eastAsia="Times New Roman" w:hAnsi="Arial" w:cs="Arial"/>
                <w:sz w:val="14"/>
                <w:szCs w:val="14"/>
              </w:rPr>
              <w:fldChar w:fldCharType="end"/>
            </w:r>
          </w:p>
        </w:tc>
        <w:tc>
          <w:tcPr>
            <w:tcW w:w="192" w:type="pct"/>
            <w:shd w:val="clear" w:color="auto" w:fill="auto"/>
            <w:noWrap/>
            <w:hideMark/>
          </w:tcPr>
          <w:p w14:paraId="56B920D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5F1EE9A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Mutual interaction between corruption and agricultural export variations</w:t>
            </w:r>
          </w:p>
        </w:tc>
        <w:tc>
          <w:tcPr>
            <w:tcW w:w="318" w:type="pct"/>
          </w:tcPr>
          <w:p w14:paraId="2235A8D0" w14:textId="553E133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7F9A0648" w14:textId="49742EA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52EFE660" w14:textId="092D7D74" w:rsidR="000B21B4" w:rsidRPr="00A61595" w:rsidRDefault="000B21B4" w:rsidP="00380533">
            <w:pPr>
              <w:rPr>
                <w:rFonts w:ascii="Arial" w:hAnsi="Arial" w:cs="Arial"/>
                <w:sz w:val="14"/>
                <w:szCs w:val="14"/>
              </w:rPr>
            </w:pPr>
            <w:r w:rsidRPr="00A61595">
              <w:rPr>
                <w:rFonts w:ascii="Arial" w:hAnsi="Arial" w:cs="Arial"/>
                <w:color w:val="000000"/>
                <w:sz w:val="14"/>
                <w:szCs w:val="14"/>
              </w:rPr>
              <w:t>f, h</w:t>
            </w:r>
          </w:p>
        </w:tc>
        <w:tc>
          <w:tcPr>
            <w:tcW w:w="229" w:type="pct"/>
          </w:tcPr>
          <w:p w14:paraId="5865D235" w14:textId="31329000"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r>
      <w:tr w:rsidR="000B21B4" w:rsidRPr="00A61595" w14:paraId="4D6FCE2F" w14:textId="7BCB2710" w:rsidTr="00380533">
        <w:trPr>
          <w:trHeight w:val="285"/>
        </w:trPr>
        <w:tc>
          <w:tcPr>
            <w:tcW w:w="715" w:type="pct"/>
            <w:gridSpan w:val="2"/>
            <w:shd w:val="clear" w:color="auto" w:fill="auto"/>
            <w:noWrap/>
            <w:hideMark/>
          </w:tcPr>
          <w:p w14:paraId="6BD4C748" w14:textId="52A9ADAC"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Vaidya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{"citationID":"aoovu7tura","properties":{"formattedCitation":"(210)","plainCitation":"(210)","noteIndex":0},"citationItems":[{"id":17131,"uris":["http://zotero.org/groups/2477744/items/R9P7HY89"],"itemData":{"id":17131,"type":"article-journal","abstract":"Empirical studies suggest that re-corruption is a common occurrence in developing countries, and we know little about what transpires between corruption and re-corruption. The objective of this empirical study is to discuss the practices of government officers in between phase of corruption and re-corruption. It does so by considering the case of a government officer working in an agricultural marketing yard of India. The findings from the case suggest that officers choose to mimic honest dispositions after their transfers to new postings as it gives them more choices in the practice of corruption. The hibernation model of re-corruption is used to explain this behavior of the officers. The study is critical and inspired by Pierre Bourdieu’s theory of practice. The findings from it will directly contribute to the design of anti-corruption policies. (PsycINFO Database Record (c) 2019 APA, all rights reserved)","container-title":"Journal of Business Ethics","DOI":"10.1007/s10551-017-3612-5","issue":"3","journalAbbreviation":"Journal of Business Ethics","note":"publisher-place: Germany\npublisher: Springer","page":"605-620","title":"Corruption, re-corruption and what transpires in between: The case of a government officer in India.","volume":"156","author":[{"family":"Vaidya","given":"Ranjan"}],"issued":{"date-parts":[["2019"]]}}}],"schema":"https://github.com/citation-style-language/schema/raw/master/csl-citation.json"}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(210)</w:t>
            </w:r>
            <w:r w:rsidRPr="00A61595">
              <w:rPr>
                <w:rFonts w:ascii="Arial" w:eastAsia="Times New Roman" w:hAnsi="Arial" w:cs="Arial"/>
                <w:sz w:val="14"/>
                <w:szCs w:val="14"/>
              </w:rPr>
              <w:fldChar w:fldCharType="end"/>
            </w:r>
          </w:p>
        </w:tc>
        <w:tc>
          <w:tcPr>
            <w:tcW w:w="192" w:type="pct"/>
            <w:shd w:val="clear" w:color="auto" w:fill="auto"/>
            <w:noWrap/>
            <w:hideMark/>
          </w:tcPr>
          <w:p w14:paraId="5CEDFCE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6084459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interlude between corruption and re-corruption in the context of agricultural marketing</w:t>
            </w:r>
          </w:p>
        </w:tc>
        <w:tc>
          <w:tcPr>
            <w:tcW w:w="318" w:type="pct"/>
          </w:tcPr>
          <w:p w14:paraId="3BA69390" w14:textId="3ED24537"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306" w:type="pct"/>
          </w:tcPr>
          <w:p w14:paraId="0077D3CF" w14:textId="23B61C0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0054D2C" w14:textId="1C5D4814" w:rsidR="000B21B4" w:rsidRPr="00A61595" w:rsidRDefault="000B21B4" w:rsidP="00380533">
            <w:pPr>
              <w:rPr>
                <w:rFonts w:ascii="Arial" w:hAnsi="Arial" w:cs="Arial"/>
                <w:sz w:val="14"/>
                <w:szCs w:val="14"/>
              </w:rPr>
            </w:pPr>
            <w:r w:rsidRPr="00A61595">
              <w:rPr>
                <w:rFonts w:ascii="Arial" w:hAnsi="Arial" w:cs="Arial"/>
                <w:color w:val="000000"/>
                <w:sz w:val="14"/>
                <w:szCs w:val="14"/>
              </w:rPr>
              <w:t>a, f, g</w:t>
            </w:r>
          </w:p>
        </w:tc>
        <w:tc>
          <w:tcPr>
            <w:tcW w:w="229" w:type="pct"/>
          </w:tcPr>
          <w:p w14:paraId="366E4177" w14:textId="41A2E874"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178ADE1E" w14:textId="21BC8508" w:rsidTr="00380533">
        <w:trPr>
          <w:trHeight w:val="285"/>
        </w:trPr>
        <w:tc>
          <w:tcPr>
            <w:tcW w:w="715" w:type="pct"/>
            <w:gridSpan w:val="2"/>
            <w:shd w:val="clear" w:color="auto" w:fill="auto"/>
            <w:noWrap/>
            <w:hideMark/>
          </w:tcPr>
          <w:p w14:paraId="5545D0B7" w14:textId="22BDA000"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Van Hoi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{"citationID":"aasuo0mohe","properties":{"formattedCitation":"(211)","plainCitation":"(211)","noteIndex":0},"citationItems":[{"id":18769,"uris":["http://zotero.org/groups/2477744/items/ULKENRX8"],"itemData":{"id":18769,"type":"article-journal","abstract":"Vietnam is facing serious challenges with respect to the amount and toxicity of the pesticides used. With hardly any domestic pesticides production, Vietnam experienced an exponential growth of both the quantity and the value of imported pesticides in recent years. And the increasing import of newly formulated (and safer) pesticides has not replaced or reduced the highly toxic pesticides with low efficacy. The improper use of pesticides by farmers (too high dosages, cocktailing of pesticides, inadequate pre-harvest intervals etc.) has further contributed to the environmental and health problems resulting from pesticides, especially in poorer areas where farmers have to largely rely on cheap but often old and more toxic pesticides. Despite a growth in pesticide policies and regulation, the state has been unable to regulate the pesticide market. The main causes behind the state failure in pesticide market regulation are the governance structure (i.e., centralized decision making), large corruption, information distortion and a failing legal system. To some extent, and in some more wealthy areas, famers and retailers have emerged successfully as new pesticide governance actors. But an overall improvement of pesticide registration and pesticide use can only rely on better government intervention: more stringent implementation and enforcement of regulations, more effective promotion of IPM-based pest control, further public participation in implementation and higher ethics within government. © 2013 Royal Netherlands Society for Agricultural Sciences. Published by Elsevier B.V. All rights reserved.","container-title":"NJAS - Wageningen Journal of Life Sciences","DOI":"10.1016/j.njas.2013.09.001","journalAbbreviation":"NJAS - Wageningen Journal of Life Sciences","page":"19-26","title":"State governance of pesticide use and trade in Vietnam","URL":"https://www.scopus.com/inward/record.uri?eid=2-s2.0-84889880006&amp;doi=10.1016%2fj.njas.2013.09.001&amp;partnerID=40&amp;md5=ada09a8094abb1105e1a98f013184ab1","volume":"67","author":[{"family":"Van Hoi","given":"P."},{"family":"Mol","given":"A."},{"family":"Oosterveer","given":"P."}],"issued":{"date-parts":[["2013"]]}}}],"schema":"https://github.com/citation-style-language/schema/raw/master/csl-citation.json"}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(211)</w:t>
            </w:r>
            <w:r w:rsidRPr="00A61595">
              <w:rPr>
                <w:rFonts w:ascii="Arial" w:eastAsia="Times New Roman" w:hAnsi="Arial" w:cs="Arial"/>
                <w:sz w:val="14"/>
                <w:szCs w:val="14"/>
              </w:rPr>
              <w:fldChar w:fldCharType="end"/>
            </w:r>
          </w:p>
        </w:tc>
        <w:tc>
          <w:tcPr>
            <w:tcW w:w="192" w:type="pct"/>
            <w:shd w:val="clear" w:color="auto" w:fill="auto"/>
            <w:noWrap/>
            <w:hideMark/>
          </w:tcPr>
          <w:p w14:paraId="7264EF0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2013</w:t>
            </w:r>
          </w:p>
        </w:tc>
        <w:tc>
          <w:tcPr>
            <w:tcW w:w="2869" w:type="pct"/>
            <w:gridSpan w:val="4"/>
            <w:shd w:val="clear" w:color="auto" w:fill="auto"/>
            <w:noWrap/>
            <w:hideMark/>
          </w:tcPr>
          <w:p w14:paraId="412DDD2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Successes and failures of Vietnamese state authorities in regulating pesticides for agricultural purposes</w:t>
            </w:r>
          </w:p>
        </w:tc>
        <w:tc>
          <w:tcPr>
            <w:tcW w:w="318" w:type="pct"/>
          </w:tcPr>
          <w:p w14:paraId="5848440B" w14:textId="6F002111"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306" w:type="pct"/>
          </w:tcPr>
          <w:p w14:paraId="6767466A" w14:textId="73016BC7"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00054A58" w14:textId="1890B2FF" w:rsidR="000B21B4" w:rsidRPr="00A61595" w:rsidRDefault="000B21B4" w:rsidP="00380533">
            <w:pPr>
              <w:rPr>
                <w:rFonts w:ascii="Arial" w:hAnsi="Arial" w:cs="Arial"/>
                <w:sz w:val="14"/>
                <w:szCs w:val="14"/>
              </w:rPr>
            </w:pPr>
            <w:r w:rsidRPr="00A61595">
              <w:rPr>
                <w:rFonts w:ascii="Arial" w:hAnsi="Arial" w:cs="Arial"/>
                <w:color w:val="000000"/>
                <w:sz w:val="14"/>
                <w:szCs w:val="14"/>
              </w:rPr>
              <w:t>a, d, f</w:t>
            </w:r>
          </w:p>
        </w:tc>
        <w:tc>
          <w:tcPr>
            <w:tcW w:w="229" w:type="pct"/>
          </w:tcPr>
          <w:p w14:paraId="6601D2C8" w14:textId="022FA44D" w:rsidR="000B21B4" w:rsidRPr="00A61595" w:rsidRDefault="000B21B4" w:rsidP="00380533">
            <w:pPr>
              <w:rPr>
                <w:rFonts w:ascii="Arial" w:hAnsi="Arial" w:cs="Arial"/>
                <w:sz w:val="14"/>
                <w:szCs w:val="14"/>
              </w:rPr>
            </w:pPr>
            <w:r w:rsidRPr="00A61595">
              <w:rPr>
                <w:rFonts w:ascii="Arial" w:hAnsi="Arial" w:cs="Arial"/>
                <w:color w:val="000000"/>
                <w:sz w:val="14"/>
                <w:szCs w:val="14"/>
              </w:rPr>
              <w:t>c, g</w:t>
            </w:r>
          </w:p>
        </w:tc>
      </w:tr>
      <w:tr w:rsidR="000B21B4" w:rsidRPr="00A61595" w14:paraId="4C8CF747" w14:textId="78BED245" w:rsidTr="00380533">
        <w:trPr>
          <w:trHeight w:val="285"/>
        </w:trPr>
        <w:tc>
          <w:tcPr>
            <w:tcW w:w="715" w:type="pct"/>
            <w:gridSpan w:val="2"/>
            <w:shd w:val="clear" w:color="auto" w:fill="auto"/>
            <w:noWrap/>
            <w:hideMark/>
          </w:tcPr>
          <w:p w14:paraId="4577E569" w14:textId="084C370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Van Rijswijk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{"citationID":"akrsvlojgm","properties":{"formattedCitation":"(212)","plainCitation":"(212)","noteIndex":0},"citationItems":[{"id":17130,"uris":["http://zotero.org/groups/2477744/items/PESHPCLC"],"itemData":{"id":17130,"type":"article-journal","abstract":"The introduction of improved food traceability systems has aimed to restore consumer confidence in food safety and quality, in part by being able to provide consumers with more information about the origins of foods and food ingredients. However, little is known about consumers’ opinions and beliefs associated with traceability, nor their preferences for information provision. In the current paper, consumer information needs and requirements regarding traceability are investigated. Semi-structured interviews with consumers in four European countries focused on the need for traceability, the preferred means of communication, labelling and bodies held responsible for traceability and dealing with fraud. Results show that there is a clear consumer need for varied information about food and the production processes involved. Rigorous and accountable traceability systems may assist in making such information available to consumers. (PsycINFO Database Record (c) 2016 APA, all rights reserved)","container-title":"International Journal of Consumer Studies","DOI":"10.1111/j.1470-6431.2011.01001.x","issue":"3","journalAbbreviation":"International Journal of Consumer Studies","note":"publisher-place: United Kingdom\npublisher: Wiley-Blackwell Publishing Ltd.","page":"282-290","title":"Consumer needs and requirements for food and ingredient traceability information.","volume":"36","author":[{"family":"Van Rijswijk","given":"Wendy"},{"family":"Frewer","given":"Lynn J."}],"issued":{"date-parts":[["2012"]]}}}],"schema":"https://github.com/citation-style-language/schema/raw/master/csl-citation.json"}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(212)</w:t>
            </w:r>
            <w:r w:rsidRPr="00A61595">
              <w:rPr>
                <w:rFonts w:ascii="Arial" w:eastAsia="Times New Roman" w:hAnsi="Arial" w:cs="Arial"/>
                <w:sz w:val="14"/>
                <w:szCs w:val="14"/>
              </w:rPr>
              <w:fldChar w:fldCharType="end"/>
            </w:r>
          </w:p>
        </w:tc>
        <w:tc>
          <w:tcPr>
            <w:tcW w:w="192" w:type="pct"/>
            <w:shd w:val="clear" w:color="auto" w:fill="auto"/>
            <w:noWrap/>
            <w:hideMark/>
          </w:tcPr>
          <w:p w14:paraId="23A8D60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2012</w:t>
            </w:r>
          </w:p>
        </w:tc>
        <w:tc>
          <w:tcPr>
            <w:tcW w:w="2869" w:type="pct"/>
            <w:gridSpan w:val="4"/>
            <w:shd w:val="clear" w:color="auto" w:fill="auto"/>
            <w:noWrap/>
            <w:hideMark/>
          </w:tcPr>
          <w:p w14:paraId="678DF8C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Consumer needs and requirements for food and ingredient traceability information</w:t>
            </w:r>
          </w:p>
        </w:tc>
        <w:tc>
          <w:tcPr>
            <w:tcW w:w="318" w:type="pct"/>
          </w:tcPr>
          <w:p w14:paraId="4B959907" w14:textId="67E75EC3"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451C8AF8" w14:textId="322B5454"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71" w:type="pct"/>
          </w:tcPr>
          <w:p w14:paraId="730C155F" w14:textId="434EED29"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w:t>
            </w:r>
            <w:proofErr w:type="spellStart"/>
            <w:r w:rsidRPr="00A61595">
              <w:rPr>
                <w:rFonts w:ascii="Arial" w:hAnsi="Arial" w:cs="Arial"/>
                <w:color w:val="000000"/>
                <w:sz w:val="14"/>
                <w:szCs w:val="14"/>
              </w:rPr>
              <w:t>i</w:t>
            </w:r>
            <w:proofErr w:type="spellEnd"/>
          </w:p>
        </w:tc>
        <w:tc>
          <w:tcPr>
            <w:tcW w:w="229" w:type="pct"/>
          </w:tcPr>
          <w:p w14:paraId="319CD014" w14:textId="45ED2525"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r>
      <w:tr w:rsidR="000B21B4" w:rsidRPr="00A61595" w14:paraId="15A0F646" w14:textId="35B6E1D2" w:rsidTr="00380533">
        <w:trPr>
          <w:trHeight w:val="285"/>
        </w:trPr>
        <w:tc>
          <w:tcPr>
            <w:tcW w:w="715" w:type="pct"/>
            <w:gridSpan w:val="2"/>
            <w:shd w:val="clear" w:color="auto" w:fill="auto"/>
            <w:noWrap/>
            <w:hideMark/>
          </w:tcPr>
          <w:p w14:paraId="56F73F99" w14:textId="0DACBD1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lastRenderedPageBreak/>
              <w:t xml:space="preserve">van Ruth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{"citationID":"a1jv48i9uu2","properties":{"formattedCitation":"(213)","plainCitation":"(213)","noteIndex":0},"citationItems":[{"id":18768,"uris":["http://zotero.org/groups/2477744/items/XTW46EL3"],"itemData":{"id":18768,"type":"article-journal","abstract":"This study examines fraud vulnerability in the food service industry; identifies underlying fraud vulnerability factors; and studies the differences in fraud vulnerability between casual dining restaurants, fine dining restaurants and mass caterers for four product groups. Vulnerability was assessed by an adapted SSAFE food fraud vulnerability assessment, tailored to the food service sector situation. The 15 food service operators rated high vulnerability for 40% of the fraud indicators. This is considerably more than food manufacturers, wholesalers and retailers did previously. In particular, more opportunities and fewer controls were noted. Overall fraud vulnerability was more determined by the type of food service operator than by the type of food product. Casual dining restaurants appeared most vulnerable, followed by fine dining restaurants. Mass caterers seemed the least vulnerable operators, because they had more adequate food fraud controls in place. Considering its high vulnerability, reinforcement of mitigation measures in the food service industry is urgently recommended. © 2020 The Author(s)","container-title":"Food Research International","DOI":"10.1016/j.foodres.2020.109158","journalAbbreviation":"Food Research International","title":"Feeding fiction: Fraud vulnerability in the food service industry","URL":"https://www.scopus.com/inward/record.uri?eid=2-s2.0-85081153496&amp;doi=10.1016%2fj.foodres.2020.109158&amp;partnerID=40&amp;md5=3592ee3e9743474508db4db28f78bbce","volume":"133","author":[{"family":"Ruth","given":"S.M.","non-dropping-particle":"van"},{"family":"Veeken","given":"J.","non-dropping-particle":"van der"},{"family":"Dekker","given":"P."},{"family":"Luning","given":"P.A."},{"family":"Huisman","given":"W."}],"issued":{"date-parts":[["2020"]]}}}],"schema":"https://github.com/citation-style-language/schema/raw/master/csl-citation.json"}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(213)</w:t>
            </w:r>
            <w:r w:rsidRPr="00A61595">
              <w:rPr>
                <w:rFonts w:ascii="Arial" w:eastAsia="Times New Roman" w:hAnsi="Arial" w:cs="Arial"/>
                <w:sz w:val="14"/>
                <w:szCs w:val="14"/>
              </w:rPr>
              <w:fldChar w:fldCharType="end"/>
            </w:r>
          </w:p>
        </w:tc>
        <w:tc>
          <w:tcPr>
            <w:tcW w:w="192" w:type="pct"/>
            <w:shd w:val="clear" w:color="auto" w:fill="auto"/>
            <w:noWrap/>
            <w:hideMark/>
          </w:tcPr>
          <w:p w14:paraId="664FC47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257F09A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Fraud vulnerability in the food service industry</w:t>
            </w:r>
          </w:p>
        </w:tc>
        <w:tc>
          <w:tcPr>
            <w:tcW w:w="318" w:type="pct"/>
          </w:tcPr>
          <w:p w14:paraId="440205E9" w14:textId="57717540"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1CA9A692" w14:textId="36AC0D1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3367EA3C" w14:textId="017DFF79" w:rsidR="000B21B4" w:rsidRPr="00A61595" w:rsidRDefault="000B21B4" w:rsidP="00380533">
            <w:pPr>
              <w:rPr>
                <w:rFonts w:ascii="Arial" w:hAnsi="Arial" w:cs="Arial"/>
                <w:sz w:val="14"/>
                <w:szCs w:val="14"/>
              </w:rPr>
            </w:pPr>
            <w:r w:rsidRPr="00A61595">
              <w:rPr>
                <w:rFonts w:ascii="Arial" w:hAnsi="Arial" w:cs="Arial"/>
                <w:color w:val="000000"/>
                <w:sz w:val="14"/>
                <w:szCs w:val="14"/>
              </w:rPr>
              <w:t>e</w:t>
            </w:r>
          </w:p>
        </w:tc>
        <w:tc>
          <w:tcPr>
            <w:tcW w:w="229" w:type="pct"/>
          </w:tcPr>
          <w:p w14:paraId="3491C64E" w14:textId="59BE8492"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6FC473FD" w14:textId="7CF0B70B" w:rsidTr="00380533">
        <w:trPr>
          <w:trHeight w:val="285"/>
        </w:trPr>
        <w:tc>
          <w:tcPr>
            <w:tcW w:w="715" w:type="pct"/>
            <w:gridSpan w:val="2"/>
            <w:shd w:val="clear" w:color="auto" w:fill="auto"/>
            <w:noWrap/>
            <w:hideMark/>
          </w:tcPr>
          <w:p w14:paraId="5B14A947" w14:textId="73BAB7F3"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van Ruth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{"citationID":"a1od8tg1p1o","properties":{"formattedCitation":"(214)","plainCitation":"(214)","noteIndex":0},"citationItems":[{"id":17217,"uris":["http://zotero.org/groups/2477744/items/CCQFQFCA"],"itemData":{"id":17217,"type":"article-journal","abstract":"Fraud can happen to any food business, but some sectors show more historical evidence of food fraud than others. This may be due to particular company characteristics that affect a company’s level of vulnerability. In the current study, we examined the relevance of the industry segment, business size, and location of food businesses on their food fraud vulnerabilities. Over 8000 food fraud vulnerability self-assessments conducted by food businesses active in 20 industry segments located in five continents were collected and the data analyzed. Results revealed that a company’s industry segment (chain and tier) affects its fraud vulnerability greatly and to a larger extent than the size of the business. The effect of industry segment on fraud vulnerability appears fairly similar across continents, whereas the effect of business size exhibits large geographical variation. The results demonstrate that those involved in animal product supply chains and end of chain nodes (catering, retail) are most vulnerable, and so are larger businesses, and businesses located in Africa and Asia. Current results imply that company characteristics are important determinants of the level of fraud vulnerability, and they may be used reversely in the future, i.e., as predictors of vulnerability. © 2021 by the authors. Licensee MDPI, Basel, Switzerland.","container-title":"Foods","DOI":"10.3390/foods10040842","issue":"4","journalAbbreviation":"Foods","title":"Which company characteristics make a food business at risk for food fraud?","URL":"https://www.scopus.com/inward/record.uri?eid=2-s2.0-85104120931&amp;doi=10.3390%2ffoods10040842&amp;partnerID=40&amp;md5=c64c3318eae1b303c8a0510dbde62d48","volume":"10","author":[{"family":"Ruth","given":"S.M.","non-dropping-particle":"van"},{"family":"Nillesen","given":"O."}],"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(214)</w:t>
            </w:r>
            <w:r w:rsidRPr="00A61595">
              <w:rPr>
                <w:rFonts w:ascii="Arial" w:eastAsia="Times New Roman" w:hAnsi="Arial" w:cs="Arial"/>
                <w:sz w:val="14"/>
                <w:szCs w:val="14"/>
              </w:rPr>
              <w:fldChar w:fldCharType="end"/>
            </w:r>
          </w:p>
        </w:tc>
        <w:tc>
          <w:tcPr>
            <w:tcW w:w="192" w:type="pct"/>
            <w:shd w:val="clear" w:color="auto" w:fill="auto"/>
            <w:noWrap/>
            <w:hideMark/>
          </w:tcPr>
          <w:p w14:paraId="42AEFE6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5F5F8D81"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Company characteristics that make a food business at risk for food fraud</w:t>
            </w:r>
          </w:p>
        </w:tc>
        <w:tc>
          <w:tcPr>
            <w:tcW w:w="318" w:type="pct"/>
          </w:tcPr>
          <w:p w14:paraId="39AB1CC7" w14:textId="103A0B4F"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747BDAD4" w14:textId="1DD08D86"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E86DD5E" w14:textId="64D20D84"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j </w:t>
            </w:r>
          </w:p>
        </w:tc>
        <w:tc>
          <w:tcPr>
            <w:tcW w:w="229" w:type="pct"/>
          </w:tcPr>
          <w:p w14:paraId="26E73DC9" w14:textId="695D77D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ACBA3C9" w14:textId="41CC3D3D" w:rsidTr="00380533">
        <w:trPr>
          <w:trHeight w:val="285"/>
        </w:trPr>
        <w:tc>
          <w:tcPr>
            <w:tcW w:w="715" w:type="pct"/>
            <w:gridSpan w:val="2"/>
            <w:shd w:val="clear" w:color="auto" w:fill="auto"/>
            <w:noWrap/>
            <w:hideMark/>
          </w:tcPr>
          <w:p w14:paraId="5EA2A0DA" w14:textId="2514A81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van Velden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{"citationID":"aafobe2qvj","properties":{"formattedCitation":"(215)","plainCitation":"(215)","noteIndex":0},"citationItems":[{"id":17216,"uris":["http://zotero.org/groups/2477744/items/M3BS8B6U"],"itemData":{"id":17216,"type":"article-journal","abstract":"Community-based interventions are an important strategy to reduce bushmeat hunting, one of the key threats to African wildlife. However, understanding the possible effects of such programs prior to implementation is vital, in order to ensure that scarce funds are correctly directed. Here we used scenario-based interviews to explore the potential effects of seven programs on proxies for bushmeat hunting and consumption, including the provision of alternative protein sources, the provision of alternative incomes, and the harvesting of natural resources from protected areas. We conducted 250 interviews with respondents living around four protected areas in Malawi, and investigated how time budgets, household and village meat availability, and perceptions of fairness would change under each program. Respondents were most likely to substitute their current activities (including illegal hunting) under alternative income projects such as microenterprise and skills-training programs. All programs except increased enforcement were likely to increase the availability of meat in both households and villages. However, the effect of the scenarios on meat availability was perceived to be greater at village level than household level. Projects that provided long-term benefits such as a microenterprise program or skills training, were preferred over, and seen to be fairer than, programs relating to resource use, such as regulated hunting or park-based resource harvesting schemes. These results illustrate that programs that can harness development goals, while linking back to conservation rules, may successfully reduce bushmeat hunting and consumption around protected areas. © 2020 Elsevier Ltd","container-title":"Biological Conservation","DOI":"10.1016/j.biocon.2020.108676","journalAbbreviation":"Biological Conservation","title":"Using scenarios to understand community-based interventions for bushmeat hunting and consumption in African savannas","URL":"https://www.scopus.com/inward/record.uri?eid=2-s2.0-85086937701&amp;doi=10.1016%2fj.biocon.2020.108676&amp;partnerID=40&amp;md5=ffd204abbdb16794078a3b15a801fa8a","volume":"248","author":[{"family":"Velden","given":"J.L.","non-dropping-particle":"van"},{"family":"Travers","given":"H."},{"family":"Moyo","given":"B.H.Z."},{"family":"Biggs","given":"D."}],"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(215)</w:t>
            </w:r>
            <w:r w:rsidRPr="00A61595">
              <w:rPr>
                <w:rFonts w:ascii="Arial" w:eastAsia="Times New Roman" w:hAnsi="Arial" w:cs="Arial"/>
                <w:sz w:val="14"/>
                <w:szCs w:val="14"/>
              </w:rPr>
              <w:fldChar w:fldCharType="end"/>
            </w:r>
          </w:p>
        </w:tc>
        <w:tc>
          <w:tcPr>
            <w:tcW w:w="192" w:type="pct"/>
            <w:shd w:val="clear" w:color="auto" w:fill="auto"/>
            <w:noWrap/>
            <w:hideMark/>
          </w:tcPr>
          <w:p w14:paraId="2001B36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317D30F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Perceived fairness of bushmeat hunting and consumption regulations</w:t>
            </w:r>
          </w:p>
        </w:tc>
        <w:tc>
          <w:tcPr>
            <w:tcW w:w="318" w:type="pct"/>
          </w:tcPr>
          <w:p w14:paraId="535632D6" w14:textId="4AA0120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2CE9283D" w14:textId="79DF5B4B"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07B9869A" w14:textId="08BE4F86" w:rsidR="000B21B4" w:rsidRPr="00A61595" w:rsidRDefault="000B21B4" w:rsidP="00380533">
            <w:pPr>
              <w:rPr>
                <w:rFonts w:ascii="Arial" w:hAnsi="Arial" w:cs="Arial"/>
                <w:sz w:val="14"/>
                <w:szCs w:val="14"/>
              </w:rPr>
            </w:pPr>
            <w:r w:rsidRPr="00A61595">
              <w:rPr>
                <w:rFonts w:ascii="Arial" w:hAnsi="Arial" w:cs="Arial"/>
                <w:color w:val="000000"/>
                <w:sz w:val="14"/>
                <w:szCs w:val="14"/>
              </w:rPr>
              <w:t>a, h</w:t>
            </w:r>
          </w:p>
        </w:tc>
        <w:tc>
          <w:tcPr>
            <w:tcW w:w="229" w:type="pct"/>
          </w:tcPr>
          <w:p w14:paraId="736D7EA2" w14:textId="07FD8427"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786C32C" w14:textId="23C36FB0" w:rsidTr="00380533">
        <w:trPr>
          <w:trHeight w:val="285"/>
        </w:trPr>
        <w:tc>
          <w:tcPr>
            <w:tcW w:w="715" w:type="pct"/>
            <w:gridSpan w:val="2"/>
            <w:shd w:val="clear" w:color="auto" w:fill="auto"/>
            <w:noWrap/>
            <w:hideMark/>
          </w:tcPr>
          <w:p w14:paraId="615710C3" w14:textId="64337611"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Vandenbrink</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{"citationID":"a1i8kear91i","properties":{"formattedCitation":"(216)","plainCitation":"(216)","noteIndex":0},"citationItems":[{"id":17132,"uris":["http://zotero.org/groups/2477744/items/XH6AWLSV"],"itemData":{"id":17132,"type":"article-journal","abstract":"Background: Unhealthy food environments contribute to the rising rates of obesity and diet-related diseases. To improve the Canadian nutritional landscape, Health Canada launched the Healthy Eating Strategy in October 2016 which involved several initiatives including the restriction of unhealthy food marketing to children, the reduction of sodium in the food supply and the introduction of front-of-package labelling. Subsequently, various stakeholders engaged in discussions with Health Canada. This study sought to describe the interactions between Health Canada and industry and non-industry stakeholders and to identify the strategies used by industry to influence food and nutrition policy in Canada. Methods: Documents such as correspondences and presentations exchanged in interactions between Health Canada and stakeholders regarding the Healthy Eating Strategy were obtained from Health Canada’s Openness and Transparency website. The participating stakeholders of each interaction and the topics discussed were determined and described quantitatively. A directed content analysis was then conducted to identify the strategies employed by industry to influence policy. This was guided by a previously developed coding framework that was adapted during analysis. Results: A total of 208 interactions concerning the Healthy Eating Strategy occurred between October 2016 and June 2018. Of the interactions for which documents were received (n = 202), 56% involved industry stakeholders, 42% involved non-industry stakeholders and 2% involved both. Industry stakeholders were more likely to initiate interactions with Health Canada (94% of their interactions) than non-industry stakeholders (49%). Front-of-package labelling was the most frequently discussed topic by industry stakeholders (discussed in 49% interactions involving industry) while non-industry stakeholders most frequently discussed the Healthy Eating Strategy as a whole (discussed in 37% of interactions involving non-industry). A wide variety of strategies were used by industry in their attempts to influence policy. Those most frequently identified included: “framing the debate on diet- and public health-related issues”, “promoting deregulation”, “shaping the evidence base”, “stressing the economic importance of industry”, and “developing and promoting alternatives to proposed policies”. Conclusion: Industry stakeholders are highly active in their attempts to influence Canadian nutritional policies. Policymakers and public health advocates should be aware of these strategies so that balanced and effective food and nutrition policies can be developed. (PsycInfo Database Record (c) 2020 APA, all rights reserved)","container-title":"The International Journal of Behavioral Nutrition and Physical Activity","DOI":"10.1186/s12966-019-0900-8","journalAbbreviation":"The International Journal of Behavioral Nutrition and Physical Activity","note":"publisher-place: United Kingdom\npublisher: BioMed Central Limited","title":"Strategies used by the Canadian food and beverage industry to influence food and nutrition policies.","volume":"17","author":[{"family":"Vandenbrink","given":"D."},{"family":"Pauzé","given":"E."},{"family":"Potvin Kent","given":"M."}],"issued":{"date-parts":[["2020"]]}}}],"schema":"https://github.com/citation-style-language/schema/raw/master/csl-citation.json"}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(216)</w:t>
            </w:r>
            <w:r w:rsidRPr="00A61595">
              <w:rPr>
                <w:rFonts w:ascii="Arial" w:eastAsia="Times New Roman" w:hAnsi="Arial" w:cs="Arial"/>
                <w:sz w:val="14"/>
                <w:szCs w:val="14"/>
              </w:rPr>
              <w:fldChar w:fldCharType="end"/>
            </w:r>
          </w:p>
        </w:tc>
        <w:tc>
          <w:tcPr>
            <w:tcW w:w="192" w:type="pct"/>
            <w:shd w:val="clear" w:color="auto" w:fill="auto"/>
            <w:noWrap/>
            <w:hideMark/>
          </w:tcPr>
          <w:p w14:paraId="642AF24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43E306C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 xml:space="preserve">Strategies used by industry to influence food and nutrition policy in Canada </w:t>
            </w:r>
          </w:p>
        </w:tc>
        <w:tc>
          <w:tcPr>
            <w:tcW w:w="318" w:type="pct"/>
          </w:tcPr>
          <w:p w14:paraId="1BA06A2A" w14:textId="752981A1"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c>
          <w:tcPr>
            <w:tcW w:w="306" w:type="pct"/>
          </w:tcPr>
          <w:p w14:paraId="74157BB6" w14:textId="545EF83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737E6A1" w14:textId="5A656A90" w:rsidR="000B21B4" w:rsidRPr="00A61595" w:rsidRDefault="000B21B4" w:rsidP="00380533">
            <w:pPr>
              <w:rPr>
                <w:rFonts w:ascii="Arial" w:hAnsi="Arial" w:cs="Arial"/>
                <w:sz w:val="14"/>
                <w:szCs w:val="14"/>
              </w:rPr>
            </w:pPr>
            <w:r w:rsidRPr="00A61595">
              <w:rPr>
                <w:rFonts w:ascii="Arial" w:hAnsi="Arial" w:cs="Arial"/>
                <w:color w:val="000000"/>
                <w:sz w:val="14"/>
                <w:szCs w:val="14"/>
              </w:rPr>
              <w:t>g, h, j</w:t>
            </w:r>
          </w:p>
        </w:tc>
        <w:tc>
          <w:tcPr>
            <w:tcW w:w="229" w:type="pct"/>
          </w:tcPr>
          <w:p w14:paraId="3697B5E2" w14:textId="7FB5F79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4B8B2A01" w14:textId="02E76D0A" w:rsidTr="00380533">
        <w:trPr>
          <w:trHeight w:val="285"/>
        </w:trPr>
        <w:tc>
          <w:tcPr>
            <w:tcW w:w="715" w:type="pct"/>
            <w:gridSpan w:val="2"/>
            <w:shd w:val="clear" w:color="auto" w:fill="auto"/>
            <w:noWrap/>
            <w:hideMark/>
          </w:tcPr>
          <w:p w14:paraId="07FA5D82" w14:textId="341CB73F"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Venot</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{"citationID":"a3770kceq3","properties":{"formattedCitation":"(217)","plainCitation":"(217)","noteIndex":0},"citationItems":[{"id":18765,"uris":["http://zotero.org/groups/2477744/items/4JHT92QR"],"itemData":{"id":18765,"type":"article-journal","abstract":"Agricultural (water) development is once again at the fore of the development agenda of sub-Saharan Africa. Yet, corruption is seen as a major obstacle to the sustainability of future investments in the sector but there is still little empirical evidence on the ways corruption pervades development projects. This paper documents the planning and implementation processes of two specific small reservoir programmes in the north of Ghana. We specifically delve into the dynamics of corruption and interrogate the ways they add to the inherent unpredictability of development planning. We argue that operational limitations of small reservoirs such as poor infrastructure, lack of managerial and organisational capacity at the community level and weak market integration and public support are the symptoms - rather than inherent problems - of wider lapses in the planning processes that govern the development of small reservoirs in Ghana and plausibly worldwide. A suite of petty misconduct and corrupt practices during the planning, tendering, supervision, and administration of contracts for the rehabilitation and construction of small reservoirs results in delays in implementation, poor construction, escalating costs, and ultimately failures of small reservoirs vis-à-vis their intended goals and a widely shared frustration among donor agencies, civil servants, contractors, and communities. Such practices hang on and can only be addressed through a better understanding of the complex web of formal decisions and informal rules that shape the understanding and actions of the state.","container-title":"Water Alternatives","issue":"3","journalAbbreviation":"Water Alternatives","page":"399-423","title":"Planning and corrupting water resources development: The case of small reservoirs in Ghana","URL":"https://www.scopus.com/inward/record.uri?eid=2-s2.0-83755196052&amp;partnerID=40&amp;md5=09317337f4ceb758a9b15106c041759e","volume":"4","author":[{"family":"Venot","given":"J.-P."},{"family":"Andreini","given":"M."},{"family":"Pinkstaff","given":"C.B."}],"issued":{"date-parts":[["2011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(217)</w:t>
            </w:r>
            <w:r w:rsidRPr="00A61595">
              <w:rPr>
                <w:rFonts w:ascii="Arial" w:eastAsia="Times New Roman" w:hAnsi="Arial" w:cs="Arial"/>
                <w:sz w:val="14"/>
                <w:szCs w:val="14"/>
              </w:rPr>
              <w:fldChar w:fldCharType="end"/>
            </w:r>
          </w:p>
        </w:tc>
        <w:tc>
          <w:tcPr>
            <w:tcW w:w="192" w:type="pct"/>
            <w:shd w:val="clear" w:color="auto" w:fill="auto"/>
            <w:noWrap/>
            <w:hideMark/>
          </w:tcPr>
          <w:p w14:paraId="2AE1F4B5"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2011</w:t>
            </w:r>
          </w:p>
        </w:tc>
        <w:tc>
          <w:tcPr>
            <w:tcW w:w="2869" w:type="pct"/>
            <w:gridSpan w:val="4"/>
            <w:shd w:val="clear" w:color="auto" w:fill="auto"/>
            <w:noWrap/>
            <w:hideMark/>
          </w:tcPr>
          <w:p w14:paraId="6D6B6193"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Planning and corrupting water resources development</w:t>
            </w:r>
          </w:p>
        </w:tc>
        <w:tc>
          <w:tcPr>
            <w:tcW w:w="318" w:type="pct"/>
          </w:tcPr>
          <w:p w14:paraId="034ED9C0" w14:textId="272DFF80"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e </w:t>
            </w:r>
          </w:p>
        </w:tc>
        <w:tc>
          <w:tcPr>
            <w:tcW w:w="306" w:type="pct"/>
          </w:tcPr>
          <w:p w14:paraId="03044850" w14:textId="2AAFAB7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5656D9F5" w14:textId="3052BA05"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h, </w:t>
            </w:r>
            <w:proofErr w:type="spellStart"/>
            <w:r w:rsidRPr="00A61595">
              <w:rPr>
                <w:rFonts w:ascii="Arial" w:hAnsi="Arial" w:cs="Arial"/>
                <w:color w:val="000000"/>
                <w:sz w:val="14"/>
                <w:szCs w:val="14"/>
              </w:rPr>
              <w:t>i</w:t>
            </w:r>
            <w:proofErr w:type="spellEnd"/>
          </w:p>
        </w:tc>
        <w:tc>
          <w:tcPr>
            <w:tcW w:w="229" w:type="pct"/>
          </w:tcPr>
          <w:p w14:paraId="5CF4675B" w14:textId="70B722F6" w:rsidR="000B21B4" w:rsidRPr="00A61595" w:rsidRDefault="000B21B4" w:rsidP="00380533">
            <w:pPr>
              <w:rPr>
                <w:rFonts w:ascii="Arial" w:hAnsi="Arial" w:cs="Arial"/>
                <w:sz w:val="14"/>
                <w:szCs w:val="14"/>
              </w:rPr>
            </w:pPr>
            <w:r w:rsidRPr="00A61595">
              <w:rPr>
                <w:rFonts w:ascii="Arial" w:hAnsi="Arial" w:cs="Arial"/>
                <w:color w:val="000000"/>
                <w:sz w:val="14"/>
                <w:szCs w:val="14"/>
              </w:rPr>
              <w:t>c, g</w:t>
            </w:r>
          </w:p>
        </w:tc>
      </w:tr>
      <w:tr w:rsidR="000B21B4" w:rsidRPr="00A61595" w14:paraId="2A3784B7" w14:textId="3CC52CB5" w:rsidTr="00380533">
        <w:trPr>
          <w:trHeight w:val="285"/>
        </w:trPr>
        <w:tc>
          <w:tcPr>
            <w:tcW w:w="715" w:type="pct"/>
            <w:gridSpan w:val="2"/>
            <w:shd w:val="clear" w:color="auto" w:fill="auto"/>
            <w:noWrap/>
            <w:hideMark/>
          </w:tcPr>
          <w:p w14:paraId="34D74DE4" w14:textId="1536DA78"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Venter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{"citationID":"a4aokq8luf","properties":{"formattedCitation":"(218)","plainCitation":"(218)","noteIndex":0},"citationItems":[{"id":17215,"uris":["http://zotero.org/groups/2477744/items/E55Y26A4"],"itemData":{"id":17215,"type":"article-journal","abstract":"Human pressures on the environment are changing spatially and temporally, with profound implications for the planet's biodiversity and human economies. Here we use recently available data on infrastructure, land cover and human access into natural areas to construct a globally standardized measure of the cumulative human footprint on the terrestrial environment at 1 km2 resolution from 1993 to 2009. We note that while the human population has increased by 23% and the world economy has grown 153%, the human footprint has increased by just 9%. Still, 75% the planet's land surface is experiencing measurable human pressures. Moreover, pressures are perversely intense, widespread and rapidly intensifying in places with high biodiversity. Encouragingly, we discover decreases in environmental pressures in the wealthiest countries and those with strong control of corruption. Clearly the human footprint on Earth is changing, yet there are still opportunities for conservation gains. © The Author(s) 2016.","container-title":"Nature Communications","DOI":"10.1038/ncomms12558","journalAbbreviation":"Nature Communications","title":"Sixteen years of change in the global terrestrial human footprint and implications for biodiversity conservation","URL":"https://www.scopus.com/inward/record.uri?eid=2-s2.0-84984638802&amp;doi=10.1038%2fncomms12558&amp;partnerID=40&amp;md5=32607402866bd6705338806697ac528c","volume":"7","author":[{"family":"Venter","given":"O."},{"family":"Sanderson","given":"E.W."},{"family":"Magrach","given":"A."},{"family":"Allan","given":"J.R."},{"family":"Beher","given":"J."},{"family":"Jones","given":"K.R."},{"family":"Possingham","given":"H.P."},{"family":"Laurance","given":"W.F."},{"family":"Wood","given":"P."},{"family":"Fekete","given":"B.M."},{"family":"Levy","given":"M.A."},{"family":"Watson","given":"J.E.M."}],"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(218)</w:t>
            </w:r>
            <w:r w:rsidRPr="00A61595">
              <w:rPr>
                <w:rFonts w:ascii="Arial" w:eastAsia="Times New Roman" w:hAnsi="Arial" w:cs="Arial"/>
                <w:sz w:val="14"/>
                <w:szCs w:val="14"/>
              </w:rPr>
              <w:fldChar w:fldCharType="end"/>
            </w:r>
          </w:p>
        </w:tc>
        <w:tc>
          <w:tcPr>
            <w:tcW w:w="192" w:type="pct"/>
            <w:shd w:val="clear" w:color="auto" w:fill="auto"/>
            <w:noWrap/>
            <w:hideMark/>
          </w:tcPr>
          <w:p w14:paraId="42D40263"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0D77064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Change in the global terrestrial human footprint and implications for biodiversity</w:t>
            </w:r>
            <w:r w:rsidRPr="00A61595">
              <w:rPr>
                <w:rFonts w:ascii="Arial" w:hAnsi="Arial" w:cs="Arial"/>
                <w:sz w:val="14"/>
                <w:szCs w:val="14"/>
              </w:rPr>
              <w:br/>
            </w:r>
            <w:r w:rsidRPr="00A61595">
              <w:rPr>
                <w:rFonts w:ascii="Arial" w:eastAsia="Times New Roman" w:hAnsi="Arial" w:cs="Arial"/>
                <w:color w:val="000000" w:themeColor="text1"/>
                <w:sz w:val="14"/>
                <w:szCs w:val="14"/>
              </w:rPr>
              <w:t>conservation</w:t>
            </w:r>
          </w:p>
        </w:tc>
        <w:tc>
          <w:tcPr>
            <w:tcW w:w="318" w:type="pct"/>
          </w:tcPr>
          <w:p w14:paraId="7350E09C" w14:textId="33DE47B8"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0C5BE1B" w14:textId="7172318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3D1AC7FB" w14:textId="44E350DA"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h, </w:t>
            </w:r>
            <w:proofErr w:type="spellStart"/>
            <w:r w:rsidRPr="00A61595">
              <w:rPr>
                <w:rFonts w:ascii="Arial" w:hAnsi="Arial" w:cs="Arial"/>
                <w:color w:val="000000"/>
                <w:sz w:val="14"/>
                <w:szCs w:val="14"/>
              </w:rPr>
              <w:t>i</w:t>
            </w:r>
            <w:proofErr w:type="spellEnd"/>
          </w:p>
        </w:tc>
        <w:tc>
          <w:tcPr>
            <w:tcW w:w="229" w:type="pct"/>
          </w:tcPr>
          <w:p w14:paraId="4776CE89" w14:textId="5FA18D3D"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7B5223B" w14:textId="53B45964" w:rsidTr="00380533">
        <w:trPr>
          <w:trHeight w:val="285"/>
        </w:trPr>
        <w:tc>
          <w:tcPr>
            <w:tcW w:w="715" w:type="pct"/>
            <w:gridSpan w:val="2"/>
            <w:shd w:val="clear" w:color="auto" w:fill="auto"/>
            <w:noWrap/>
            <w:hideMark/>
          </w:tcPr>
          <w:p w14:paraId="2EEB348D" w14:textId="433736F2"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Vercillo</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{"citationID":"a1g5hba3q6e","properties":{"formattedCitation":"(219)","plainCitation":"(219)","noteIndex":0},"citationItems":[{"id":17108,"uris":["http://zotero.org/groups/2477744/items/VE4WSUYC"],"itemData":{"id":17108,"type":"article-journal","abstract":"Drawing on postcolonial literature and theories of farmer resistance, this article provides an empirically based alternative explanation of African farmer behaviours to narratives that blame them for their lack of technology adoption. Based on six months of ethnographic immersion in one district in the Northern Region of Ghana(a), we identify the ways that farmers defy commercial agriculture investment, government services and non-governmental organisation (NGO) project interventions aimed at intensification, and describe their reasons for doing so. This study interprets farmers' acts of defiance, such as side-selling or falsely weighting their products, as insights into everyday acts of resistance. We find that throughout Ghana's postcolonial period, agriculture intensification policy and practice have produced an environment where various development actors and farmers have both a sense of entitlement and mistrust of each other. Farmers' acts of sabotage may be spaces where they make rational choices based on experiences of historical antecedence, including decades of failed development projects, elite corruption and mismanagement, degrading ecologies and donor hegemony.","container-title":"THIRD WORLD QUARTERLY","DOI":"10.1080/01436597.2018.1552076","issue":"4","journalAbbreviation":"THIRD WORLD QUARTERLY","page":"763-779","title":"Farmer resistance to agriculture commercialisation in northern Ghana","volume":"40","author":[{"family":"Vercillo","given":"Siera"},{"family":"Hird-Younger","given":"Miriam"}],"issued":{"date-parts":[["2019"]]}}}],"schema":"https://github.com/citation-style-language/schema/raw/master/csl-citation.json"}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(219)</w:t>
            </w:r>
            <w:r w:rsidRPr="00A61595">
              <w:rPr>
                <w:rFonts w:ascii="Arial" w:eastAsia="Times New Roman" w:hAnsi="Arial" w:cs="Arial"/>
                <w:sz w:val="14"/>
                <w:szCs w:val="14"/>
              </w:rPr>
              <w:fldChar w:fldCharType="end"/>
            </w:r>
            <w:r w:rsidRPr="00A61595">
              <w:rPr>
                <w:rFonts w:ascii="Arial" w:eastAsia="Times New Roman" w:hAnsi="Arial" w:cs="Arial"/>
                <w:sz w:val="14"/>
                <w:szCs w:val="14"/>
              </w:rPr>
              <w:t xml:space="preserve"> </w:t>
            </w:r>
          </w:p>
        </w:tc>
        <w:tc>
          <w:tcPr>
            <w:tcW w:w="192" w:type="pct"/>
            <w:shd w:val="clear" w:color="auto" w:fill="auto"/>
            <w:noWrap/>
            <w:hideMark/>
          </w:tcPr>
          <w:p w14:paraId="104BD76C"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71F74F96"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Farmer resistance to agriculture commercialization</w:t>
            </w:r>
          </w:p>
        </w:tc>
        <w:tc>
          <w:tcPr>
            <w:tcW w:w="318" w:type="pct"/>
          </w:tcPr>
          <w:p w14:paraId="48D63150" w14:textId="64F0D610"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5C2E97B0" w14:textId="06510526" w:rsidR="000B21B4" w:rsidRPr="00A61595" w:rsidRDefault="000B21B4" w:rsidP="00380533">
            <w:pPr>
              <w:rPr>
                <w:rFonts w:ascii="Arial" w:hAnsi="Arial" w:cs="Arial"/>
                <w:sz w:val="14"/>
                <w:szCs w:val="14"/>
              </w:rPr>
            </w:pPr>
            <w:r w:rsidRPr="00A61595">
              <w:rPr>
                <w:rFonts w:ascii="Arial" w:hAnsi="Arial" w:cs="Arial"/>
                <w:color w:val="000000"/>
                <w:sz w:val="14"/>
                <w:szCs w:val="14"/>
              </w:rPr>
              <w:t>a, b, c</w:t>
            </w:r>
          </w:p>
        </w:tc>
        <w:tc>
          <w:tcPr>
            <w:tcW w:w="371" w:type="pct"/>
          </w:tcPr>
          <w:p w14:paraId="027E1BAD" w14:textId="6D3F3468" w:rsidR="000B21B4" w:rsidRPr="00A61595" w:rsidRDefault="000B21B4" w:rsidP="00380533">
            <w:pPr>
              <w:rPr>
                <w:rFonts w:ascii="Arial" w:hAnsi="Arial" w:cs="Arial"/>
                <w:sz w:val="14"/>
                <w:szCs w:val="14"/>
              </w:rPr>
            </w:pPr>
            <w:r w:rsidRPr="00A61595">
              <w:rPr>
                <w:rFonts w:ascii="Arial" w:hAnsi="Arial" w:cs="Arial"/>
                <w:color w:val="000000"/>
                <w:sz w:val="14"/>
                <w:szCs w:val="14"/>
              </w:rPr>
              <w:t>a, d, f, g</w:t>
            </w:r>
          </w:p>
        </w:tc>
        <w:tc>
          <w:tcPr>
            <w:tcW w:w="229" w:type="pct"/>
          </w:tcPr>
          <w:p w14:paraId="3AF85C11" w14:textId="2CCA5D10" w:rsidR="000B21B4" w:rsidRPr="00A61595" w:rsidRDefault="000B21B4" w:rsidP="00380533">
            <w:pPr>
              <w:rPr>
                <w:rFonts w:ascii="Arial" w:hAnsi="Arial" w:cs="Arial"/>
                <w:sz w:val="14"/>
                <w:szCs w:val="14"/>
              </w:rPr>
            </w:pPr>
            <w:r w:rsidRPr="00A61595">
              <w:rPr>
                <w:rFonts w:ascii="Arial" w:hAnsi="Arial" w:cs="Arial"/>
                <w:color w:val="000000"/>
                <w:sz w:val="14"/>
                <w:szCs w:val="14"/>
              </w:rPr>
              <w:t>a, e, g</w:t>
            </w:r>
          </w:p>
        </w:tc>
      </w:tr>
      <w:tr w:rsidR="000B21B4" w:rsidRPr="00A61595" w14:paraId="06C88CB9" w14:textId="6A60FC36" w:rsidTr="00380533">
        <w:trPr>
          <w:trHeight w:val="285"/>
        </w:trPr>
        <w:tc>
          <w:tcPr>
            <w:tcW w:w="715" w:type="pct"/>
            <w:gridSpan w:val="2"/>
            <w:shd w:val="clear" w:color="auto" w:fill="auto"/>
            <w:noWrap/>
            <w:hideMark/>
          </w:tcPr>
          <w:p w14:paraId="3AEF0B46" w14:textId="6B43FF73"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Verter</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{"citationID":"agpc72vkeg","properties":{"formattedCitation":"(220)","plainCitation":"(220)","noteIndex":0},"citationItems":[{"id":17048,"uris":["http://zotero.org/groups/2477744/items/EC5V35HU"],"itemData":{"id":17048,"type":"article-journal","abstract":"Improving food security depends on identifying the indicators of food insecurity that must be monitored and addressed by the policy makers and implementers. This paper investigates the dynamics of trade in food products and food security in Nigeria. Using descriptive approaches, the findings show that Nigeria markedly recorded an adverse TBI in total agri-food trade and many food products. Remarkably, the five mostly exported (i.e. cocoa, fruits and nuts, oilseeds, tobacco) and five mostly imported (wheat, edible products, fish, sugar, milk and cream) food products accounted for 78% and 70% of total food exports and imports in the country. The study also reveals that Nigeria has been grossly food insecure driven by indicators, such as infrastructure deficit, population growth, poverty, corruption, inadequate government support to farmers and absence of safety net programmes. The Nigerian government and other stakeholders should holistically invest and implement agricultural policies to improve food security and earnings in many food products. Keywords: accessibility, affordability, availability, food insecurity, poverty, TBI","container-title":"European Journal of Sustainable Development","DOI":"10.14207/ejsd.2019.v8n3p527","issue":"3","journalAbbreviation":"European Journal of Sustainable Development","page":"527-527","title":"Food Security and Trade in Food Products in Nigeria","volume":"8","author":[{"family":"Verter","given":"Nahanga"}],"issued":{"date-parts":[["2019"]]}}}],"schema":"https://github.com/citation-style-language/schema/raw/master/csl-citation.json"}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(220)</w:t>
            </w:r>
            <w:r w:rsidRPr="00A61595">
              <w:rPr>
                <w:rFonts w:ascii="Arial" w:eastAsia="Times New Roman" w:hAnsi="Arial" w:cs="Arial"/>
                <w:sz w:val="14"/>
                <w:szCs w:val="14"/>
              </w:rPr>
              <w:fldChar w:fldCharType="end"/>
            </w:r>
          </w:p>
        </w:tc>
        <w:tc>
          <w:tcPr>
            <w:tcW w:w="192" w:type="pct"/>
            <w:shd w:val="clear" w:color="auto" w:fill="auto"/>
            <w:noWrap/>
            <w:hideMark/>
          </w:tcPr>
          <w:p w14:paraId="7F904E1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5059240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Dynamics of agri-food trade and food security indicators</w:t>
            </w:r>
          </w:p>
        </w:tc>
        <w:tc>
          <w:tcPr>
            <w:tcW w:w="318" w:type="pct"/>
          </w:tcPr>
          <w:p w14:paraId="25B895CF" w14:textId="71BE3923"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3557F925" w14:textId="29A2F6E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0AFDDD35" w14:textId="6BE74AF1"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c>
          <w:tcPr>
            <w:tcW w:w="229" w:type="pct"/>
          </w:tcPr>
          <w:p w14:paraId="481BE8C9" w14:textId="2332FAE3"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651F2602" w14:textId="75CF8957" w:rsidTr="00380533">
        <w:trPr>
          <w:trHeight w:val="285"/>
        </w:trPr>
        <w:tc>
          <w:tcPr>
            <w:tcW w:w="715" w:type="pct"/>
            <w:gridSpan w:val="2"/>
            <w:shd w:val="clear" w:color="auto" w:fill="auto"/>
            <w:noWrap/>
            <w:hideMark/>
          </w:tcPr>
          <w:p w14:paraId="56CB36B3" w14:textId="5692943E"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Vollrath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{"citationID":"a1ri3u8r11m","properties":{"formattedCitation":"(221)","plainCitation":"(221)","noteIndex":0},"citationItems":[{"id":17120,"uris":["http://zotero.org/groups/2477744/items/2Q63JFAG"],"itemData":{"id":17120,"type":"article-journal","abstract":"Multiple forces operate throughout the global economy and influence the direction, composition, and volume of agri-food trade. The fundamental determinants that impede and foster bilateral trade in two food types, namely staple commodities and manufactured products, are identified using generalized gravity equations. Empirical evidence verified the importance of relative resource endowments and similarities in the structure of partner demand. Other socio-geo-political factors were also found to influence food trade, including the ability of governments to control corruption and curtail disequilibrium in financial markets. © 2006 Canadian Agricultural Economics Society.","container-title":"Canadian Journal of Agricultural Economics","DOI":"10.1111/j.1744-7976.2006.00063.x","issue":"4","journalAbbreviation":"Canadian Journal of Agricultural Economics","page":"497-511","title":"Consumer demand and cost factors shape the global trade network in commodity and manufactured foods","volume":"54","author":[{"family":"Vollrath","given":"Thomas L."},{"family":"Hallahan","given":"Charles B."},{"family":"Gehlhar","given":"Mark J."}],"issued":{"date-parts":[["2006"]]}}}],"schema":"https://github.com/citation-style-language/schema/raw/master/csl-citation.json"}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(221)</w:t>
            </w:r>
            <w:r w:rsidRPr="00A61595">
              <w:rPr>
                <w:rFonts w:ascii="Arial" w:eastAsia="Times New Roman" w:hAnsi="Arial" w:cs="Arial"/>
                <w:sz w:val="14"/>
                <w:szCs w:val="14"/>
              </w:rPr>
              <w:fldChar w:fldCharType="end"/>
            </w:r>
          </w:p>
        </w:tc>
        <w:tc>
          <w:tcPr>
            <w:tcW w:w="192" w:type="pct"/>
            <w:shd w:val="clear" w:color="auto" w:fill="auto"/>
            <w:noWrap/>
            <w:hideMark/>
          </w:tcPr>
          <w:p w14:paraId="4CFE524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2006</w:t>
            </w:r>
          </w:p>
        </w:tc>
        <w:tc>
          <w:tcPr>
            <w:tcW w:w="2869" w:type="pct"/>
            <w:gridSpan w:val="4"/>
            <w:shd w:val="clear" w:color="auto" w:fill="auto"/>
            <w:noWrap/>
            <w:hideMark/>
          </w:tcPr>
          <w:p w14:paraId="5DA02E5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Forces underlying export supply and import demand of two types of food</w:t>
            </w:r>
          </w:p>
        </w:tc>
        <w:tc>
          <w:tcPr>
            <w:tcW w:w="318" w:type="pct"/>
          </w:tcPr>
          <w:p w14:paraId="35D4B542" w14:textId="0E002E4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3C3A791F" w14:textId="37FBFE49"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2A45736E" w14:textId="5956FB9A" w:rsidR="000B21B4" w:rsidRPr="00A61595" w:rsidRDefault="000B21B4" w:rsidP="00380533">
            <w:pPr>
              <w:rPr>
                <w:rFonts w:ascii="Arial" w:hAnsi="Arial" w:cs="Arial"/>
                <w:sz w:val="14"/>
                <w:szCs w:val="14"/>
              </w:rPr>
            </w:pPr>
            <w:r w:rsidRPr="00A61595">
              <w:rPr>
                <w:rFonts w:ascii="Arial" w:hAnsi="Arial" w:cs="Arial"/>
                <w:color w:val="000000"/>
                <w:sz w:val="14"/>
                <w:szCs w:val="14"/>
              </w:rPr>
              <w:t>NA</w:t>
            </w:r>
          </w:p>
        </w:tc>
        <w:tc>
          <w:tcPr>
            <w:tcW w:w="229" w:type="pct"/>
          </w:tcPr>
          <w:p w14:paraId="4569FC48" w14:textId="78FF2EEA"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2C8471EB" w14:textId="70B7BD64" w:rsidTr="00380533">
        <w:trPr>
          <w:trHeight w:val="285"/>
        </w:trPr>
        <w:tc>
          <w:tcPr>
            <w:tcW w:w="715" w:type="pct"/>
            <w:gridSpan w:val="2"/>
            <w:shd w:val="clear" w:color="auto" w:fill="auto"/>
            <w:noWrap/>
            <w:hideMark/>
          </w:tcPr>
          <w:p w14:paraId="77020978" w14:textId="238AB20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Weber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{"citationID":"a2eiamh39g0","properties":{"formattedCitation":"(222)","plainCitation":"(222)","noteIndex":0},"citationItems":[{"id":17128,"uris":["http://zotero.org/groups/2477744/items/8GS879IA"],"itemData":{"id":17128,"type":"article-journal","abstract":"This paper presents empirical evidence on the interplay important topics of consumer price rigidity and market power in the German food retail industry. In particular, the analysis addresses the causal relationship between market structure--collusion--and pricing behaviour highlighted in the industrial organization literature. Extensive analysis of retail scanner data across beef and pork products reveals considerable differences in price rigidity across store types. Supermarket pricing behaviour is evaluated with respect to all price changes retail sales action and price adjustments indicating that food discounters exhibit the highest degree of rigid prices. Retail concentration, as an important explanatory factor of price stickiness is investigated via the analysis of retail market power employing a conjectural-variation approach. The analysis of market conduct in the marketing of beef and pork products indicates simultaneous oligopolistic and oligopsonistic behaviour of retail firms. (PsycINFO Database Record (c) 2016 APA, all rights reserved)","container-title":"Managerial &amp; Decision Economics","DOI":"10.1002/mde.1370","issue":"7","journalAbbreviation":"Managerial &amp; Decision Economics","note":"publisher-place: US\npublisher: John Wiley &amp; Sons","page":"737-749","title":"Price rigidity and market power in German retailing.","volume":"28","author":[{"family":"Weber","given":"Sascha A."},{"family":"Anders","given":"Sven M."}],"issued":{"date-parts":[["2007"]]}}}],"schema":"https://github.com/citation-style-language/schema/raw/master/csl-citation.json"}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(222)</w:t>
            </w:r>
            <w:r w:rsidRPr="00A61595">
              <w:rPr>
                <w:rFonts w:ascii="Arial" w:eastAsia="Times New Roman" w:hAnsi="Arial" w:cs="Arial"/>
                <w:sz w:val="14"/>
                <w:szCs w:val="14"/>
              </w:rPr>
              <w:fldChar w:fldCharType="end"/>
            </w:r>
          </w:p>
        </w:tc>
        <w:tc>
          <w:tcPr>
            <w:tcW w:w="192" w:type="pct"/>
            <w:shd w:val="clear" w:color="auto" w:fill="auto"/>
            <w:noWrap/>
            <w:hideMark/>
          </w:tcPr>
          <w:p w14:paraId="24322C45"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2007</w:t>
            </w:r>
          </w:p>
        </w:tc>
        <w:tc>
          <w:tcPr>
            <w:tcW w:w="2869" w:type="pct"/>
            <w:gridSpan w:val="4"/>
            <w:shd w:val="clear" w:color="auto" w:fill="auto"/>
            <w:noWrap/>
            <w:hideMark/>
          </w:tcPr>
          <w:p w14:paraId="27F992E0"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Relationship between market structure, collusion, and beef and pork retail pricing behavior</w:t>
            </w:r>
          </w:p>
        </w:tc>
        <w:tc>
          <w:tcPr>
            <w:tcW w:w="318" w:type="pct"/>
          </w:tcPr>
          <w:p w14:paraId="53E9A53B" w14:textId="41771D75"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06" w:type="pct"/>
          </w:tcPr>
          <w:p w14:paraId="4574A4AC" w14:textId="11B1DFA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26DE24F7" w14:textId="6FDDF4D0"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e, </w:t>
            </w:r>
            <w:proofErr w:type="spellStart"/>
            <w:r w:rsidRPr="00A61595">
              <w:rPr>
                <w:rFonts w:ascii="Arial" w:hAnsi="Arial" w:cs="Arial"/>
                <w:color w:val="000000"/>
                <w:sz w:val="14"/>
                <w:szCs w:val="14"/>
              </w:rPr>
              <w:t>i</w:t>
            </w:r>
            <w:proofErr w:type="spellEnd"/>
          </w:p>
        </w:tc>
        <w:tc>
          <w:tcPr>
            <w:tcW w:w="229" w:type="pct"/>
          </w:tcPr>
          <w:p w14:paraId="333CE056" w14:textId="3105C606"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7925C6ED" w14:textId="458AB4C3" w:rsidTr="00380533">
        <w:trPr>
          <w:trHeight w:val="285"/>
        </w:trPr>
        <w:tc>
          <w:tcPr>
            <w:tcW w:w="715" w:type="pct"/>
            <w:gridSpan w:val="2"/>
            <w:shd w:val="clear" w:color="auto" w:fill="auto"/>
            <w:noWrap/>
            <w:hideMark/>
          </w:tcPr>
          <w:p w14:paraId="70131657" w14:textId="5E6792A2"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Weesie</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{"citationID":"a1lts95bobg","properties":{"formattedCitation":"(223)","plainCitation":"(223)","noteIndex":0},"citationItems":[{"id":17214,"uris":["http://zotero.org/groups/2477744/items/WVTWDH6M"],"itemData":{"id":17214,"type":"article-journal","abstract":"Improving water supply for irrigable farming and livestock purposes in communities in Africa is an increasingly popular approach for community-based adaptation interventions. A widespread intervention is the construction of agro-pastoral dams and irrigation schemes in traditionally pastoral communities that face a drying climate. Taking the Maji Moto Maasai community in southern Kenya as a case study, this article demonstrates that water access inequality can lead to a breakdown of pre-existing social capital and former pastoral cooperative structures within a community. When such interventions trigger new water uses, such as farming in former pastoral landscapes, there are no traditional customary institutional structures in place to manage the new water resource. The resulting easily corruptible local water management institutions are a main consolidator of water access inequalities for intervention beneficiaries, where socio-economic standing often determines benefits from interventions. Ultimately, technological adaptation interventions such as agro-pastoral dams may result in tensions and a high fragmentation of adaptive capacity within target communities. © 2018 by the authors.","container-title":"Sustainability (Switzerland)","DOI":"10.3390/su10124386","issue":"12","journalAbbreviation":"Sustainability (Switzerland)","title":"From herding to farming under adaptation interventions in southern Kenya: A critical perspective","URL":"https://www.scopus.com/inward/record.uri?eid=2-s2.0-85057241251&amp;doi=10.3390%2fsu10124386&amp;partnerID=40&amp;md5=629b5eda6379e313d555987ad0c49628","volume":"10","author":[{"family":"Weesie","given":"R."},{"family":"García","given":"A.K."}],"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(223)</w:t>
            </w:r>
            <w:r w:rsidRPr="00A61595">
              <w:rPr>
                <w:rFonts w:ascii="Arial" w:eastAsia="Times New Roman" w:hAnsi="Arial" w:cs="Arial"/>
                <w:sz w:val="14"/>
                <w:szCs w:val="14"/>
              </w:rPr>
              <w:fldChar w:fldCharType="end"/>
            </w:r>
          </w:p>
        </w:tc>
        <w:tc>
          <w:tcPr>
            <w:tcW w:w="192" w:type="pct"/>
            <w:shd w:val="clear" w:color="auto" w:fill="auto"/>
            <w:noWrap/>
            <w:hideMark/>
          </w:tcPr>
          <w:p w14:paraId="274CFCD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0A5EFD3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Changes in bonding social capital between the pre- and the post-intervention of water access cooperative structures</w:t>
            </w:r>
          </w:p>
        </w:tc>
        <w:tc>
          <w:tcPr>
            <w:tcW w:w="318" w:type="pct"/>
          </w:tcPr>
          <w:p w14:paraId="75457BD9" w14:textId="052AAB1C"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5AD19F7" w14:textId="50F2F4D6"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71" w:type="pct"/>
          </w:tcPr>
          <w:p w14:paraId="5CC9BC05" w14:textId="13A7A144"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h, </w:t>
            </w:r>
            <w:proofErr w:type="spellStart"/>
            <w:r w:rsidRPr="00A61595">
              <w:rPr>
                <w:rFonts w:ascii="Arial" w:hAnsi="Arial" w:cs="Arial"/>
                <w:color w:val="000000"/>
                <w:sz w:val="14"/>
                <w:szCs w:val="14"/>
              </w:rPr>
              <w:t>i</w:t>
            </w:r>
            <w:proofErr w:type="spellEnd"/>
          </w:p>
        </w:tc>
        <w:tc>
          <w:tcPr>
            <w:tcW w:w="229" w:type="pct"/>
          </w:tcPr>
          <w:p w14:paraId="423EFADC" w14:textId="20E27A48" w:rsidR="000B21B4" w:rsidRPr="00A61595" w:rsidRDefault="000B21B4" w:rsidP="00380533">
            <w:pPr>
              <w:rPr>
                <w:rFonts w:ascii="Arial" w:hAnsi="Arial" w:cs="Arial"/>
                <w:sz w:val="14"/>
                <w:szCs w:val="14"/>
              </w:rPr>
            </w:pPr>
            <w:r w:rsidRPr="00A61595">
              <w:rPr>
                <w:rFonts w:ascii="Arial" w:hAnsi="Arial" w:cs="Arial"/>
                <w:color w:val="000000"/>
                <w:sz w:val="14"/>
                <w:szCs w:val="14"/>
              </w:rPr>
              <w:t>a, g</w:t>
            </w:r>
          </w:p>
        </w:tc>
      </w:tr>
      <w:tr w:rsidR="000B21B4" w:rsidRPr="00A61595" w14:paraId="58BD5432" w14:textId="2B79E80F" w:rsidTr="00380533">
        <w:trPr>
          <w:trHeight w:val="285"/>
        </w:trPr>
        <w:tc>
          <w:tcPr>
            <w:tcW w:w="715" w:type="pct"/>
            <w:gridSpan w:val="2"/>
            <w:shd w:val="clear" w:color="auto" w:fill="auto"/>
            <w:noWrap/>
            <w:hideMark/>
          </w:tcPr>
          <w:p w14:paraId="394D7406" w14:textId="6D2BA36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Wisniewski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{"citationID":"a1tv2akno2o","properties":{"formattedCitation":"(224)","plainCitation":"(224)","noteIndex":0},"citationItems":[{"id":17213,"uris":["http://zotero.org/groups/2477744/items/7UE9HA3Z"],"itemData":{"id":17213,"type":"article-journal","abstract":"Food Fraud has been a problem for as long as food trade exists in human history. Recent food fraud scandals have attracted particular attention of the public and authorities. The fight against food fraud is still hampered by a lack of a clear definition stating which facts constitute a legal case of food fraud. Against this background, an online survey was conducted in the official food control authorities of the German federal states to obtain an overview of the facts considered as food fraud and to identify factors which, according to the respondents, could be used for the early detection of food fraud. The study was carried out in autumn 2017 with the online software tool Sosci Survey. The data collected was analysed descriptively using Microsoft Excel. The following facts are classified as food fraud by almost all participants: substitution of substances/liquids, imitation of foodstuff, omission of substances/liquids and the concealment of inferior quality of a product. The origin of the foodstuff is considered to be the most important factor in predicting possible food fraud, followed by the product category and price fluctuations. The results of this study show similarities and differences in the understanding of the term food fraud in the official institutions of Germany. Therefore they might be used for the development of a legal definition, which eliminates the identified ambiguities and is a prerequisite for a stringent and congruent fight against food fraud. The identified factors for predicting possible cases of food fraud could be used to develop an early warning system and could thus be part of an overall prevention concept. © 2019, The Author(s).","container-title":"Journal fur Verbraucherschutz und Lebensmittelsicherheit","DOI":"10.1007/s00003-019-01228-2","issue":"4","journalAbbreviation":"Journal fur Verbraucherschutz und Lebensmittelsicherheit","page":"319-328","title":"How to tackle food fraud in official food control authorities in Germany","URL":"https://www.scopus.com/inward/record.uri?eid=2-s2.0-85067290019&amp;doi=10.1007%2fs00003-019-01228-2&amp;partnerID=40&amp;md5=a9a525efd015fe71ec5c0a4b6980e681","volume":"14","author":[{"family":"Wisniewski","given":"A."},{"family":"Buschulte","given":"A."}],"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(224)</w:t>
            </w:r>
            <w:r w:rsidRPr="00A61595">
              <w:rPr>
                <w:rFonts w:ascii="Arial" w:eastAsia="Times New Roman" w:hAnsi="Arial" w:cs="Arial"/>
                <w:sz w:val="14"/>
                <w:szCs w:val="14"/>
              </w:rPr>
              <w:fldChar w:fldCharType="end"/>
            </w:r>
          </w:p>
        </w:tc>
        <w:tc>
          <w:tcPr>
            <w:tcW w:w="192" w:type="pct"/>
            <w:shd w:val="clear" w:color="auto" w:fill="auto"/>
            <w:noWrap/>
            <w:hideMark/>
          </w:tcPr>
          <w:p w14:paraId="6B68E2D1"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6FDBA7B2" w14:textId="77777777" w:rsidR="000B21B4" w:rsidRPr="00A61595" w:rsidRDefault="000B21B4" w:rsidP="00380533">
            <w:pPr>
              <w:spacing w:after="0" w:line="360" w:lineRule="auto"/>
              <w:rPr>
                <w:rFonts w:ascii="Arial" w:eastAsia="Times New Roman" w:hAnsi="Arial" w:cs="Arial"/>
                <w:color w:val="000000"/>
                <w:sz w:val="14"/>
                <w:szCs w:val="14"/>
                <w:lang w:eastAsia="en-AU"/>
              </w:rPr>
            </w:pPr>
            <w:bookmarkStart w:id="9" w:name="_Int_VM553iOq"/>
            <w:r w:rsidRPr="00A61595">
              <w:rPr>
                <w:rFonts w:ascii="Arial" w:eastAsia="Times New Roman" w:hAnsi="Arial" w:cs="Arial"/>
                <w:color w:val="000000" w:themeColor="text1"/>
                <w:sz w:val="14"/>
                <w:szCs w:val="14"/>
              </w:rPr>
              <w:t>Status</w:t>
            </w:r>
            <w:bookmarkEnd w:id="9"/>
            <w:r w:rsidRPr="00A61595">
              <w:rPr>
                <w:rFonts w:ascii="Arial" w:eastAsia="Times New Roman" w:hAnsi="Arial" w:cs="Arial"/>
                <w:color w:val="000000" w:themeColor="text1"/>
                <w:sz w:val="14"/>
                <w:szCs w:val="14"/>
              </w:rPr>
              <w:t xml:space="preserve"> of food fraud control in Germany</w:t>
            </w:r>
          </w:p>
        </w:tc>
        <w:tc>
          <w:tcPr>
            <w:tcW w:w="318" w:type="pct"/>
          </w:tcPr>
          <w:p w14:paraId="7EC8615C" w14:textId="7437C35E"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684C056C" w14:textId="1A4EF1A0"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778FBF1" w14:textId="61983FFE" w:rsidR="000B21B4" w:rsidRPr="00A61595" w:rsidRDefault="000B21B4" w:rsidP="00380533">
            <w:pPr>
              <w:rPr>
                <w:rFonts w:ascii="Arial" w:hAnsi="Arial" w:cs="Arial"/>
                <w:sz w:val="14"/>
                <w:szCs w:val="14"/>
              </w:rPr>
            </w:pPr>
            <w:r w:rsidRPr="00A61595">
              <w:rPr>
                <w:rFonts w:ascii="Arial" w:hAnsi="Arial" w:cs="Arial"/>
                <w:color w:val="000000"/>
                <w:sz w:val="14"/>
                <w:szCs w:val="14"/>
              </w:rPr>
              <w:t>e, g</w:t>
            </w:r>
          </w:p>
        </w:tc>
        <w:tc>
          <w:tcPr>
            <w:tcW w:w="229" w:type="pct"/>
          </w:tcPr>
          <w:p w14:paraId="0766221F" w14:textId="28DBEE4F"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364D09A2" w14:textId="185209EB" w:rsidTr="00380533">
        <w:trPr>
          <w:trHeight w:val="285"/>
        </w:trPr>
        <w:tc>
          <w:tcPr>
            <w:tcW w:w="715" w:type="pct"/>
            <w:gridSpan w:val="2"/>
            <w:shd w:val="clear" w:color="auto" w:fill="auto"/>
            <w:noWrap/>
            <w:hideMark/>
          </w:tcPr>
          <w:p w14:paraId="7253D7CE" w14:textId="48B0918B"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Wolfersberger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{"citationID":"a29iht32qd1","properties":{"formattedCitation":"(225)","plainCitation":"(225)","noteIndex":0},"citationItems":[{"id":18315,"uris":["http://zotero.org/groups/2477744/items/4EDJEAT4"],"itemData":{"id":18315,"type":"article-journal","abstract":"Deforestation is a major environmental issue in developing countries, and agricultural land expansion is its main cause. The objective of this paper is twofold:(1) to identify the macroeconomic determinants of ending deforestation; and (2) to explain cumulative deforestation and other land uses. To do this, we first study the probability of a turning point for deforestation (i.e., the switch from decreasing to expanding forest areas), based on the Forest Transition hypothesis. Second, we adapt a land-use model to explain the trade-off between forest and agriculture during development. To take the link between both phenomena into account, we estimate a dynamic panel seemingly unrelated regression (SUR) model along with a switching regression model, applied to a dataset of 57 developing countries observed over four time periods. The estimation results reveal that economic development and institutions play a significant role in long-term deforestation. Our results also suggest that after the first development stage, agriculture and forest are not always competing land uses. These results provide new insights into public policies such as REDD+.","container-title":"Ecological Economics","DOI":"10.1016/j.ecolecon.2015.08.018","ISSN":"0921-8009","journalAbbreviation":"Ecological Economics","language":"en","page":"241-251","source":"ScienceDirect","title":"An empirical analysis of forest transition and land-use change in developing countries","URL":"https://www.sciencedirect.com/science/article/pii/S0921800915003663","volume":"119","author":[{"family":"Wolfersberger","given":"Julien"},{"family":"Delacote","given":"Philippe"},{"family":"Garcia","given":"Serge"}],"accessed":{"date-parts":[["2022",5,20]]},"issued":{"date-parts":[["2015",11,1]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(225)</w:t>
            </w:r>
            <w:r w:rsidRPr="00A61595">
              <w:rPr>
                <w:rFonts w:ascii="Arial" w:eastAsia="Times New Roman" w:hAnsi="Arial" w:cs="Arial"/>
                <w:sz w:val="14"/>
                <w:szCs w:val="14"/>
              </w:rPr>
              <w:fldChar w:fldCharType="end"/>
            </w:r>
          </w:p>
        </w:tc>
        <w:tc>
          <w:tcPr>
            <w:tcW w:w="192" w:type="pct"/>
            <w:shd w:val="clear" w:color="auto" w:fill="auto"/>
            <w:noWrap/>
            <w:hideMark/>
          </w:tcPr>
          <w:p w14:paraId="158AEB48"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3DD88402"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Forest transition and land-use change in developing countries</w:t>
            </w:r>
          </w:p>
        </w:tc>
        <w:tc>
          <w:tcPr>
            <w:tcW w:w="318" w:type="pct"/>
          </w:tcPr>
          <w:p w14:paraId="1E533F36" w14:textId="68F0E43E"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7AACAEFD" w14:textId="7C71047F"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4DC21ED7" w14:textId="16C68482" w:rsidR="000B21B4" w:rsidRPr="00A61595" w:rsidRDefault="000B21B4" w:rsidP="00380533">
            <w:pPr>
              <w:rPr>
                <w:rFonts w:ascii="Arial" w:hAnsi="Arial" w:cs="Arial"/>
                <w:sz w:val="14"/>
                <w:szCs w:val="14"/>
              </w:rPr>
            </w:pPr>
            <w:r w:rsidRPr="00A61595">
              <w:rPr>
                <w:rFonts w:ascii="Arial" w:hAnsi="Arial" w:cs="Arial"/>
                <w:color w:val="000000"/>
                <w:sz w:val="14"/>
                <w:szCs w:val="14"/>
              </w:rPr>
              <w:t>f, h</w:t>
            </w:r>
          </w:p>
        </w:tc>
        <w:tc>
          <w:tcPr>
            <w:tcW w:w="229" w:type="pct"/>
          </w:tcPr>
          <w:p w14:paraId="2B25EC8F" w14:textId="58D6392E"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3786F863" w14:textId="2D5C7E44" w:rsidTr="00380533">
        <w:trPr>
          <w:trHeight w:val="285"/>
        </w:trPr>
        <w:tc>
          <w:tcPr>
            <w:tcW w:w="715" w:type="pct"/>
            <w:gridSpan w:val="2"/>
            <w:shd w:val="clear" w:color="auto" w:fill="auto"/>
            <w:noWrap/>
            <w:hideMark/>
          </w:tcPr>
          <w:p w14:paraId="44775B93" w14:textId="5808B128"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Yami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{"citationID":"a2ci89gsjnm","properties":{"formattedCitation":"(226)","plainCitation":"(226)","noteIndex":0},"citationItems":[{"id":17212,"uris":["http://zotero.org/groups/2477744/items/PCBWW7AL"],"itemData":{"id":17212,"type":"article-journal","abstract":"Although the political context in Uganda exhibits democratic deficit and patronage, research and development actors have given little attention to the possible negative impact these may have on agricultural policymaking and implementation processes. This article examines the influence of power in perpetuating prevailing narratives around public participation in agricultural policymaking processes. The analysis is based on qualitative data collected between September 2014 and May 2015 using 86 in-depth interviews, 18 focus group discussions, and recorded observations in stakeholder consultations. Results indicate that while the political setting provides space for uncensored debates, the policymaking process remains under close control of political leaders, technical personnel, and high-level officers in the government. Policy negotiation remains limited to actors who are knowledgeable about the technical issues and those who have the financial resources and political power to influence decisions, such as international donors. There is limited space for negotiation of competing claims and interests in the processes by public and private actors actively engaged in agricultural development, production, processing, and trade. Thus, efforts to achieve good governance in policy processes fall short due to lack of approaches that promote co-design and co-ownership of the policies. © 2018 by the Rural Sociological Society","container-title":"Rural Sociology","DOI":"10.1111/ruso.12229","issue":"2","journalAbbreviation":"Rural Sociology","page":"390-415","title":"Participation without Negotiating: Influence of Stakeholder Power Imbalances and Engagement Models on Agricultural Policy Development in Uganda","URL":"https://www.scopus.com/inward/record.uri?eid=2-s2.0-85048919626&amp;doi=10.1111%2fruso.12229&amp;partnerID=40&amp;md5=ba5bb36b214ab8d75073f9dc063c0489","volume":"84","author":[{"family":"Yami","given":"M."},{"family":"Asten","given":"P.","non-dropping-particle":"van"},{"family":"Hauser","given":"M."},{"family":"Schut","given":"M."},{"family":"Pali","given":"P."}],"issued":{"date-parts":[["2019"]]}}}],"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(226)</w:t>
            </w:r>
            <w:r w:rsidRPr="00A61595">
              <w:rPr>
                <w:rFonts w:ascii="Arial" w:eastAsia="Times New Roman" w:hAnsi="Arial" w:cs="Arial"/>
                <w:sz w:val="14"/>
                <w:szCs w:val="14"/>
              </w:rPr>
              <w:fldChar w:fldCharType="end"/>
            </w:r>
          </w:p>
        </w:tc>
        <w:tc>
          <w:tcPr>
            <w:tcW w:w="192" w:type="pct"/>
            <w:shd w:val="clear" w:color="auto" w:fill="auto"/>
            <w:noWrap/>
            <w:hideMark/>
          </w:tcPr>
          <w:p w14:paraId="3200FA6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539934A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Influence of power in perpetuating prevailing narratives around public participation in agricultural policymaking processes</w:t>
            </w:r>
          </w:p>
        </w:tc>
        <w:tc>
          <w:tcPr>
            <w:tcW w:w="318" w:type="pct"/>
          </w:tcPr>
          <w:p w14:paraId="5064C766" w14:textId="08C3DA2A"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454285F2" w14:textId="5C95372D"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2419725A" w14:textId="6372A2D8" w:rsidR="000B21B4" w:rsidRPr="00A61595" w:rsidRDefault="000B21B4" w:rsidP="00380533">
            <w:pPr>
              <w:rPr>
                <w:rFonts w:ascii="Arial" w:hAnsi="Arial" w:cs="Arial"/>
                <w:sz w:val="14"/>
                <w:szCs w:val="14"/>
              </w:rPr>
            </w:pPr>
            <w:r w:rsidRPr="00A61595">
              <w:rPr>
                <w:rFonts w:ascii="Arial" w:hAnsi="Arial" w:cs="Arial"/>
                <w:color w:val="000000"/>
                <w:sz w:val="14"/>
                <w:szCs w:val="14"/>
              </w:rPr>
              <w:t>a, f, g, h</w:t>
            </w:r>
          </w:p>
        </w:tc>
        <w:tc>
          <w:tcPr>
            <w:tcW w:w="229" w:type="pct"/>
          </w:tcPr>
          <w:p w14:paraId="7F44AD93" w14:textId="3FDE2F15"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243E3FEC" w14:textId="49C100B6" w:rsidTr="00380533">
        <w:trPr>
          <w:trHeight w:val="285"/>
        </w:trPr>
        <w:tc>
          <w:tcPr>
            <w:tcW w:w="715" w:type="pct"/>
            <w:gridSpan w:val="2"/>
            <w:shd w:val="clear" w:color="auto" w:fill="auto"/>
            <w:noWrap/>
            <w:hideMark/>
          </w:tcPr>
          <w:p w14:paraId="4FF3CD7F" w14:textId="6D2901BA"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Yan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{"citationID":"a4qki3krc7","properties":{"formattedCitation":"(227)","plainCitation":"(227)","noteIndex":0},"citationItems":[{"id":17211,"uris":["http://zotero.org/groups/2477744/items/8IN5ZHXP"],"itemData":{"id":17211,"type":"article-journal","abstract":"As a high value commodity on the market, extra virgin olive oil (EVOO) is a suitable target for fraudsters. To understand differences in perceived fraud vulnerability between tier groups across the EVOO supply chain and to disclose underlying factors, the perceived fraud vulnerability of 28 companies was examined using the SSAFE food fraud vulnerability assessment tool. Amongst these companies were seven olive oil producers, seven business-to-business (B2B) companies, seven food manufacturers and seven retailers. The similarities and differences in perceived fraud vulnerabilities according to group characteristics (the role, the scale and the location of the company) were evaluated. Non-parametric tests and multiple correspondence analysis were applied for data exploration. An in-depth fraud vulnerability assessment of the EVOO supply chain was provided. Eight fraud factors related to opportunities and motivations scored high in the supply chain indicating their importance as fraud drivers and enablers. Four factors related to control measures are perceived as greatest vulnerability in the EVOO supply chain. Then, the vulnerability to fraud in the EVOO supply chain across all actors is perceived as high level on average. In decreasing contribution to the overall perceived fraud vulnerability, the fraud factor categories were ranked as follow: technical opportunities, a lack of managerial controls, a lack of technical controls, economic drivers, cultural and behavioural drivers, and opportunities in time and place. Among the tier groups, the retailers and B2B companies experienced higher levels of perceived vulnerability than olive oil producers and food manufacturers due to the additional vulnerability related to the opportunities in time and place, and greatest lack of control measures. Furthermore, the perceived fraud vulnerability of the company was not only determined by the tier group, but also impacted by the scale and location of the company. © 2019 The Authors","container-title":"Food Control","DOI":"10.1016/j.foodcont.2019.107081","journalAbbreviation":"Food Control","title":"Food fraud: Assessing fraud vulnerability in the extra virgin olive oil supply chain","URL":"https://www.scopus.com/inward/record.uri?eid=2-s2.0-85078725092&amp;doi=10.1016%2fj.foodcont.2019.107081&amp;partnerID=40&amp;md5=ab863e6269b894cd107f23e3111cfbec","volume":"111","author":[{"family":"Yan","given":"J."},{"family":"Erasmus","given":"S.W."},{"family":"Aguilera Toro","given":"M."},{"family":"Huang","given":"H."},{"family":"Ruth","given":"S.M.","non-dropping-particle":"van"}],"issued":{"date-parts":[["2020"]]}}}],"schema":"https://github.com/citation-style-language/schema/raw/master/csl-citation.json"}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(227)</w:t>
            </w:r>
            <w:r w:rsidRPr="00A61595">
              <w:rPr>
                <w:rFonts w:ascii="Arial" w:eastAsia="Times New Roman" w:hAnsi="Arial" w:cs="Arial"/>
                <w:sz w:val="14"/>
                <w:szCs w:val="14"/>
              </w:rPr>
              <w:fldChar w:fldCharType="end"/>
            </w:r>
          </w:p>
        </w:tc>
        <w:tc>
          <w:tcPr>
            <w:tcW w:w="192" w:type="pct"/>
            <w:shd w:val="clear" w:color="auto" w:fill="auto"/>
            <w:noWrap/>
            <w:hideMark/>
          </w:tcPr>
          <w:p w14:paraId="571F71AE"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2B7AE209"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Perceived fraud vulnerability of the extra-virgin olive oil supply chain</w:t>
            </w:r>
          </w:p>
        </w:tc>
        <w:tc>
          <w:tcPr>
            <w:tcW w:w="318" w:type="pct"/>
          </w:tcPr>
          <w:p w14:paraId="0C4515EB" w14:textId="6D8E3D45"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51669D01" w14:textId="04D1715D"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68A217E3" w14:textId="71F6A279" w:rsidR="000B21B4" w:rsidRPr="00A61595" w:rsidRDefault="000B21B4" w:rsidP="00380533">
            <w:pPr>
              <w:rPr>
                <w:rFonts w:ascii="Arial" w:hAnsi="Arial" w:cs="Arial"/>
                <w:sz w:val="14"/>
                <w:szCs w:val="14"/>
              </w:rPr>
            </w:pPr>
            <w:r w:rsidRPr="00A61595">
              <w:rPr>
                <w:rFonts w:ascii="Arial" w:hAnsi="Arial" w:cs="Arial"/>
                <w:color w:val="000000"/>
                <w:sz w:val="14"/>
                <w:szCs w:val="14"/>
              </w:rPr>
              <w:t>b, e</w:t>
            </w:r>
          </w:p>
        </w:tc>
        <w:tc>
          <w:tcPr>
            <w:tcW w:w="229" w:type="pct"/>
          </w:tcPr>
          <w:p w14:paraId="2D7B4837" w14:textId="1DC3E3CF"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6DD604AD" w14:textId="7F074CBE" w:rsidTr="00380533">
        <w:trPr>
          <w:trHeight w:val="285"/>
        </w:trPr>
        <w:tc>
          <w:tcPr>
            <w:tcW w:w="715" w:type="pct"/>
            <w:gridSpan w:val="2"/>
            <w:shd w:val="clear" w:color="auto" w:fill="auto"/>
            <w:noWrap/>
            <w:hideMark/>
          </w:tcPr>
          <w:p w14:paraId="0327139C" w14:textId="6CAD710C"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Yang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{"citationID":"a1j0o9sv9e5","properties":{"formattedCitation":"(228)","plainCitation":"(228)","noteIndex":0},"citationItems":[{"id":18759,"uris":["http://zotero.org/groups/2477744/items/HQ6IAIQF"],"itemData":{"id":18759,"type":"article-journal","abstract":"Food fraud has become a serious concern all over the world and especially in China. The melamine contaminated infant formula in 2008 has brought food fraud in the spotlights. This incident had grave consequences for the Chinese citizens as well as the Chinese milk industry. Fraud vulnerability assessments are the first step towards food fraud prevention and mitigation. To combat food fraud, one has to think like a criminal. In the current study, we determined the most vulnerable points in the Chinese milk supply chain, and examined the underlying causes. The fraud vulnerability perceived by 90 Chinese dairy farmers and 14 milk processors was evaluated with the SSAFE food fraud vulnerability assessment tool. Overall, actors perceived the milk supply chain as low to medium vulnerable to food fraud. Farmers appeared significantly more vulnerable than processors due to enhanced opportunities and motivations, and less adequate controls. Both geographical location of the farms and their size affected their perceived fraud vulnerability significantly. © 2020 The Authors","container-title":"Food Control","DOI":"10.1016/j.foodcont.2020.107211","journalAbbreviation":"Food Control","title":"The Chinese milk supply chain: A fraud perspective","URL":"https://www.scopus.com/inward/record.uri?eid=2-s2.0-85081039321&amp;doi=10.1016%2fj.foodcont.2020.107211&amp;partnerID=40&amp;md5=682cafeb09bdfb38c9e47084034efd77","volume":"113","author":[{"family":"Yang","given":"Y."},{"family":"Huisman","given":"W."},{"family":"Hettinga","given":"K.A."},{"family":"Zhang","given":"L."},{"family":"Ruth","given":"S.M.","non-dropping-particle":"van"}],"issued":{"date-parts":[["2020"]]}}}],"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(228)</w:t>
            </w:r>
            <w:r w:rsidRPr="00A61595">
              <w:rPr>
                <w:rFonts w:ascii="Arial" w:eastAsia="Times New Roman" w:hAnsi="Arial" w:cs="Arial"/>
                <w:sz w:val="14"/>
                <w:szCs w:val="14"/>
              </w:rPr>
              <w:fldChar w:fldCharType="end"/>
            </w:r>
          </w:p>
        </w:tc>
        <w:tc>
          <w:tcPr>
            <w:tcW w:w="192" w:type="pct"/>
            <w:shd w:val="clear" w:color="auto" w:fill="auto"/>
            <w:noWrap/>
            <w:hideMark/>
          </w:tcPr>
          <w:p w14:paraId="0D27F71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2020</w:t>
            </w:r>
          </w:p>
        </w:tc>
        <w:tc>
          <w:tcPr>
            <w:tcW w:w="2869" w:type="pct"/>
            <w:gridSpan w:val="4"/>
            <w:shd w:val="clear" w:color="auto" w:fill="auto"/>
            <w:noWrap/>
            <w:hideMark/>
          </w:tcPr>
          <w:p w14:paraId="0B238C9C"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Vulnerable points in the Chinese milk supply chain</w:t>
            </w:r>
          </w:p>
        </w:tc>
        <w:tc>
          <w:tcPr>
            <w:tcW w:w="318" w:type="pct"/>
          </w:tcPr>
          <w:p w14:paraId="56181F57" w14:textId="5437EC03"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7677326E" w14:textId="0065FE98"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55D6A065" w14:textId="63E4B5FA"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229" w:type="pct"/>
          </w:tcPr>
          <w:p w14:paraId="25D4150A" w14:textId="582630D4"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06148C4B" w14:textId="4C2C2AA7" w:rsidTr="00380533">
        <w:trPr>
          <w:trHeight w:val="285"/>
        </w:trPr>
        <w:tc>
          <w:tcPr>
            <w:tcW w:w="715" w:type="pct"/>
            <w:gridSpan w:val="2"/>
            <w:shd w:val="clear" w:color="auto" w:fill="auto"/>
            <w:noWrap/>
            <w:hideMark/>
          </w:tcPr>
          <w:p w14:paraId="467E500B" w14:textId="2DA7580B"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Yankson</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{"citationID":"a1gluo0b2r4","properties":{"formattedCitation":"(229)","plainCitation":"(229)","noteIndex":0},"citationItems":[{"id":18758,"uris":["http://zotero.org/groups/2477744/items/LN9FWINQ"],"itemData":{"id":18758,"type":"article-journal","abstract":"Millions of smallholder farmers in developing countries face incredible challenges marketing their farm produce. This article isolates lack of market information, collusion among middlemen, and thus price determination, and lack of transportation facilities as the main challenges facing smallholders in many developing regions. The findings also show the emergence of spontaneous farmer marketing associations involved in price setting and determination. This offers a valuable opportunity for stakeholder support in strengthening these informal institutions and in integrating them into formal agricultural marketing and contracting. © 2016, Published with license by Taylor &amp; Francis.","container-title":"Journal of Agricultural and Food Information","DOI":"10.1080/10496505.2015.1110030","issue":"1","journalAbbreviation":"Journal of Agricultural and Food Information","page":"49-61","title":"Challenges and Strategies for Improving the Agricultural Marketing Environment in Developing Countries: Evidence From Ghana","URL":"https://www.scopus.com/inward/record.uri?eid=2-s2.0-84957800353&amp;doi=10.1080%2f10496505.2015.1110030&amp;partnerID=40&amp;md5=1faa6bad620ce70029ab3aa51e782a86","volume":"17","author":[{"family":"Yankson","given":"P.W.K."},{"family":"Owusu","given":"A.B."},{"family":"Frimpong","given":"S."}],"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(229)</w:t>
            </w:r>
            <w:r w:rsidRPr="00A61595">
              <w:rPr>
                <w:rFonts w:ascii="Arial" w:eastAsia="Times New Roman" w:hAnsi="Arial" w:cs="Arial"/>
                <w:sz w:val="14"/>
                <w:szCs w:val="14"/>
              </w:rPr>
              <w:fldChar w:fldCharType="end"/>
            </w:r>
          </w:p>
        </w:tc>
        <w:tc>
          <w:tcPr>
            <w:tcW w:w="192" w:type="pct"/>
            <w:shd w:val="clear" w:color="auto" w:fill="auto"/>
            <w:noWrap/>
            <w:hideMark/>
          </w:tcPr>
          <w:p w14:paraId="76D17EC0"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1F832AF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Collusion and other constraints faced by farmers in the marketing of their produce</w:t>
            </w:r>
          </w:p>
        </w:tc>
        <w:tc>
          <w:tcPr>
            <w:tcW w:w="318" w:type="pct"/>
          </w:tcPr>
          <w:p w14:paraId="556D2940" w14:textId="5D1B800A"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57D45B42" w14:textId="030BE504"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08BDD91C" w14:textId="7A5D74B6" w:rsidR="000B21B4" w:rsidRPr="00A61595" w:rsidRDefault="000B21B4" w:rsidP="00380533">
            <w:pPr>
              <w:rPr>
                <w:rFonts w:ascii="Arial" w:hAnsi="Arial" w:cs="Arial"/>
                <w:sz w:val="14"/>
                <w:szCs w:val="14"/>
              </w:rPr>
            </w:pPr>
            <w:r w:rsidRPr="00A61595">
              <w:rPr>
                <w:rFonts w:ascii="Arial" w:hAnsi="Arial" w:cs="Arial"/>
                <w:color w:val="000000"/>
                <w:sz w:val="14"/>
                <w:szCs w:val="14"/>
              </w:rPr>
              <w:t>a, e</w:t>
            </w:r>
          </w:p>
        </w:tc>
        <w:tc>
          <w:tcPr>
            <w:tcW w:w="229" w:type="pct"/>
          </w:tcPr>
          <w:p w14:paraId="763EAA63" w14:textId="6E53550A"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805A06A" w14:textId="0DF25932" w:rsidTr="00380533">
        <w:trPr>
          <w:trHeight w:val="285"/>
        </w:trPr>
        <w:tc>
          <w:tcPr>
            <w:tcW w:w="715" w:type="pct"/>
            <w:gridSpan w:val="2"/>
            <w:shd w:val="clear" w:color="auto" w:fill="auto"/>
            <w:noWrap/>
            <w:hideMark/>
          </w:tcPr>
          <w:p w14:paraId="5D56DA0F" w14:textId="0EFACA94"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Yasuda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{"citationID":"a2e8g9apsmu","properties":{"formattedCitation":"(230)","plainCitation":"(230)","noteIndex":0},"citationItems":[{"id":17096,"uris":["http://zotero.org/groups/2477744/items/4JYAYTG5"],"itemData":{"id":17096,"type":"article-journal","abstract":"This article examines food safety failures in China to cast light on how scale has deeply affected its regulatory politics. Contrary to studies that view China's food safety challenges as primarily resulting from corruption, local obstructionism or weak state capacity, I argue that China's massive production system, unwieldy bureaucracy, and geographic size pose regulators with a more fundamental policy challenge. As they attempt to build an integrated national regulatory regime, regulators must make difficult trade-offs in cost, policy design and applicability that emphasize the interests of certain stakeholders over others, resulting in a contentious politics of scale. The article assesses four failed scale management initiatives: food safety coordination bodies, campaigns, model production zones, and regulatory segmentation. As China transitions to scientifically assessed, risk-based forms of regulation, its pervasive food safety problem suggests the adaptive limits of China's unitary regulatory structure to manage scale and its ensuing politics effectively in a complex multilevel context.","container-title":"CHINA QUARTERLY","DOI":"10.1017/S030574101500079X","journalAbbreviation":"CHINA QUARTERLY","page":"745-769","title":"Why Food Safety Fails in China: The Politics of Scale","volume":"223","author":[{"family":"Yasuda","given":"John Kojiro"}],"issued":{"date-parts":[["2015"]]}}}],"schema":"https://github.com/citation-style-language/schema/raw/master/csl-citation.json"}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(230)</w:t>
            </w:r>
            <w:r w:rsidRPr="00A61595">
              <w:rPr>
                <w:rFonts w:ascii="Arial" w:eastAsia="Times New Roman" w:hAnsi="Arial" w:cs="Arial"/>
                <w:sz w:val="14"/>
                <w:szCs w:val="14"/>
              </w:rPr>
              <w:fldChar w:fldCharType="end"/>
            </w:r>
          </w:p>
        </w:tc>
        <w:tc>
          <w:tcPr>
            <w:tcW w:w="192" w:type="pct"/>
            <w:shd w:val="clear" w:color="auto" w:fill="auto"/>
            <w:noWrap/>
            <w:hideMark/>
          </w:tcPr>
          <w:p w14:paraId="67F84FDB"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2015</w:t>
            </w:r>
          </w:p>
        </w:tc>
        <w:tc>
          <w:tcPr>
            <w:tcW w:w="2869" w:type="pct"/>
            <w:gridSpan w:val="4"/>
            <w:shd w:val="clear" w:color="auto" w:fill="auto"/>
            <w:noWrap/>
            <w:hideMark/>
          </w:tcPr>
          <w:p w14:paraId="2C5A874F"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Food safety failures in China</w:t>
            </w:r>
          </w:p>
        </w:tc>
        <w:tc>
          <w:tcPr>
            <w:tcW w:w="318" w:type="pct"/>
          </w:tcPr>
          <w:p w14:paraId="255490AF" w14:textId="1B32F230"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06" w:type="pct"/>
          </w:tcPr>
          <w:p w14:paraId="383F41EC" w14:textId="0C81D01E" w:rsidR="000B21B4" w:rsidRPr="00A61595" w:rsidRDefault="000B21B4" w:rsidP="00380533">
            <w:pPr>
              <w:rPr>
                <w:rFonts w:ascii="Arial" w:hAnsi="Arial" w:cs="Arial"/>
                <w:sz w:val="14"/>
                <w:szCs w:val="14"/>
              </w:rPr>
            </w:pPr>
            <w:r w:rsidRPr="00A61595">
              <w:rPr>
                <w:rFonts w:ascii="Arial" w:hAnsi="Arial" w:cs="Arial"/>
                <w:color w:val="000000"/>
                <w:sz w:val="14"/>
                <w:szCs w:val="14"/>
              </w:rPr>
              <w:t>a, b, c</w:t>
            </w:r>
          </w:p>
        </w:tc>
        <w:tc>
          <w:tcPr>
            <w:tcW w:w="371" w:type="pct"/>
          </w:tcPr>
          <w:p w14:paraId="6DD0C4FC" w14:textId="6B19B69C"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a, f, g, </w:t>
            </w:r>
            <w:proofErr w:type="spellStart"/>
            <w:r w:rsidRPr="00A61595">
              <w:rPr>
                <w:rFonts w:ascii="Arial" w:hAnsi="Arial" w:cs="Arial"/>
                <w:color w:val="000000"/>
                <w:sz w:val="14"/>
                <w:szCs w:val="14"/>
              </w:rPr>
              <w:t>i</w:t>
            </w:r>
            <w:proofErr w:type="spellEnd"/>
          </w:p>
        </w:tc>
        <w:tc>
          <w:tcPr>
            <w:tcW w:w="229" w:type="pct"/>
          </w:tcPr>
          <w:p w14:paraId="7D21F7F8" w14:textId="547F62DA" w:rsidR="000B21B4" w:rsidRPr="00A61595" w:rsidRDefault="000B21B4" w:rsidP="00380533">
            <w:pPr>
              <w:rPr>
                <w:rFonts w:ascii="Arial" w:hAnsi="Arial" w:cs="Arial"/>
                <w:sz w:val="14"/>
                <w:szCs w:val="14"/>
              </w:rPr>
            </w:pPr>
            <w:r w:rsidRPr="00A61595">
              <w:rPr>
                <w:rFonts w:ascii="Arial" w:hAnsi="Arial" w:cs="Arial"/>
                <w:color w:val="000000"/>
                <w:sz w:val="14"/>
                <w:szCs w:val="14"/>
              </w:rPr>
              <w:t>h</w:t>
            </w:r>
          </w:p>
        </w:tc>
      </w:tr>
      <w:tr w:rsidR="000B21B4" w:rsidRPr="00A61595" w14:paraId="2FDBB9AC" w14:textId="3600197E" w:rsidTr="00380533">
        <w:trPr>
          <w:trHeight w:val="285"/>
        </w:trPr>
        <w:tc>
          <w:tcPr>
            <w:tcW w:w="715" w:type="pct"/>
            <w:gridSpan w:val="2"/>
            <w:shd w:val="clear" w:color="auto" w:fill="auto"/>
            <w:noWrap/>
            <w:hideMark/>
          </w:tcPr>
          <w:p w14:paraId="7AE7DD9E" w14:textId="3F9CAD1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Yee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{"citationID":"a1al4vbncbu","properties":{"formattedCitation":"(231)","plainCitation":"(231)","noteIndex":0},"citationItems":[{"id":17115,"uris":["http://zotero.org/groups/2477744/items/52SCIVSA"],"itemData":{"id":17115,"type":"article-journal","abstract":"Has the establishment of the China Food and Drug Administration in 2013 and the substantial revision of the Food Safety Law in 2015 addressed earlier implementation deficits in China?s food safety policy? Through a comprehensive literature review and series of in-depth interviews with local regulatory officials in Beijing, this study observed improvements in the frontline regulatory system regarding its adherence to regulations, corruption prevention, and citizen responsiveness. However, it also found that the system?s professional capacities were found vastly insufficient for its expanded regulatory scope. Also, frequent abuses of the citizen-complaint system added significantly to the already heavy workload. While better agency collaboration was reported at the subdistrict/township level, coordination with other related functional ministries and geographical regions remained inadequate. The findings provide a needed guide for future reforms.","container-title":"JOURNAL OF CONTEMPORARY CHINA","DOI":"10.1080/10670564.2019.1677361","journalAbbreviation":"JOURNAL OF CONTEMPORARY CHINA","title":"Control, Coordination, and Capacity: Deficits in China?s Frontline Regulatory System for Food Safety","author":[{"family":"Yee","given":"Wai-Hang"},{"family":"Liu","given":"Peng"}]}}],"schema":"https://github.com/citation-style-language/schema/raw/master/csl-citation.json"}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(231)</w:t>
            </w:r>
            <w:r w:rsidRPr="00A61595">
              <w:rPr>
                <w:rFonts w:ascii="Arial" w:eastAsia="Times New Roman" w:hAnsi="Arial" w:cs="Arial"/>
                <w:sz w:val="14"/>
                <w:szCs w:val="14"/>
              </w:rPr>
              <w:fldChar w:fldCharType="end"/>
            </w:r>
          </w:p>
        </w:tc>
        <w:tc>
          <w:tcPr>
            <w:tcW w:w="192" w:type="pct"/>
            <w:shd w:val="clear" w:color="auto" w:fill="auto"/>
            <w:noWrap/>
            <w:hideMark/>
          </w:tcPr>
          <w:p w14:paraId="2C2DF1C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2019</w:t>
            </w:r>
          </w:p>
        </w:tc>
        <w:tc>
          <w:tcPr>
            <w:tcW w:w="2869" w:type="pct"/>
            <w:gridSpan w:val="4"/>
            <w:shd w:val="clear" w:color="auto" w:fill="auto"/>
            <w:noWrap/>
            <w:hideMark/>
          </w:tcPr>
          <w:p w14:paraId="624944A8"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Food safety reform and centralizing food safety-related regulatory functions in China</w:t>
            </w:r>
          </w:p>
        </w:tc>
        <w:tc>
          <w:tcPr>
            <w:tcW w:w="318" w:type="pct"/>
          </w:tcPr>
          <w:p w14:paraId="3CDEB783" w14:textId="65D1F542"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b, c, e </w:t>
            </w:r>
          </w:p>
        </w:tc>
        <w:tc>
          <w:tcPr>
            <w:tcW w:w="306" w:type="pct"/>
          </w:tcPr>
          <w:p w14:paraId="4732F408" w14:textId="42BAD4B2" w:rsidR="000B21B4" w:rsidRPr="00A61595" w:rsidRDefault="000B21B4" w:rsidP="00380533">
            <w:pPr>
              <w:rPr>
                <w:rFonts w:ascii="Arial" w:hAnsi="Arial" w:cs="Arial"/>
                <w:sz w:val="14"/>
                <w:szCs w:val="14"/>
              </w:rPr>
            </w:pPr>
            <w:r w:rsidRPr="00A61595">
              <w:rPr>
                <w:rFonts w:ascii="Arial" w:hAnsi="Arial" w:cs="Arial"/>
                <w:color w:val="000000"/>
                <w:sz w:val="14"/>
                <w:szCs w:val="14"/>
              </w:rPr>
              <w:t>a, b, c</w:t>
            </w:r>
          </w:p>
        </w:tc>
        <w:tc>
          <w:tcPr>
            <w:tcW w:w="371" w:type="pct"/>
          </w:tcPr>
          <w:p w14:paraId="08C8AFC6" w14:textId="147E83D6"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g, </w:t>
            </w:r>
            <w:proofErr w:type="spellStart"/>
            <w:r w:rsidRPr="00A61595">
              <w:rPr>
                <w:rFonts w:ascii="Arial" w:hAnsi="Arial" w:cs="Arial"/>
                <w:color w:val="000000"/>
                <w:sz w:val="14"/>
                <w:szCs w:val="14"/>
              </w:rPr>
              <w:t>i</w:t>
            </w:r>
            <w:proofErr w:type="spellEnd"/>
          </w:p>
        </w:tc>
        <w:tc>
          <w:tcPr>
            <w:tcW w:w="229" w:type="pct"/>
          </w:tcPr>
          <w:p w14:paraId="160C02BE" w14:textId="5494740B"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r>
      <w:tr w:rsidR="000B21B4" w:rsidRPr="00A61595" w14:paraId="25318AF4" w14:textId="5E34B8E3" w:rsidTr="00380533">
        <w:trPr>
          <w:trHeight w:val="285"/>
        </w:trPr>
        <w:tc>
          <w:tcPr>
            <w:tcW w:w="715" w:type="pct"/>
            <w:gridSpan w:val="2"/>
            <w:shd w:val="clear" w:color="auto" w:fill="auto"/>
            <w:noWrap/>
            <w:hideMark/>
          </w:tcPr>
          <w:p w14:paraId="1B6ED0C1" w14:textId="5EF5AD30"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Yengoh</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{"citationID":"a2amkqusm7s","properties":{"formattedCitation":"(232)","plainCitation":"(232)","noteIndex":0},"citationItems":[{"id":17067,"uris":["http://zotero.org/groups/2477744/items/T67G5TGS"],"itemData":{"id":17067,"type":"article-journal","abstract":"Enticing economic benefits for host nations and the notion of large areas of land considered available are often put forward as the main reasons for large-scale land acquisition in many areas of sub-Saharan Africa. However, country-level datasets of land acquisitions seem to indicate a clear divide between a majority of countries engaged in land acquisitions as investors and those involved as targets. We posit that there are socio-economic and governance factors that make the engagement between targets of land acquisitions and investors both unequal and attractive to large-scale investments. We then ask the question: what are the factors that make communities vulnerable to an unequal engagement with large-scale land-investing interests in Sierra Leone? We explore this question using local-level socio-economic data of households and communities in two settings where land acquisitions have occurred in Sierra Leone. We find that socio-economic characteristics of local populations, such as levels of education, the powerful role of traditional chiefs and corruption, make these areas easier targets for such land investments. Investors also exploit the poor economic situation of local areas by making alluring promises of development opportunities. The vulnerability of local people to land investors is further undermined by poor governance at the national level and external politico-financial interest in favor of such investments. Local populations are vulnerable to organized campaigns of land acquisitions by multi-national companies. Proper legal and institutional frameworks are required to protect local interests in these land deals. (C) 2015 Elsevier Ltd. All rights reserved.","container-title":"LAND USE POLICY","DOI":"10.1016/j.landusepol.2015.09.028","journalAbbreviation":"LAND USE POLICY","page":"328-340","title":"Factors of vulnerability: How large-scale land acquisitions take advantage of local and national weaknesses in Sierra Leone","volume":"50","author":[{"family":"Yengoh","given":"Genesis Tambang"},{"family":"Steen","given":"Karin"},{"family":"Armah","given":"Frederick Ato"},{"family":"Ness","given":"Barry"}],"issued":{"date-parts":[["2016"]]}}}],"schema":"https://github.com/citation-style-language/schema/raw/master/csl-citation.json"}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(232)</w:t>
            </w:r>
            <w:r w:rsidRPr="00A61595">
              <w:rPr>
                <w:rFonts w:ascii="Arial" w:eastAsia="Times New Roman" w:hAnsi="Arial" w:cs="Arial"/>
                <w:sz w:val="14"/>
                <w:szCs w:val="14"/>
              </w:rPr>
              <w:fldChar w:fldCharType="end"/>
            </w:r>
          </w:p>
        </w:tc>
        <w:tc>
          <w:tcPr>
            <w:tcW w:w="192" w:type="pct"/>
            <w:shd w:val="clear" w:color="auto" w:fill="auto"/>
            <w:noWrap/>
            <w:hideMark/>
          </w:tcPr>
          <w:p w14:paraId="054B4AB8"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643A21DA"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Factors that make communities vulnerable to an unequal engagement with large-scale land-investing interests</w:t>
            </w:r>
          </w:p>
        </w:tc>
        <w:tc>
          <w:tcPr>
            <w:tcW w:w="318" w:type="pct"/>
          </w:tcPr>
          <w:p w14:paraId="27A5D613" w14:textId="661C3AD4"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2012692D" w14:textId="6409D39F" w:rsidR="000B21B4" w:rsidRPr="00A61595" w:rsidRDefault="000B21B4" w:rsidP="00380533">
            <w:pPr>
              <w:rPr>
                <w:rFonts w:ascii="Arial" w:hAnsi="Arial" w:cs="Arial"/>
                <w:sz w:val="14"/>
                <w:szCs w:val="14"/>
              </w:rPr>
            </w:pPr>
            <w:r w:rsidRPr="00A61595">
              <w:rPr>
                <w:rFonts w:ascii="Arial" w:hAnsi="Arial" w:cs="Arial"/>
                <w:color w:val="000000"/>
                <w:sz w:val="14"/>
                <w:szCs w:val="14"/>
              </w:rPr>
              <w:t>a, b</w:t>
            </w:r>
          </w:p>
        </w:tc>
        <w:tc>
          <w:tcPr>
            <w:tcW w:w="371" w:type="pct"/>
          </w:tcPr>
          <w:p w14:paraId="7D59A7C1" w14:textId="68085739"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d, f, g, h, </w:t>
            </w:r>
            <w:proofErr w:type="spellStart"/>
            <w:r w:rsidRPr="00A61595">
              <w:rPr>
                <w:rFonts w:ascii="Arial" w:hAnsi="Arial" w:cs="Arial"/>
                <w:color w:val="000000"/>
                <w:sz w:val="14"/>
                <w:szCs w:val="14"/>
              </w:rPr>
              <w:t>i</w:t>
            </w:r>
            <w:proofErr w:type="spellEnd"/>
          </w:p>
        </w:tc>
        <w:tc>
          <w:tcPr>
            <w:tcW w:w="229" w:type="pct"/>
          </w:tcPr>
          <w:p w14:paraId="73859118" w14:textId="2307051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7A570D33" w14:textId="5F5B25F6" w:rsidTr="00380533">
        <w:trPr>
          <w:trHeight w:val="285"/>
        </w:trPr>
        <w:tc>
          <w:tcPr>
            <w:tcW w:w="715" w:type="pct"/>
            <w:gridSpan w:val="2"/>
            <w:shd w:val="clear" w:color="auto" w:fill="auto"/>
            <w:noWrap/>
            <w:hideMark/>
          </w:tcPr>
          <w:p w14:paraId="78AC758C" w14:textId="37E3E2A5"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Yu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{"citationID":"a1g6kfle7me","properties":{"formattedCitation":"(233)","plainCitation":"(233)","noteIndex":0},"citationItems":[{"id":17209,"uris":["http://zotero.org/groups/2477744/items/NRVNMDG6"],"itemData":{"id":17209,"type":"article-journal","abstract":"This paper evaluates two key patterns of irrigation institutions under integrated water resources management reform - private contracting and collective management using Ostrom's (1990) design principles for robust common pool resources (CPRs) institutions and sees how and to what extent they are applicable in an authoritarian society. Our result extends Ostrom's work and shows that these principles are relevant but insufficient in evaluating local irrigation institutions in the Chinese context, where use of collective action and social capital to pursue one's interests are so prevalent. It concludes that use of collective action and social capital within particular socio-cultural contexts accounts for not only water users' behaviour but also the development and mixed performances of local irrigation institutions, both positive and negative including collective corruption and overexploitation which are better planned and more difficult to detect. Contextualized understanding and strategic uses of positive impacts of collective action and social capital on governance of the irrigation commons while minimizing their downsides are suggested. © 2015 Elsevier Ltd.","container-title":"Environmental Science and Policy","DOI":"10.1016/j.envsci.2015.08.001","issue":"P1","journalAbbreviation":"Environmental Science and Policy","page":"65-74","title":"Governance of the irrigation commons under integrated water resources management - A comparative study in contemporary rural China","URL":"https://www.scopus.com/inward/record.uri?eid=2-s2.0-84941889631&amp;doi=10.1016%2fj.envsci.2015.08.001&amp;partnerID=40&amp;md5=41a3e94a1d943c4eba23f5c52bd55b4d","volume":"55","author":[{"family":"Yu","given":"H.H."},{"family":"Edmunds","given":"M."},{"family":"Lora-Wainwright","given":"A."},{"family":"Thomas","given":"D."}],"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(233)</w:t>
            </w:r>
            <w:r w:rsidRPr="00A61595">
              <w:rPr>
                <w:rFonts w:ascii="Arial" w:eastAsia="Times New Roman" w:hAnsi="Arial" w:cs="Arial"/>
                <w:sz w:val="14"/>
                <w:szCs w:val="14"/>
              </w:rPr>
              <w:fldChar w:fldCharType="end"/>
            </w:r>
          </w:p>
        </w:tc>
        <w:tc>
          <w:tcPr>
            <w:tcW w:w="192" w:type="pct"/>
            <w:shd w:val="clear" w:color="auto" w:fill="auto"/>
            <w:noWrap/>
            <w:hideMark/>
          </w:tcPr>
          <w:p w14:paraId="0B2683E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1B7533F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Governance of the irrigation commons under integrated water resources management in China</w:t>
            </w:r>
          </w:p>
        </w:tc>
        <w:tc>
          <w:tcPr>
            <w:tcW w:w="318" w:type="pct"/>
          </w:tcPr>
          <w:p w14:paraId="46CC29B4" w14:textId="2EDF4859" w:rsidR="000B21B4" w:rsidRPr="00A61595" w:rsidRDefault="000B21B4" w:rsidP="00380533">
            <w:pPr>
              <w:rPr>
                <w:rFonts w:ascii="Arial" w:hAnsi="Arial" w:cs="Arial"/>
                <w:sz w:val="14"/>
                <w:szCs w:val="14"/>
              </w:rPr>
            </w:pPr>
            <w:r w:rsidRPr="00A61595">
              <w:rPr>
                <w:rFonts w:ascii="Arial" w:hAnsi="Arial" w:cs="Arial"/>
                <w:color w:val="000000"/>
                <w:sz w:val="14"/>
                <w:szCs w:val="14"/>
              </w:rPr>
              <w:t>a, c</w:t>
            </w:r>
          </w:p>
        </w:tc>
        <w:tc>
          <w:tcPr>
            <w:tcW w:w="306" w:type="pct"/>
          </w:tcPr>
          <w:p w14:paraId="2168C857" w14:textId="46E75433" w:rsidR="000B21B4" w:rsidRPr="00A61595" w:rsidRDefault="000B21B4" w:rsidP="00380533">
            <w:pPr>
              <w:rPr>
                <w:rFonts w:ascii="Arial" w:hAnsi="Arial" w:cs="Arial"/>
                <w:sz w:val="14"/>
                <w:szCs w:val="14"/>
              </w:rPr>
            </w:pPr>
            <w:r w:rsidRPr="00A61595">
              <w:rPr>
                <w:rFonts w:ascii="Arial" w:hAnsi="Arial" w:cs="Arial"/>
                <w:color w:val="000000"/>
                <w:sz w:val="14"/>
                <w:szCs w:val="14"/>
              </w:rPr>
              <w:t>b, c</w:t>
            </w:r>
          </w:p>
        </w:tc>
        <w:tc>
          <w:tcPr>
            <w:tcW w:w="371" w:type="pct"/>
          </w:tcPr>
          <w:p w14:paraId="4BDA854D" w14:textId="33960883"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g, h, </w:t>
            </w:r>
            <w:proofErr w:type="spellStart"/>
            <w:r w:rsidRPr="00A61595">
              <w:rPr>
                <w:rFonts w:ascii="Arial" w:hAnsi="Arial" w:cs="Arial"/>
                <w:color w:val="000000"/>
                <w:sz w:val="14"/>
                <w:szCs w:val="14"/>
              </w:rPr>
              <w:t>i</w:t>
            </w:r>
            <w:proofErr w:type="spellEnd"/>
          </w:p>
        </w:tc>
        <w:tc>
          <w:tcPr>
            <w:tcW w:w="229" w:type="pct"/>
          </w:tcPr>
          <w:p w14:paraId="1938B0B1" w14:textId="1DD15738"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67DCF526" w14:textId="030BB9B8" w:rsidTr="00380533">
        <w:trPr>
          <w:trHeight w:val="285"/>
        </w:trPr>
        <w:tc>
          <w:tcPr>
            <w:tcW w:w="715" w:type="pct"/>
            <w:gridSpan w:val="2"/>
            <w:shd w:val="clear" w:color="auto" w:fill="auto"/>
            <w:noWrap/>
            <w:hideMark/>
          </w:tcPr>
          <w:p w14:paraId="78A25D80" w14:textId="225A82B6" w:rsidR="000B21B4" w:rsidRPr="00A61595" w:rsidRDefault="000B21B4" w:rsidP="00380533">
            <w:pPr>
              <w:spacing w:after="0" w:line="360" w:lineRule="auto"/>
              <w:rPr>
                <w:rFonts w:ascii="Arial" w:eastAsia="Times New Roman" w:hAnsi="Arial" w:cs="Arial"/>
                <w:sz w:val="14"/>
                <w:szCs w:val="14"/>
                <w:lang w:eastAsia="en-AU"/>
              </w:rPr>
            </w:pPr>
            <w:proofErr w:type="spellStart"/>
            <w:r w:rsidRPr="00A61595">
              <w:rPr>
                <w:rFonts w:ascii="Arial" w:eastAsia="Times New Roman" w:hAnsi="Arial" w:cs="Arial"/>
                <w:sz w:val="14"/>
                <w:szCs w:val="14"/>
              </w:rPr>
              <w:t>Yunusa</w:t>
            </w:r>
            <w:proofErr w:type="spellEnd"/>
            <w:r w:rsidRPr="00A61595">
              <w:rPr>
                <w:rFonts w:ascii="Arial" w:eastAsia="Times New Roman" w:hAnsi="Arial" w:cs="Arial"/>
                <w:sz w:val="14"/>
                <w:szCs w:val="14"/>
              </w:rPr>
              <w:t xml:space="preserve">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{"citationID":"a2462t09019","properties":{"formattedCitation":"(234)","plainCitation":"(234)","noteIndex":0},"citationItems":[{"id":17040,"uris":["http://zotero.org/groups/2477744/items/X596T6AY"],"itemData":{"id":17040,"type":"article-journal","abstract":"BACKGROUND Analyses of sensitivity of Global Food Security (FS) score to a key set of supply or demand factors often suggest population and water supply as being the most critical and on which policies tend to focus. To explore other policy options, we characterized the nexus between GFS and a set of supply or demand factors including population, agricultural and industrial water uses, agricultural publications (as a surrogate for investment in agricultural research and development (R&amp;D)) and corruption perception index (CPI), to reveal opportunities for attaining enduring GFS. RESULTS We found that despite being the primary driver of demand for food, population showed no significant correlation with FS scores. Similarly, agricultural water use was poorly correlated with GFS scores, except in countries where evaporation exceeds precipitation and irrigation is significant. However, FS had a strong positive association with industrial water use as a surrogate for overall industrialization. Recent expansions in cultivated land area failed to yield concomitant improvements in FS score since such expansions have been mostly into marginal lands with low productivity and thus barely compensated for lands retired from cropping in several developed economies. However, FS was positively associated with agricultural R&amp;D investments, as it was with the CPI scores. The apparent and relative strengths of these drivers on FS outcome amongst countries were in the order: industrial water-use ≈ publication rate ≈ corruption perception </w:instrText>
            </w:r>
            <w:r w:rsidR="00EF10F9">
              <w:rPr>
                <w:rFonts w:ascii="Cambria Math" w:eastAsia="Times New Roman" w:hAnsi="Cambria Math" w:cs="Cambria Math"/>
                <w:sz w:val="14"/>
                <w:szCs w:val="14"/>
              </w:rPr>
              <w:instrText>≫</w:instrText>
            </w:r>
            <w:r w:rsidR="00EF10F9">
              <w:rPr>
                <w:rFonts w:ascii="Arial" w:eastAsia="Times New Roman" w:hAnsi="Arial" w:cs="Arial"/>
                <w:sz w:val="14"/>
                <w:szCs w:val="14"/>
              </w:rPr>
              <w:instrText xml:space="preserve"> agricultural water use &gt; population. CONCLUSIONS We suggest that to enshrine enduring food security, policies should prioritize (1) increased R&amp;D investments that address farmer needs and (2) governance mechanisms that promote accountability in both research and production value chains. © 2018 Society of Chemical Industry.","container-title":"Journal of the science of food and agriculture","DOI":"10.1002/jsfa.9126","issue":"15","journalAbbreviation":"Journal of the science of food and agriculture","note":"publisher: John Wiley and Sons Ltd","page":"5764-5775","title":"Analysis of the nexus between population, water resources and Global Food Security highlights significance of governance and research investments and policy priorities.","URL":"http://www.ncbi.nlm.nih.gov/pubmed/29749117","volume":"98","author":[{"family":"Yunusa","given":"Isa Am"},{"family":"Zerihun","given":"Ayalsew"},{"family":"Gibberd","given":"Mark R"}],"issued":{"date-parts":[["2018"]]}}}],"schema":"https://github.com/citation-style-language/schema/raw/master/csl-citation.json"}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(234)</w:t>
            </w:r>
            <w:r w:rsidRPr="00A61595">
              <w:rPr>
                <w:rFonts w:ascii="Arial" w:eastAsia="Times New Roman" w:hAnsi="Arial" w:cs="Arial"/>
                <w:sz w:val="14"/>
                <w:szCs w:val="14"/>
              </w:rPr>
              <w:fldChar w:fldCharType="end"/>
            </w:r>
            <w:r w:rsidRPr="00A61595">
              <w:rPr>
                <w:rFonts w:ascii="Arial" w:eastAsia="Times New Roman" w:hAnsi="Arial" w:cs="Arial"/>
                <w:sz w:val="14"/>
                <w:szCs w:val="14"/>
              </w:rPr>
              <w:t xml:space="preserve"> </w:t>
            </w:r>
          </w:p>
        </w:tc>
        <w:tc>
          <w:tcPr>
            <w:tcW w:w="192" w:type="pct"/>
            <w:shd w:val="clear" w:color="auto" w:fill="auto"/>
            <w:noWrap/>
            <w:hideMark/>
          </w:tcPr>
          <w:p w14:paraId="07EA00FF"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2018</w:t>
            </w:r>
          </w:p>
        </w:tc>
        <w:tc>
          <w:tcPr>
            <w:tcW w:w="2869" w:type="pct"/>
            <w:gridSpan w:val="4"/>
            <w:shd w:val="clear" w:color="auto" w:fill="auto"/>
            <w:noWrap/>
            <w:hideMark/>
          </w:tcPr>
          <w:p w14:paraId="05D21785"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The nexus between population, water resources and Global Food Security</w:t>
            </w:r>
          </w:p>
        </w:tc>
        <w:tc>
          <w:tcPr>
            <w:tcW w:w="318" w:type="pct"/>
          </w:tcPr>
          <w:p w14:paraId="73E0680F" w14:textId="666FD852"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03050BB4" w14:textId="6BCAB361"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739EB35B" w14:textId="5A50782A"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f, </w:t>
            </w:r>
            <w:proofErr w:type="spellStart"/>
            <w:r w:rsidRPr="00A61595">
              <w:rPr>
                <w:rFonts w:ascii="Arial" w:hAnsi="Arial" w:cs="Arial"/>
                <w:color w:val="000000"/>
                <w:sz w:val="14"/>
                <w:szCs w:val="14"/>
              </w:rPr>
              <w:t>i</w:t>
            </w:r>
            <w:proofErr w:type="spellEnd"/>
          </w:p>
        </w:tc>
        <w:tc>
          <w:tcPr>
            <w:tcW w:w="229" w:type="pct"/>
          </w:tcPr>
          <w:p w14:paraId="2A53A864" w14:textId="5C1EBAB3" w:rsidR="000B21B4" w:rsidRPr="00A61595" w:rsidRDefault="000B21B4" w:rsidP="00380533">
            <w:pPr>
              <w:rPr>
                <w:rFonts w:ascii="Arial" w:hAnsi="Arial" w:cs="Arial"/>
                <w:sz w:val="14"/>
                <w:szCs w:val="14"/>
              </w:rPr>
            </w:pPr>
            <w:r w:rsidRPr="00A61595">
              <w:rPr>
                <w:rFonts w:ascii="Arial" w:hAnsi="Arial" w:cs="Arial"/>
                <w:color w:val="000000"/>
                <w:sz w:val="14"/>
                <w:szCs w:val="14"/>
              </w:rPr>
              <w:t>d</w:t>
            </w:r>
          </w:p>
        </w:tc>
      </w:tr>
      <w:tr w:rsidR="000B21B4" w:rsidRPr="00A61595" w14:paraId="52D2687B" w14:textId="21ED3DE5" w:rsidTr="00380533">
        <w:trPr>
          <w:trHeight w:val="285"/>
        </w:trPr>
        <w:tc>
          <w:tcPr>
            <w:tcW w:w="715" w:type="pct"/>
            <w:gridSpan w:val="2"/>
            <w:shd w:val="clear" w:color="auto" w:fill="auto"/>
            <w:noWrap/>
            <w:hideMark/>
          </w:tcPr>
          <w:p w14:paraId="22B5969C" w14:textId="628CA9BA"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Zhang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{"citationID":"a1bh71ssmtm","properties":{"formattedCitation":"(235)","plainCitation":"(235)","noteIndex":0},"citationItems":[{"id":18755,"uris":["http://zotero.org/groups/2477744/items/7WPGBY9J"],"itemData":{"id":18755,"type":"article-journal","abstract":"Based on 1553 media reports on food safety scandals and concerns, we conducted an aggregated analysis on economically motivated food frauds and adulterations in China. A systematic approach is used to analyze the country's food safety concern in terms of fraud type, implicated foods, adulterants, contaminants and abnormal conditions, and concerned food sources. This study indicate that economically motivated food fraud and adulteration was an emerging and serious food safety problem in China. The results of the study can be used not only to analyze food safety risks but also to prioritize target areas for food policy-making and enforcement of food safety regulation. © 2016 Elsevier Ltd.","container-title":"Food Control","DOI":"10.1016/j.foodcont.2016.03.004","journalAbbreviation":"Food Control","page":"192-198","title":"Economically motivated food fraud and adulteration in China: An analysis based on 1553 media reports","URL":"https://www.scopus.com/inward/record.uri?eid=2-s2.0-84959932120&amp;doi=10.1016%2fj.foodcont.2016.03.004&amp;partnerID=40&amp;md5=fd0ad70c34a879c3685e29f579408657","volume":"67","author":[{"family":"Zhang","given":"W."},{"family":"Xue","given":"J."}],"issued":{"date-parts":[["2016"]]}}}],"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(235)</w:t>
            </w:r>
            <w:r w:rsidRPr="00A61595">
              <w:rPr>
                <w:rFonts w:ascii="Arial" w:eastAsia="Times New Roman" w:hAnsi="Arial" w:cs="Arial"/>
                <w:sz w:val="14"/>
                <w:szCs w:val="14"/>
              </w:rPr>
              <w:fldChar w:fldCharType="end"/>
            </w:r>
          </w:p>
        </w:tc>
        <w:tc>
          <w:tcPr>
            <w:tcW w:w="192" w:type="pct"/>
            <w:shd w:val="clear" w:color="auto" w:fill="auto"/>
            <w:noWrap/>
            <w:hideMark/>
          </w:tcPr>
          <w:p w14:paraId="2B5FB66A"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2016</w:t>
            </w:r>
          </w:p>
        </w:tc>
        <w:tc>
          <w:tcPr>
            <w:tcW w:w="2869" w:type="pct"/>
            <w:gridSpan w:val="4"/>
            <w:shd w:val="clear" w:color="auto" w:fill="auto"/>
            <w:noWrap/>
            <w:hideMark/>
          </w:tcPr>
          <w:p w14:paraId="383E8DC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Economically motivated food fraud and adulteration</w:t>
            </w:r>
          </w:p>
        </w:tc>
        <w:tc>
          <w:tcPr>
            <w:tcW w:w="318" w:type="pct"/>
          </w:tcPr>
          <w:p w14:paraId="256C3E01" w14:textId="6BDCCABE"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c>
          <w:tcPr>
            <w:tcW w:w="306" w:type="pct"/>
          </w:tcPr>
          <w:p w14:paraId="44936E9A" w14:textId="105AC9EC"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6706D34C" w14:textId="06010F9F" w:rsidR="000B21B4" w:rsidRPr="00A61595" w:rsidRDefault="000B21B4" w:rsidP="00380533">
            <w:pPr>
              <w:rPr>
                <w:rFonts w:ascii="Arial" w:hAnsi="Arial" w:cs="Arial"/>
                <w:sz w:val="14"/>
                <w:szCs w:val="14"/>
              </w:rPr>
            </w:pPr>
            <w:r w:rsidRPr="00A61595">
              <w:rPr>
                <w:rFonts w:ascii="Arial" w:hAnsi="Arial" w:cs="Arial"/>
                <w:color w:val="000000"/>
                <w:sz w:val="14"/>
                <w:szCs w:val="14"/>
              </w:rPr>
              <w:t xml:space="preserve">g, </w:t>
            </w:r>
            <w:proofErr w:type="spellStart"/>
            <w:r w:rsidRPr="00A61595">
              <w:rPr>
                <w:rFonts w:ascii="Arial" w:hAnsi="Arial" w:cs="Arial"/>
                <w:color w:val="000000"/>
                <w:sz w:val="14"/>
                <w:szCs w:val="14"/>
              </w:rPr>
              <w:t>i</w:t>
            </w:r>
            <w:proofErr w:type="spellEnd"/>
            <w:r w:rsidRPr="00A61595">
              <w:rPr>
                <w:rFonts w:ascii="Arial" w:hAnsi="Arial" w:cs="Arial"/>
                <w:color w:val="000000"/>
                <w:sz w:val="14"/>
                <w:szCs w:val="14"/>
              </w:rPr>
              <w:t>, j</w:t>
            </w:r>
          </w:p>
        </w:tc>
        <w:tc>
          <w:tcPr>
            <w:tcW w:w="229" w:type="pct"/>
          </w:tcPr>
          <w:p w14:paraId="0BE50426" w14:textId="71C0F2AB" w:rsidR="000B21B4" w:rsidRPr="00A61595" w:rsidRDefault="000B21B4" w:rsidP="00380533">
            <w:pPr>
              <w:rPr>
                <w:rFonts w:ascii="Arial" w:hAnsi="Arial" w:cs="Arial"/>
                <w:sz w:val="14"/>
                <w:szCs w:val="14"/>
              </w:rPr>
            </w:pPr>
            <w:proofErr w:type="spellStart"/>
            <w:r w:rsidRPr="00A61595">
              <w:rPr>
                <w:rFonts w:ascii="Arial" w:hAnsi="Arial" w:cs="Arial"/>
                <w:color w:val="000000"/>
                <w:sz w:val="14"/>
                <w:szCs w:val="14"/>
              </w:rPr>
              <w:t>i</w:t>
            </w:r>
            <w:proofErr w:type="spellEnd"/>
          </w:p>
        </w:tc>
      </w:tr>
      <w:tr w:rsidR="000B21B4" w:rsidRPr="00A61595" w14:paraId="2DDB0868" w14:textId="122A74E6" w:rsidTr="00380533">
        <w:trPr>
          <w:trHeight w:val="285"/>
        </w:trPr>
        <w:tc>
          <w:tcPr>
            <w:tcW w:w="715" w:type="pct"/>
            <w:gridSpan w:val="2"/>
            <w:shd w:val="clear" w:color="auto" w:fill="auto"/>
            <w:noWrap/>
            <w:hideMark/>
          </w:tcPr>
          <w:p w14:paraId="6CFF1850" w14:textId="7BED1B8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Zhang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{"citationID":"a2pnuhdh1io","properties":{"formattedCitation":"(236)","plainCitation":"(236)","noteIndex":0},"citationItems":[{"id":11317,"uris":["http://zotero.org/users/8559175/items/5V9Z8E66"],"itemData":{"id":11317,"type":"article-journal","abstract":"Habitat loss caused by agricultural expansion is a major threat to global biodiversity. A key question is which specific crops will lead to future hotspots of crop conversion. We develop a spatially explicit land-rent contagion model of agricultural conversion for the top crops in terms of global area and value of production, and evaluate crop-specific threats under scenarios of current yields and closed yield gaps. We show that the ecoregions of the Western Congolian swamp forests (coconut), Northwestern Congolian lowland forests (oil palm, maize, rice), and Southern American Pacific mangroves (oil palm) present the highest extinction potential for birds and mammals. Closing yield gaps is able to reduce bird and mammal extinctions by 20% and 6%, respectively, and is most effective for rice, soybean and wheat. This provides direction of which crops to be targeted by future intensification policies. Corruption and one-party states appear to protect many of the remaining tropical natural habitats from crop expansion. Once corruption is improved, protected area network planning prior to conversion threats is crucial to preserve global biodiversity. © 2021 Elsevier Ltd","container-title":"Biological Conservation","DOI":"10.1016/j.biocon.2021.108963","journalAbbreviation":"Biological Conservation","title":"Global hotspots of conversion risk from multiple crop expansion","URL":"https://www.scopus.com/inward/record.uri?eid=2-s2.0-85099635768&amp;doi=10.1016%2fj.biocon.2021.108963&amp;partnerID=40&amp;md5=71b27cc1390b6769f69726b242cf5467","volume":"254","author":[{"family":"Zhang","given":"Y."},{"family":"Pang","given":"M."},{"family":"Dickens","given":"B.L."},{"family":"Edwards","given":"D.P."},{"family":"Carrasco","given":"L.R."}],"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(236)</w:t>
            </w:r>
            <w:r w:rsidRPr="00A61595">
              <w:rPr>
                <w:rFonts w:ascii="Arial" w:eastAsia="Times New Roman" w:hAnsi="Arial" w:cs="Arial"/>
                <w:sz w:val="14"/>
                <w:szCs w:val="14"/>
              </w:rPr>
              <w:fldChar w:fldCharType="end"/>
            </w:r>
          </w:p>
        </w:tc>
        <w:tc>
          <w:tcPr>
            <w:tcW w:w="192" w:type="pct"/>
            <w:shd w:val="clear" w:color="auto" w:fill="auto"/>
            <w:noWrap/>
            <w:hideMark/>
          </w:tcPr>
          <w:p w14:paraId="1154A8E8"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7989930B"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Global hotspots of agricultural conversion risk from multiple crop expansion</w:t>
            </w:r>
          </w:p>
        </w:tc>
        <w:tc>
          <w:tcPr>
            <w:tcW w:w="318" w:type="pct"/>
          </w:tcPr>
          <w:p w14:paraId="01D348E4" w14:textId="2B918845"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06" w:type="pct"/>
          </w:tcPr>
          <w:p w14:paraId="21A0022F" w14:textId="09258D85" w:rsidR="000B21B4" w:rsidRPr="00A61595" w:rsidRDefault="000B21B4" w:rsidP="00380533">
            <w:pPr>
              <w:rPr>
                <w:rFonts w:ascii="Arial" w:hAnsi="Arial" w:cs="Arial"/>
                <w:sz w:val="14"/>
                <w:szCs w:val="14"/>
              </w:rPr>
            </w:pPr>
            <w:r w:rsidRPr="00A61595">
              <w:rPr>
                <w:rFonts w:ascii="Arial" w:hAnsi="Arial" w:cs="Arial"/>
                <w:color w:val="000000"/>
                <w:sz w:val="14"/>
                <w:szCs w:val="14"/>
              </w:rPr>
              <w:t>a</w:t>
            </w:r>
          </w:p>
        </w:tc>
        <w:tc>
          <w:tcPr>
            <w:tcW w:w="371" w:type="pct"/>
          </w:tcPr>
          <w:p w14:paraId="12809720" w14:textId="00B2E19D" w:rsidR="000B21B4" w:rsidRPr="00A61595" w:rsidRDefault="000B21B4" w:rsidP="00380533">
            <w:pPr>
              <w:rPr>
                <w:rFonts w:ascii="Arial" w:hAnsi="Arial" w:cs="Arial"/>
                <w:sz w:val="14"/>
                <w:szCs w:val="14"/>
              </w:rPr>
            </w:pPr>
            <w:r w:rsidRPr="00A61595">
              <w:rPr>
                <w:rFonts w:ascii="Arial" w:hAnsi="Arial" w:cs="Arial"/>
                <w:color w:val="000000"/>
                <w:sz w:val="14"/>
                <w:szCs w:val="14"/>
              </w:rPr>
              <w:t>f, g</w:t>
            </w:r>
          </w:p>
        </w:tc>
        <w:tc>
          <w:tcPr>
            <w:tcW w:w="229" w:type="pct"/>
          </w:tcPr>
          <w:p w14:paraId="6A326D21" w14:textId="698603A6" w:rsidR="000B21B4" w:rsidRPr="00A61595" w:rsidRDefault="000B21B4" w:rsidP="00380533">
            <w:pPr>
              <w:rPr>
                <w:rFonts w:ascii="Arial" w:hAnsi="Arial" w:cs="Arial"/>
                <w:sz w:val="14"/>
                <w:szCs w:val="14"/>
              </w:rPr>
            </w:pPr>
            <w:r w:rsidRPr="00A61595">
              <w:rPr>
                <w:rFonts w:ascii="Arial" w:hAnsi="Arial" w:cs="Arial"/>
                <w:color w:val="000000"/>
                <w:sz w:val="14"/>
                <w:szCs w:val="14"/>
              </w:rPr>
              <w:t>c, h</w:t>
            </w:r>
          </w:p>
        </w:tc>
      </w:tr>
      <w:tr w:rsidR="000B21B4" w:rsidRPr="00A61595" w14:paraId="0792BE94" w14:textId="5546D950" w:rsidTr="00380533">
        <w:trPr>
          <w:trHeight w:val="285"/>
        </w:trPr>
        <w:tc>
          <w:tcPr>
            <w:tcW w:w="715" w:type="pct"/>
            <w:gridSpan w:val="2"/>
            <w:shd w:val="clear" w:color="auto" w:fill="auto"/>
            <w:noWrap/>
            <w:hideMark/>
          </w:tcPr>
          <w:p w14:paraId="46DE378D" w14:textId="68F7BF96"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 xml:space="preserve">Zhuang </w:t>
            </w:r>
            <w:r w:rsidRPr="00A61595">
              <w:rPr>
                <w:rFonts w:ascii="Arial" w:eastAsia="Times New Roman" w:hAnsi="Arial" w:cs="Arial"/>
                <w:sz w:val="14"/>
                <w:szCs w:val="14"/>
              </w:rPr>
              <w:fldChar w:fldCharType="begin"/>
            </w:r>
            <w:r w:rsidR="00EF10F9">
              <w:rPr>
                <w:rFonts w:ascii="Arial" w:eastAsia="Times New Roman" w:hAnsi="Arial" w:cs="Arial"/>
                <w:sz w:val="14"/>
                <w:szCs w:val="14"/>
              </w:rPr>
              <w:instrText xml:space="preserve"> ADDIN ZOTERO_ITEM CSL_CITATION {"citationID":"a2jq4babjm","properties":{"formattedCitation":"(237)","plainCitation":"(237)","noteIndex":0},"citationItems":[{"id":17208,"uris":["http://zotero.org/groups/2477744/items/SW6K6Z9Z"],"itemData":{"id":17208,"type":"article-journal","abstract":"Illegal fishing may trigger structural disruption of the food chain and even damage the entire marine ecosystem. This paper proposes a new method for quantifying the value of eco-environment damage caused by illegal fishing; as an example, we used an illegal fishing case of anchovies in the vicinity of the Yellow River Delta National Nature Reserve. Based on the data from the field investigation and literature, we estimated the number and age distribution of illegally harvested anchovies. Additionally, the potential number of the offspring was calculated according to the potential number and survival rate of anchovy eggs. Due to the unavailability of commercial anchovy fries, “alternative stock enhancement” was recommended to restore the damaged eco-environment. Notably, the alternative species should have similar economic value, status in the food chain, and living areas to anchovies. Eventually, we selected Liza haematocheilus as the alternative species and calculated the total eco-environment recovery cost. © 2021 Elsevier Ltd","container-title":"Marine Pollution Bulletin","DOI":"10.1016/j.marpolbul.2021.112819","journalAbbreviation":"Marine Pollution Bulletin","title":"A new method for quantifying the value of ecological environment damage caused by illegal fishing: A case study","URL":"https://www.scopus.com/inward/record.uri?eid=2-s2.0-85112474006&amp;doi=10.1016%2fj.marpolbul.2021.112819&amp;partnerID=40&amp;md5=a746ce497124a20ca56814e9bb58018b","volume":"172","author":[{"family":"Zhuang","given":"W."},{"family":"Liu","given":"M."},{"family":"Gao","given":"Z."}],"issued":{"date-parts":[["2021"]]}}}],"schema":"https://github.com/citation-style-language/schema/raw/master/csl-citation.json"} </w:instrText>
            </w:r>
            <w:r w:rsidRPr="00A61595">
              <w:rPr>
                <w:rFonts w:ascii="Arial" w:eastAsia="Times New Roman" w:hAnsi="Arial" w:cs="Arial"/>
                <w:sz w:val="14"/>
                <w:szCs w:val="14"/>
              </w:rPr>
              <w:fldChar w:fldCharType="separate"/>
            </w:r>
            <w:r w:rsidR="00EF10F9" w:rsidRPr="00EF10F9">
              <w:rPr>
                <w:rFonts w:ascii="Arial" w:hAnsi="Arial" w:cs="Arial"/>
                <w:sz w:val="14"/>
              </w:rPr>
              <w:t>(237)</w:t>
            </w:r>
            <w:r w:rsidRPr="00A61595">
              <w:rPr>
                <w:rFonts w:ascii="Arial" w:eastAsia="Times New Roman" w:hAnsi="Arial" w:cs="Arial"/>
                <w:sz w:val="14"/>
                <w:szCs w:val="14"/>
              </w:rPr>
              <w:fldChar w:fldCharType="end"/>
            </w:r>
          </w:p>
        </w:tc>
        <w:tc>
          <w:tcPr>
            <w:tcW w:w="192" w:type="pct"/>
            <w:shd w:val="clear" w:color="auto" w:fill="auto"/>
            <w:noWrap/>
            <w:hideMark/>
          </w:tcPr>
          <w:p w14:paraId="5605F7C9" w14:textId="77777777" w:rsidR="000B21B4" w:rsidRPr="00A61595" w:rsidRDefault="000B21B4" w:rsidP="00380533">
            <w:pPr>
              <w:spacing w:after="0" w:line="360" w:lineRule="auto"/>
              <w:rPr>
                <w:rFonts w:ascii="Arial" w:eastAsia="Times New Roman" w:hAnsi="Arial" w:cs="Arial"/>
                <w:sz w:val="14"/>
                <w:szCs w:val="14"/>
                <w:lang w:eastAsia="en-AU"/>
              </w:rPr>
            </w:pPr>
            <w:r w:rsidRPr="00A61595">
              <w:rPr>
                <w:rFonts w:ascii="Arial" w:eastAsia="Times New Roman" w:hAnsi="Arial" w:cs="Arial"/>
                <w:sz w:val="14"/>
                <w:szCs w:val="14"/>
              </w:rPr>
              <w:t>2021</w:t>
            </w:r>
          </w:p>
        </w:tc>
        <w:tc>
          <w:tcPr>
            <w:tcW w:w="2869" w:type="pct"/>
            <w:gridSpan w:val="4"/>
            <w:shd w:val="clear" w:color="auto" w:fill="auto"/>
            <w:noWrap/>
            <w:hideMark/>
          </w:tcPr>
          <w:p w14:paraId="157012ED" w14:textId="77777777" w:rsidR="000B21B4" w:rsidRPr="00A61595" w:rsidRDefault="000B21B4" w:rsidP="00380533">
            <w:pPr>
              <w:spacing w:after="0" w:line="360" w:lineRule="auto"/>
              <w:rPr>
                <w:rFonts w:ascii="Arial" w:eastAsia="Times New Roman" w:hAnsi="Arial" w:cs="Arial"/>
                <w:color w:val="000000"/>
                <w:sz w:val="14"/>
                <w:szCs w:val="14"/>
                <w:lang w:eastAsia="en-AU"/>
              </w:rPr>
            </w:pPr>
            <w:r w:rsidRPr="00A61595">
              <w:rPr>
                <w:rFonts w:ascii="Arial" w:eastAsia="Times New Roman" w:hAnsi="Arial" w:cs="Arial"/>
                <w:color w:val="000000" w:themeColor="text1"/>
                <w:sz w:val="14"/>
                <w:szCs w:val="14"/>
              </w:rPr>
              <w:t>Quantifying eco-environmental damage caused by illegal fishing</w:t>
            </w:r>
          </w:p>
        </w:tc>
        <w:tc>
          <w:tcPr>
            <w:tcW w:w="318" w:type="pct"/>
          </w:tcPr>
          <w:p w14:paraId="1A0BA77C" w14:textId="2753F485"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06" w:type="pct"/>
          </w:tcPr>
          <w:p w14:paraId="4C24F638" w14:textId="5AD85261" w:rsidR="000B21B4" w:rsidRPr="00A61595" w:rsidRDefault="000B21B4" w:rsidP="00380533">
            <w:pPr>
              <w:rPr>
                <w:rFonts w:ascii="Arial" w:hAnsi="Arial" w:cs="Arial"/>
                <w:sz w:val="14"/>
                <w:szCs w:val="14"/>
              </w:rPr>
            </w:pPr>
            <w:r w:rsidRPr="00A61595">
              <w:rPr>
                <w:rFonts w:ascii="Arial" w:hAnsi="Arial" w:cs="Arial"/>
                <w:color w:val="000000"/>
                <w:sz w:val="14"/>
                <w:szCs w:val="14"/>
              </w:rPr>
              <w:t>c</w:t>
            </w:r>
          </w:p>
        </w:tc>
        <w:tc>
          <w:tcPr>
            <w:tcW w:w="371" w:type="pct"/>
          </w:tcPr>
          <w:p w14:paraId="4106A8B2" w14:textId="37DD38B1" w:rsidR="000B21B4" w:rsidRPr="00A61595" w:rsidRDefault="000B21B4" w:rsidP="00380533">
            <w:pPr>
              <w:rPr>
                <w:rFonts w:ascii="Arial" w:hAnsi="Arial" w:cs="Arial"/>
                <w:sz w:val="14"/>
                <w:szCs w:val="14"/>
              </w:rPr>
            </w:pPr>
            <w:r w:rsidRPr="00A61595">
              <w:rPr>
                <w:rFonts w:ascii="Arial" w:hAnsi="Arial" w:cs="Arial"/>
                <w:color w:val="000000"/>
                <w:sz w:val="14"/>
                <w:szCs w:val="14"/>
              </w:rPr>
              <w:t>h, j</w:t>
            </w:r>
          </w:p>
        </w:tc>
        <w:tc>
          <w:tcPr>
            <w:tcW w:w="229" w:type="pct"/>
          </w:tcPr>
          <w:p w14:paraId="37829326" w14:textId="3CD4B5E4" w:rsidR="000B21B4" w:rsidRPr="00A61595" w:rsidRDefault="000B21B4" w:rsidP="00380533">
            <w:pPr>
              <w:rPr>
                <w:rFonts w:ascii="Arial" w:hAnsi="Arial" w:cs="Arial"/>
                <w:sz w:val="14"/>
                <w:szCs w:val="14"/>
              </w:rPr>
            </w:pPr>
            <w:r w:rsidRPr="00A61595">
              <w:rPr>
                <w:rFonts w:ascii="Arial" w:hAnsi="Arial" w:cs="Arial"/>
                <w:color w:val="000000"/>
                <w:sz w:val="14"/>
                <w:szCs w:val="14"/>
              </w:rPr>
              <w:t>b</w:t>
            </w:r>
          </w:p>
        </w:tc>
      </w:tr>
    </w:tbl>
    <w:p w14:paraId="566FC70D" w14:textId="5EFEC63F" w:rsidR="008E6035" w:rsidRDefault="008E6035" w:rsidP="008E6035"/>
    <w:p w14:paraId="2B5DB342" w14:textId="77777777" w:rsidR="00E45548" w:rsidRDefault="00E45548" w:rsidP="008E6035">
      <w:pPr>
        <w:sectPr w:rsidR="00E45548" w:rsidSect="008E6035">
          <w:pgSz w:w="16838" w:h="11906" w:orient="landscape"/>
          <w:pgMar w:top="1440" w:right="1440" w:bottom="1440" w:left="1440" w:header="708" w:footer="708" w:gutter="0"/>
          <w:cols w:space="708"/>
          <w:docGrid w:linePitch="360"/>
        </w:sectPr>
      </w:pPr>
    </w:p>
    <w:p w14:paraId="357A6CCD" w14:textId="0CAFA502" w:rsidR="00E45548" w:rsidRPr="00773B1E" w:rsidRDefault="00F51CCA" w:rsidP="00A644CA">
      <w:pPr>
        <w:spacing w:line="480" w:lineRule="auto"/>
        <w:jc w:val="both"/>
        <w:rPr>
          <w:rFonts w:ascii="Arial" w:hAnsi="Arial" w:cs="Arial"/>
          <w:i/>
          <w:iCs/>
        </w:rPr>
      </w:pPr>
      <w:r w:rsidRPr="00773B1E">
        <w:rPr>
          <w:rFonts w:ascii="Arial" w:hAnsi="Arial" w:cs="Arial"/>
          <w:i/>
          <w:iCs/>
        </w:rPr>
        <w:lastRenderedPageBreak/>
        <w:t>Supplement</w:t>
      </w:r>
      <w:r w:rsidR="00680B5F">
        <w:rPr>
          <w:rFonts w:ascii="Arial" w:hAnsi="Arial" w:cs="Arial"/>
          <w:i/>
          <w:iCs/>
        </w:rPr>
        <w:t>ary file</w:t>
      </w:r>
      <w:r w:rsidRPr="00773B1E">
        <w:rPr>
          <w:rFonts w:ascii="Arial" w:hAnsi="Arial" w:cs="Arial"/>
          <w:i/>
          <w:iCs/>
        </w:rPr>
        <w:t xml:space="preserve"> </w:t>
      </w:r>
      <w:r w:rsidR="00773B1E" w:rsidRPr="00773B1E">
        <w:rPr>
          <w:rFonts w:ascii="Arial" w:hAnsi="Arial" w:cs="Arial"/>
          <w:i/>
          <w:iCs/>
        </w:rPr>
        <w:t>5.</w:t>
      </w:r>
      <w:r w:rsidR="00A644CA" w:rsidRPr="00773B1E">
        <w:rPr>
          <w:rFonts w:ascii="Arial" w:hAnsi="Arial" w:cs="Arial"/>
          <w:i/>
          <w:iCs/>
        </w:rPr>
        <w:t xml:space="preserve"> Distribution of stakeholders who were instigators and recipients of corruption based on concept counts.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3"/>
        <w:gridCol w:w="923"/>
        <w:gridCol w:w="862"/>
        <w:gridCol w:w="961"/>
        <w:gridCol w:w="833"/>
        <w:gridCol w:w="1574"/>
      </w:tblGrid>
      <w:tr w:rsidR="00880BA3" w:rsidRPr="00710A0C" w14:paraId="60E7F0A2" w14:textId="77777777" w:rsidTr="00F42121">
        <w:trPr>
          <w:trHeight w:val="293"/>
        </w:trPr>
        <w:tc>
          <w:tcPr>
            <w:tcW w:w="2142" w:type="pct"/>
            <w:shd w:val="clear" w:color="auto" w:fill="auto"/>
            <w:noWrap/>
            <w:vAlign w:val="center"/>
            <w:hideMark/>
          </w:tcPr>
          <w:p w14:paraId="40673E8C" w14:textId="0E4D9FB9" w:rsidR="00E45548" w:rsidRPr="00710A0C" w:rsidRDefault="00E45548" w:rsidP="00F42121">
            <w:pPr>
              <w:spacing w:after="0" w:line="360" w:lineRule="auto"/>
              <w:jc w:val="center"/>
              <w:rPr>
                <w:rFonts w:ascii="Arial" w:eastAsia="Times New Roman" w:hAnsi="Arial" w:cs="Arial"/>
                <w:color w:val="000000"/>
                <w:lang w:eastAsia="en-AU"/>
              </w:rPr>
            </w:pPr>
          </w:p>
        </w:tc>
        <w:tc>
          <w:tcPr>
            <w:tcW w:w="990" w:type="pct"/>
            <w:gridSpan w:val="2"/>
            <w:shd w:val="clear" w:color="auto" w:fill="auto"/>
            <w:noWrap/>
            <w:vAlign w:val="center"/>
            <w:hideMark/>
          </w:tcPr>
          <w:p w14:paraId="53D7694F" w14:textId="77777777" w:rsidR="00E45548" w:rsidRPr="00710A0C" w:rsidRDefault="00E45548" w:rsidP="00F42121">
            <w:pPr>
              <w:spacing w:after="0" w:line="360" w:lineRule="auto"/>
              <w:jc w:val="center"/>
              <w:rPr>
                <w:rFonts w:ascii="Arial" w:eastAsia="Times New Roman" w:hAnsi="Arial" w:cs="Arial"/>
                <w:color w:val="000000"/>
                <w:lang w:eastAsia="en-AU"/>
              </w:rPr>
            </w:pPr>
            <w:r w:rsidRPr="00710A0C">
              <w:rPr>
                <w:rFonts w:ascii="Arial" w:eastAsia="Times New Roman" w:hAnsi="Arial" w:cs="Arial"/>
                <w:color w:val="000000" w:themeColor="text1"/>
              </w:rPr>
              <w:t>Instigators of corruption</w:t>
            </w:r>
          </w:p>
        </w:tc>
        <w:tc>
          <w:tcPr>
            <w:tcW w:w="995" w:type="pct"/>
            <w:gridSpan w:val="2"/>
            <w:shd w:val="clear" w:color="auto" w:fill="auto"/>
            <w:noWrap/>
            <w:vAlign w:val="center"/>
            <w:hideMark/>
          </w:tcPr>
          <w:p w14:paraId="09EFDD7C" w14:textId="63343697" w:rsidR="00E45548" w:rsidRPr="00710A0C" w:rsidRDefault="00773B1E" w:rsidP="00F42121">
            <w:pPr>
              <w:spacing w:after="0" w:line="360" w:lineRule="auto"/>
              <w:jc w:val="center"/>
              <w:rPr>
                <w:rFonts w:ascii="Arial" w:eastAsia="Times New Roman" w:hAnsi="Arial" w:cs="Arial"/>
                <w:color w:val="000000"/>
                <w:lang w:eastAsia="en-AU"/>
              </w:rPr>
            </w:pPr>
            <w:r>
              <w:rPr>
                <w:rFonts w:ascii="Arial" w:eastAsia="Times New Roman" w:hAnsi="Arial" w:cs="Arial"/>
                <w:color w:val="000000" w:themeColor="text1"/>
              </w:rPr>
              <w:t>R</w:t>
            </w:r>
            <w:r w:rsidR="00E45548" w:rsidRPr="00710A0C">
              <w:rPr>
                <w:rFonts w:ascii="Arial" w:eastAsia="Times New Roman" w:hAnsi="Arial" w:cs="Arial"/>
                <w:color w:val="000000" w:themeColor="text1"/>
              </w:rPr>
              <w:t>ecipients of corruption</w:t>
            </w:r>
          </w:p>
        </w:tc>
        <w:tc>
          <w:tcPr>
            <w:tcW w:w="873" w:type="pct"/>
            <w:shd w:val="clear" w:color="auto" w:fill="auto"/>
            <w:noWrap/>
            <w:vAlign w:val="center"/>
            <w:hideMark/>
          </w:tcPr>
          <w:p w14:paraId="52109318" w14:textId="77777777" w:rsidR="00E45548" w:rsidRPr="00710A0C" w:rsidRDefault="00E45548" w:rsidP="00F42121">
            <w:pPr>
              <w:spacing w:after="0" w:line="360" w:lineRule="auto"/>
              <w:jc w:val="center"/>
              <w:rPr>
                <w:rFonts w:ascii="Arial" w:eastAsia="Times New Roman" w:hAnsi="Arial" w:cs="Arial"/>
                <w:color w:val="000000"/>
                <w:lang w:eastAsia="en-AU"/>
              </w:rPr>
            </w:pPr>
            <w:r w:rsidRPr="00710A0C">
              <w:rPr>
                <w:rFonts w:ascii="Arial" w:eastAsia="Times New Roman" w:hAnsi="Arial" w:cs="Arial"/>
                <w:color w:val="000000" w:themeColor="text1"/>
              </w:rPr>
              <w:t>Ratio</w:t>
            </w:r>
          </w:p>
        </w:tc>
      </w:tr>
      <w:tr w:rsidR="00880BA3" w:rsidRPr="00710A0C" w14:paraId="56743373" w14:textId="77777777" w:rsidTr="00F42121">
        <w:trPr>
          <w:trHeight w:val="293"/>
        </w:trPr>
        <w:tc>
          <w:tcPr>
            <w:tcW w:w="2142" w:type="pct"/>
            <w:shd w:val="clear" w:color="auto" w:fill="auto"/>
            <w:noWrap/>
            <w:vAlign w:val="bottom"/>
            <w:hideMark/>
          </w:tcPr>
          <w:p w14:paraId="3D076CCA"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 xml:space="preserve">Stakeholder </w:t>
            </w:r>
          </w:p>
        </w:tc>
        <w:tc>
          <w:tcPr>
            <w:tcW w:w="512" w:type="pct"/>
            <w:shd w:val="clear" w:color="auto" w:fill="auto"/>
            <w:noWrap/>
            <w:vAlign w:val="bottom"/>
            <w:hideMark/>
          </w:tcPr>
          <w:p w14:paraId="60E55779" w14:textId="77777777" w:rsidR="00E45548" w:rsidRPr="00710A0C" w:rsidRDefault="00E45548" w:rsidP="00F42121">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N</w:t>
            </w:r>
          </w:p>
        </w:tc>
        <w:tc>
          <w:tcPr>
            <w:tcW w:w="478" w:type="pct"/>
            <w:shd w:val="clear" w:color="auto" w:fill="auto"/>
            <w:noWrap/>
            <w:vAlign w:val="bottom"/>
            <w:hideMark/>
          </w:tcPr>
          <w:p w14:paraId="5959B1D8" w14:textId="77777777" w:rsidR="00E45548" w:rsidRPr="00710A0C" w:rsidRDefault="00E45548" w:rsidP="00F42121">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w:t>
            </w:r>
          </w:p>
        </w:tc>
        <w:tc>
          <w:tcPr>
            <w:tcW w:w="533" w:type="pct"/>
            <w:shd w:val="clear" w:color="auto" w:fill="auto"/>
            <w:noWrap/>
            <w:vAlign w:val="bottom"/>
            <w:hideMark/>
          </w:tcPr>
          <w:p w14:paraId="61089318" w14:textId="77777777" w:rsidR="00E45548" w:rsidRPr="00710A0C" w:rsidRDefault="00E45548" w:rsidP="00F42121">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N</w:t>
            </w:r>
          </w:p>
        </w:tc>
        <w:tc>
          <w:tcPr>
            <w:tcW w:w="462" w:type="pct"/>
            <w:shd w:val="clear" w:color="auto" w:fill="auto"/>
            <w:noWrap/>
            <w:vAlign w:val="bottom"/>
            <w:hideMark/>
          </w:tcPr>
          <w:p w14:paraId="20FFE194" w14:textId="77777777" w:rsidR="00E45548" w:rsidRPr="00710A0C" w:rsidRDefault="00E45548" w:rsidP="00F42121">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w:t>
            </w:r>
          </w:p>
        </w:tc>
        <w:tc>
          <w:tcPr>
            <w:tcW w:w="873" w:type="pct"/>
            <w:shd w:val="clear" w:color="auto" w:fill="auto"/>
            <w:noWrap/>
            <w:vAlign w:val="bottom"/>
            <w:hideMark/>
          </w:tcPr>
          <w:p w14:paraId="137DA6C9" w14:textId="1668C831" w:rsidR="00E45548" w:rsidRPr="00710A0C" w:rsidRDefault="00EC5681" w:rsidP="00F42121">
            <w:pPr>
              <w:spacing w:after="0" w:line="360" w:lineRule="auto"/>
              <w:jc w:val="right"/>
              <w:rPr>
                <w:rFonts w:ascii="Arial" w:eastAsia="Times New Roman" w:hAnsi="Arial" w:cs="Arial"/>
                <w:color w:val="000000"/>
                <w:lang w:eastAsia="en-AU"/>
              </w:rPr>
            </w:pPr>
            <w:r>
              <w:rPr>
                <w:rFonts w:ascii="Arial" w:eastAsia="Times New Roman" w:hAnsi="Arial" w:cs="Arial"/>
                <w:color w:val="000000" w:themeColor="text1"/>
              </w:rPr>
              <w:t>Recipients</w:t>
            </w:r>
            <w:r w:rsidR="00E45548" w:rsidRPr="00710A0C">
              <w:rPr>
                <w:rFonts w:ascii="Arial" w:eastAsia="Times New Roman" w:hAnsi="Arial" w:cs="Arial"/>
                <w:color w:val="000000" w:themeColor="text1"/>
              </w:rPr>
              <w:t>/</w:t>
            </w:r>
            <w:r w:rsidR="00880BA3">
              <w:rPr>
                <w:rFonts w:ascii="Arial" w:eastAsia="Times New Roman" w:hAnsi="Arial" w:cs="Arial"/>
                <w:color w:val="000000" w:themeColor="text1"/>
              </w:rPr>
              <w:t>instigators</w:t>
            </w:r>
          </w:p>
        </w:tc>
      </w:tr>
      <w:tr w:rsidR="00880BA3" w:rsidRPr="00710A0C" w14:paraId="0C7BEE5F" w14:textId="77777777" w:rsidTr="0063242D">
        <w:trPr>
          <w:trHeight w:val="285"/>
        </w:trPr>
        <w:tc>
          <w:tcPr>
            <w:tcW w:w="2142" w:type="pct"/>
            <w:shd w:val="clear" w:color="auto" w:fill="auto"/>
            <w:noWrap/>
            <w:vAlign w:val="bottom"/>
            <w:hideMark/>
          </w:tcPr>
          <w:p w14:paraId="42E6B917"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Primary and raw material producers</w:t>
            </w:r>
          </w:p>
        </w:tc>
        <w:tc>
          <w:tcPr>
            <w:tcW w:w="512" w:type="pct"/>
            <w:shd w:val="clear" w:color="auto" w:fill="auto"/>
            <w:noWrap/>
            <w:vAlign w:val="center"/>
            <w:hideMark/>
          </w:tcPr>
          <w:p w14:paraId="285779EE"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27</w:t>
            </w:r>
          </w:p>
        </w:tc>
        <w:tc>
          <w:tcPr>
            <w:tcW w:w="478" w:type="pct"/>
            <w:shd w:val="clear" w:color="auto" w:fill="auto"/>
            <w:noWrap/>
            <w:vAlign w:val="center"/>
            <w:hideMark/>
          </w:tcPr>
          <w:p w14:paraId="3EED5962"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8.2</w:t>
            </w:r>
          </w:p>
        </w:tc>
        <w:tc>
          <w:tcPr>
            <w:tcW w:w="533" w:type="pct"/>
            <w:shd w:val="clear" w:color="auto" w:fill="auto"/>
            <w:noWrap/>
            <w:vAlign w:val="center"/>
            <w:hideMark/>
          </w:tcPr>
          <w:p w14:paraId="328AC7BD"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57</w:t>
            </w:r>
          </w:p>
        </w:tc>
        <w:tc>
          <w:tcPr>
            <w:tcW w:w="462" w:type="pct"/>
            <w:shd w:val="clear" w:color="auto" w:fill="auto"/>
            <w:noWrap/>
            <w:vAlign w:val="center"/>
            <w:hideMark/>
          </w:tcPr>
          <w:p w14:paraId="111D6DE9"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18.0</w:t>
            </w:r>
          </w:p>
        </w:tc>
        <w:tc>
          <w:tcPr>
            <w:tcW w:w="873" w:type="pct"/>
            <w:shd w:val="clear" w:color="auto" w:fill="auto"/>
            <w:noWrap/>
            <w:vAlign w:val="center"/>
            <w:hideMark/>
          </w:tcPr>
          <w:p w14:paraId="310E4BBA"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2.11</w:t>
            </w:r>
          </w:p>
        </w:tc>
      </w:tr>
      <w:tr w:rsidR="00880BA3" w:rsidRPr="00710A0C" w14:paraId="5D0F7152" w14:textId="77777777" w:rsidTr="0063242D">
        <w:trPr>
          <w:trHeight w:val="285"/>
        </w:trPr>
        <w:tc>
          <w:tcPr>
            <w:tcW w:w="2142" w:type="pct"/>
            <w:shd w:val="clear" w:color="auto" w:fill="auto"/>
            <w:noWrap/>
            <w:vAlign w:val="bottom"/>
            <w:hideMark/>
          </w:tcPr>
          <w:p w14:paraId="09747726"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 xml:space="preserve">Food processors and packers </w:t>
            </w:r>
          </w:p>
        </w:tc>
        <w:tc>
          <w:tcPr>
            <w:tcW w:w="512" w:type="pct"/>
            <w:shd w:val="clear" w:color="auto" w:fill="auto"/>
            <w:noWrap/>
            <w:vAlign w:val="center"/>
            <w:hideMark/>
          </w:tcPr>
          <w:p w14:paraId="540BAEF7"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15</w:t>
            </w:r>
          </w:p>
        </w:tc>
        <w:tc>
          <w:tcPr>
            <w:tcW w:w="478" w:type="pct"/>
            <w:shd w:val="clear" w:color="auto" w:fill="auto"/>
            <w:noWrap/>
            <w:vAlign w:val="center"/>
            <w:hideMark/>
          </w:tcPr>
          <w:p w14:paraId="5F44227B"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4.6</w:t>
            </w:r>
          </w:p>
        </w:tc>
        <w:tc>
          <w:tcPr>
            <w:tcW w:w="533" w:type="pct"/>
            <w:shd w:val="clear" w:color="auto" w:fill="auto"/>
            <w:noWrap/>
            <w:vAlign w:val="center"/>
            <w:hideMark/>
          </w:tcPr>
          <w:p w14:paraId="53EB9FF9"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3</w:t>
            </w:r>
          </w:p>
        </w:tc>
        <w:tc>
          <w:tcPr>
            <w:tcW w:w="462" w:type="pct"/>
            <w:shd w:val="clear" w:color="auto" w:fill="auto"/>
            <w:noWrap/>
            <w:vAlign w:val="center"/>
            <w:hideMark/>
          </w:tcPr>
          <w:p w14:paraId="116504C0"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0.9</w:t>
            </w:r>
          </w:p>
        </w:tc>
        <w:tc>
          <w:tcPr>
            <w:tcW w:w="873" w:type="pct"/>
            <w:shd w:val="clear" w:color="auto" w:fill="auto"/>
            <w:noWrap/>
            <w:vAlign w:val="center"/>
            <w:hideMark/>
          </w:tcPr>
          <w:p w14:paraId="6B7405CD"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0.20</w:t>
            </w:r>
          </w:p>
        </w:tc>
      </w:tr>
      <w:tr w:rsidR="00880BA3" w:rsidRPr="00710A0C" w14:paraId="01C2241B" w14:textId="77777777" w:rsidTr="0063242D">
        <w:trPr>
          <w:trHeight w:val="285"/>
        </w:trPr>
        <w:tc>
          <w:tcPr>
            <w:tcW w:w="2142" w:type="pct"/>
            <w:shd w:val="clear" w:color="auto" w:fill="auto"/>
            <w:noWrap/>
            <w:vAlign w:val="bottom"/>
            <w:hideMark/>
          </w:tcPr>
          <w:p w14:paraId="347B4DB4"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Distributors, transporters</w:t>
            </w:r>
          </w:p>
        </w:tc>
        <w:tc>
          <w:tcPr>
            <w:tcW w:w="512" w:type="pct"/>
            <w:shd w:val="clear" w:color="auto" w:fill="auto"/>
            <w:noWrap/>
            <w:vAlign w:val="center"/>
            <w:hideMark/>
          </w:tcPr>
          <w:p w14:paraId="7960AFFA"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4</w:t>
            </w:r>
          </w:p>
        </w:tc>
        <w:tc>
          <w:tcPr>
            <w:tcW w:w="478" w:type="pct"/>
            <w:shd w:val="clear" w:color="auto" w:fill="auto"/>
            <w:noWrap/>
            <w:vAlign w:val="center"/>
            <w:hideMark/>
          </w:tcPr>
          <w:p w14:paraId="0D4C15DD"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1.2</w:t>
            </w:r>
          </w:p>
        </w:tc>
        <w:tc>
          <w:tcPr>
            <w:tcW w:w="533" w:type="pct"/>
            <w:shd w:val="clear" w:color="auto" w:fill="auto"/>
            <w:noWrap/>
            <w:vAlign w:val="center"/>
            <w:hideMark/>
          </w:tcPr>
          <w:p w14:paraId="3AEF857E"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2</w:t>
            </w:r>
          </w:p>
        </w:tc>
        <w:tc>
          <w:tcPr>
            <w:tcW w:w="462" w:type="pct"/>
            <w:shd w:val="clear" w:color="auto" w:fill="auto"/>
            <w:noWrap/>
            <w:vAlign w:val="center"/>
            <w:hideMark/>
          </w:tcPr>
          <w:p w14:paraId="11E1142F"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0.6</w:t>
            </w:r>
          </w:p>
        </w:tc>
        <w:tc>
          <w:tcPr>
            <w:tcW w:w="873" w:type="pct"/>
            <w:shd w:val="clear" w:color="auto" w:fill="auto"/>
            <w:noWrap/>
            <w:vAlign w:val="center"/>
            <w:hideMark/>
          </w:tcPr>
          <w:p w14:paraId="02D007A6"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0.50</w:t>
            </w:r>
          </w:p>
        </w:tc>
      </w:tr>
      <w:tr w:rsidR="00880BA3" w:rsidRPr="00710A0C" w14:paraId="34B48310" w14:textId="77777777" w:rsidTr="0063242D">
        <w:trPr>
          <w:trHeight w:val="285"/>
        </w:trPr>
        <w:tc>
          <w:tcPr>
            <w:tcW w:w="2142" w:type="pct"/>
            <w:shd w:val="clear" w:color="auto" w:fill="auto"/>
            <w:noWrap/>
            <w:vAlign w:val="bottom"/>
            <w:hideMark/>
          </w:tcPr>
          <w:p w14:paraId="0FEFC727" w14:textId="434EF3A9" w:rsidR="00E45548" w:rsidRPr="00710A0C" w:rsidRDefault="00024001" w:rsidP="00C22B49">
            <w:pPr>
              <w:spacing w:after="0" w:line="360" w:lineRule="auto"/>
              <w:rPr>
                <w:rFonts w:ascii="Arial" w:eastAsia="Times New Roman" w:hAnsi="Arial" w:cs="Arial"/>
                <w:color w:val="000000"/>
                <w:lang w:eastAsia="en-AU"/>
              </w:rPr>
            </w:pPr>
            <w:r>
              <w:rPr>
                <w:rFonts w:ascii="Arial" w:eastAsia="Times New Roman" w:hAnsi="Arial" w:cs="Arial"/>
                <w:color w:val="000000" w:themeColor="text1"/>
              </w:rPr>
              <w:t>B</w:t>
            </w:r>
            <w:r w:rsidR="00E45548" w:rsidRPr="00710A0C">
              <w:rPr>
                <w:rFonts w:ascii="Arial" w:eastAsia="Times New Roman" w:hAnsi="Arial" w:cs="Arial"/>
                <w:color w:val="000000" w:themeColor="text1"/>
              </w:rPr>
              <w:t>usiness</w:t>
            </w:r>
            <w:r>
              <w:rPr>
                <w:rFonts w:ascii="Arial" w:eastAsia="Times New Roman" w:hAnsi="Arial" w:cs="Arial"/>
                <w:color w:val="000000" w:themeColor="text1"/>
              </w:rPr>
              <w:t xml:space="preserve"> and </w:t>
            </w:r>
            <w:r w:rsidR="00E45548" w:rsidRPr="00710A0C">
              <w:rPr>
                <w:rFonts w:ascii="Arial" w:eastAsia="Times New Roman" w:hAnsi="Arial" w:cs="Arial"/>
                <w:color w:val="000000" w:themeColor="text1"/>
              </w:rPr>
              <w:t>corporate stakeholders</w:t>
            </w:r>
          </w:p>
        </w:tc>
        <w:tc>
          <w:tcPr>
            <w:tcW w:w="512" w:type="pct"/>
            <w:shd w:val="clear" w:color="auto" w:fill="auto"/>
            <w:noWrap/>
            <w:vAlign w:val="center"/>
            <w:hideMark/>
          </w:tcPr>
          <w:p w14:paraId="7CB7D523"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43</w:t>
            </w:r>
          </w:p>
        </w:tc>
        <w:tc>
          <w:tcPr>
            <w:tcW w:w="478" w:type="pct"/>
            <w:shd w:val="clear" w:color="auto" w:fill="auto"/>
            <w:noWrap/>
            <w:vAlign w:val="center"/>
            <w:hideMark/>
          </w:tcPr>
          <w:p w14:paraId="33789E37"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13.1</w:t>
            </w:r>
          </w:p>
        </w:tc>
        <w:tc>
          <w:tcPr>
            <w:tcW w:w="533" w:type="pct"/>
            <w:shd w:val="clear" w:color="auto" w:fill="auto"/>
            <w:noWrap/>
            <w:vAlign w:val="center"/>
            <w:hideMark/>
          </w:tcPr>
          <w:p w14:paraId="355A670B"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6</w:t>
            </w:r>
          </w:p>
        </w:tc>
        <w:tc>
          <w:tcPr>
            <w:tcW w:w="462" w:type="pct"/>
            <w:shd w:val="clear" w:color="auto" w:fill="auto"/>
            <w:noWrap/>
            <w:vAlign w:val="center"/>
            <w:hideMark/>
          </w:tcPr>
          <w:p w14:paraId="682FDA46"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1.9</w:t>
            </w:r>
          </w:p>
        </w:tc>
        <w:tc>
          <w:tcPr>
            <w:tcW w:w="873" w:type="pct"/>
            <w:shd w:val="clear" w:color="auto" w:fill="auto"/>
            <w:noWrap/>
            <w:vAlign w:val="center"/>
            <w:hideMark/>
          </w:tcPr>
          <w:p w14:paraId="0ED5A200" w14:textId="77777777" w:rsidR="00E45548" w:rsidRPr="0063242D" w:rsidRDefault="00E45548" w:rsidP="0063242D">
            <w:pPr>
              <w:spacing w:after="0" w:line="360" w:lineRule="auto"/>
              <w:jc w:val="right"/>
              <w:rPr>
                <w:rFonts w:ascii="Arial" w:eastAsia="Times New Roman" w:hAnsi="Arial" w:cs="Arial"/>
                <w:b/>
                <w:bCs/>
                <w:color w:val="000000"/>
                <w:lang w:eastAsia="en-AU"/>
              </w:rPr>
            </w:pPr>
            <w:r w:rsidRPr="0063242D">
              <w:rPr>
                <w:rFonts w:ascii="Arial" w:eastAsia="Times New Roman" w:hAnsi="Arial" w:cs="Arial"/>
                <w:b/>
                <w:bCs/>
                <w:color w:val="000000" w:themeColor="text1"/>
              </w:rPr>
              <w:t>0.14</w:t>
            </w:r>
          </w:p>
        </w:tc>
      </w:tr>
      <w:tr w:rsidR="00880BA3" w:rsidRPr="00710A0C" w14:paraId="69E58A1A" w14:textId="77777777" w:rsidTr="0063242D">
        <w:trPr>
          <w:trHeight w:val="285"/>
        </w:trPr>
        <w:tc>
          <w:tcPr>
            <w:tcW w:w="2142" w:type="pct"/>
            <w:shd w:val="clear" w:color="auto" w:fill="auto"/>
            <w:noWrap/>
            <w:vAlign w:val="bottom"/>
            <w:hideMark/>
          </w:tcPr>
          <w:p w14:paraId="0C14C4F9"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Markets/retailers/traders</w:t>
            </w:r>
          </w:p>
        </w:tc>
        <w:tc>
          <w:tcPr>
            <w:tcW w:w="512" w:type="pct"/>
            <w:shd w:val="clear" w:color="auto" w:fill="auto"/>
            <w:noWrap/>
            <w:vAlign w:val="center"/>
            <w:hideMark/>
          </w:tcPr>
          <w:p w14:paraId="13D534DD"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27</w:t>
            </w:r>
          </w:p>
        </w:tc>
        <w:tc>
          <w:tcPr>
            <w:tcW w:w="478" w:type="pct"/>
            <w:shd w:val="clear" w:color="auto" w:fill="auto"/>
            <w:noWrap/>
            <w:vAlign w:val="center"/>
            <w:hideMark/>
          </w:tcPr>
          <w:p w14:paraId="7559C2CC"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8.2</w:t>
            </w:r>
          </w:p>
        </w:tc>
        <w:tc>
          <w:tcPr>
            <w:tcW w:w="533" w:type="pct"/>
            <w:shd w:val="clear" w:color="auto" w:fill="auto"/>
            <w:noWrap/>
            <w:vAlign w:val="center"/>
            <w:hideMark/>
          </w:tcPr>
          <w:p w14:paraId="0F92F503"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15</w:t>
            </w:r>
          </w:p>
        </w:tc>
        <w:tc>
          <w:tcPr>
            <w:tcW w:w="462" w:type="pct"/>
            <w:shd w:val="clear" w:color="auto" w:fill="auto"/>
            <w:noWrap/>
            <w:vAlign w:val="center"/>
            <w:hideMark/>
          </w:tcPr>
          <w:p w14:paraId="13CE32F5"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4.7</w:t>
            </w:r>
          </w:p>
        </w:tc>
        <w:tc>
          <w:tcPr>
            <w:tcW w:w="873" w:type="pct"/>
            <w:shd w:val="clear" w:color="auto" w:fill="auto"/>
            <w:noWrap/>
            <w:vAlign w:val="center"/>
            <w:hideMark/>
          </w:tcPr>
          <w:p w14:paraId="6885A3B0"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0.56</w:t>
            </w:r>
          </w:p>
        </w:tc>
      </w:tr>
      <w:tr w:rsidR="00880BA3" w:rsidRPr="00710A0C" w14:paraId="3B5AC725" w14:textId="77777777" w:rsidTr="0063242D">
        <w:trPr>
          <w:trHeight w:val="285"/>
        </w:trPr>
        <w:tc>
          <w:tcPr>
            <w:tcW w:w="2142" w:type="pct"/>
            <w:shd w:val="clear" w:color="auto" w:fill="auto"/>
            <w:noWrap/>
            <w:vAlign w:val="bottom"/>
            <w:hideMark/>
          </w:tcPr>
          <w:p w14:paraId="25EFE841"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Waste management</w:t>
            </w:r>
          </w:p>
        </w:tc>
        <w:tc>
          <w:tcPr>
            <w:tcW w:w="512" w:type="pct"/>
            <w:shd w:val="clear" w:color="auto" w:fill="auto"/>
            <w:noWrap/>
            <w:vAlign w:val="center"/>
            <w:hideMark/>
          </w:tcPr>
          <w:p w14:paraId="7FADD329"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w:t>
            </w:r>
          </w:p>
        </w:tc>
        <w:tc>
          <w:tcPr>
            <w:tcW w:w="478" w:type="pct"/>
            <w:shd w:val="clear" w:color="auto" w:fill="auto"/>
            <w:noWrap/>
            <w:vAlign w:val="center"/>
            <w:hideMark/>
          </w:tcPr>
          <w:p w14:paraId="4A8ACC06"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0.0</w:t>
            </w:r>
          </w:p>
        </w:tc>
        <w:tc>
          <w:tcPr>
            <w:tcW w:w="533" w:type="pct"/>
            <w:shd w:val="clear" w:color="auto" w:fill="auto"/>
            <w:noWrap/>
            <w:vAlign w:val="center"/>
            <w:hideMark/>
          </w:tcPr>
          <w:p w14:paraId="49C1CD08"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w:t>
            </w:r>
          </w:p>
        </w:tc>
        <w:tc>
          <w:tcPr>
            <w:tcW w:w="462" w:type="pct"/>
            <w:shd w:val="clear" w:color="auto" w:fill="auto"/>
            <w:noWrap/>
            <w:vAlign w:val="center"/>
            <w:hideMark/>
          </w:tcPr>
          <w:p w14:paraId="2AE3975B"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0.0</w:t>
            </w:r>
          </w:p>
        </w:tc>
        <w:tc>
          <w:tcPr>
            <w:tcW w:w="873" w:type="pct"/>
            <w:shd w:val="clear" w:color="auto" w:fill="auto"/>
            <w:noWrap/>
            <w:vAlign w:val="center"/>
            <w:hideMark/>
          </w:tcPr>
          <w:p w14:paraId="783243AA"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NA</w:t>
            </w:r>
          </w:p>
        </w:tc>
      </w:tr>
      <w:tr w:rsidR="00880BA3" w:rsidRPr="00710A0C" w14:paraId="36D9BECF" w14:textId="77777777" w:rsidTr="0063242D">
        <w:trPr>
          <w:trHeight w:val="285"/>
        </w:trPr>
        <w:tc>
          <w:tcPr>
            <w:tcW w:w="2142" w:type="pct"/>
            <w:shd w:val="clear" w:color="auto" w:fill="auto"/>
            <w:noWrap/>
            <w:vAlign w:val="bottom"/>
            <w:hideMark/>
          </w:tcPr>
          <w:p w14:paraId="2496AFFC"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Public officials (government/public servants)</w:t>
            </w:r>
          </w:p>
        </w:tc>
        <w:tc>
          <w:tcPr>
            <w:tcW w:w="512" w:type="pct"/>
            <w:shd w:val="clear" w:color="auto" w:fill="auto"/>
            <w:noWrap/>
            <w:vAlign w:val="center"/>
            <w:hideMark/>
          </w:tcPr>
          <w:p w14:paraId="43EA0C58"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84</w:t>
            </w:r>
          </w:p>
        </w:tc>
        <w:tc>
          <w:tcPr>
            <w:tcW w:w="478" w:type="pct"/>
            <w:shd w:val="clear" w:color="auto" w:fill="auto"/>
            <w:noWrap/>
            <w:vAlign w:val="center"/>
            <w:hideMark/>
          </w:tcPr>
          <w:p w14:paraId="04E875D9"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25.6</w:t>
            </w:r>
          </w:p>
        </w:tc>
        <w:tc>
          <w:tcPr>
            <w:tcW w:w="533" w:type="pct"/>
            <w:shd w:val="clear" w:color="auto" w:fill="auto"/>
            <w:noWrap/>
            <w:vAlign w:val="center"/>
            <w:hideMark/>
          </w:tcPr>
          <w:p w14:paraId="64FDAC32"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41</w:t>
            </w:r>
          </w:p>
        </w:tc>
        <w:tc>
          <w:tcPr>
            <w:tcW w:w="462" w:type="pct"/>
            <w:shd w:val="clear" w:color="auto" w:fill="auto"/>
            <w:noWrap/>
            <w:vAlign w:val="center"/>
            <w:hideMark/>
          </w:tcPr>
          <w:p w14:paraId="72C3D400"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12.9</w:t>
            </w:r>
          </w:p>
        </w:tc>
        <w:tc>
          <w:tcPr>
            <w:tcW w:w="873" w:type="pct"/>
            <w:shd w:val="clear" w:color="auto" w:fill="auto"/>
            <w:noWrap/>
            <w:vAlign w:val="center"/>
            <w:hideMark/>
          </w:tcPr>
          <w:p w14:paraId="5DA8FC09"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0.49</w:t>
            </w:r>
          </w:p>
        </w:tc>
      </w:tr>
      <w:tr w:rsidR="00880BA3" w:rsidRPr="00710A0C" w14:paraId="698D8AD3" w14:textId="77777777" w:rsidTr="0063242D">
        <w:trPr>
          <w:trHeight w:val="285"/>
        </w:trPr>
        <w:tc>
          <w:tcPr>
            <w:tcW w:w="2142" w:type="pct"/>
            <w:shd w:val="clear" w:color="auto" w:fill="auto"/>
            <w:noWrap/>
            <w:vAlign w:val="bottom"/>
            <w:hideMark/>
          </w:tcPr>
          <w:p w14:paraId="5A79E75C"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Public officials (safety and security authorities; regulators)</w:t>
            </w:r>
          </w:p>
        </w:tc>
        <w:tc>
          <w:tcPr>
            <w:tcW w:w="512" w:type="pct"/>
            <w:shd w:val="clear" w:color="auto" w:fill="auto"/>
            <w:noWrap/>
            <w:vAlign w:val="center"/>
            <w:hideMark/>
          </w:tcPr>
          <w:p w14:paraId="11AD9E4C"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34</w:t>
            </w:r>
          </w:p>
        </w:tc>
        <w:tc>
          <w:tcPr>
            <w:tcW w:w="478" w:type="pct"/>
            <w:shd w:val="clear" w:color="auto" w:fill="auto"/>
            <w:noWrap/>
            <w:vAlign w:val="center"/>
            <w:hideMark/>
          </w:tcPr>
          <w:p w14:paraId="4C9E9656"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10.4</w:t>
            </w:r>
          </w:p>
        </w:tc>
        <w:tc>
          <w:tcPr>
            <w:tcW w:w="533" w:type="pct"/>
            <w:shd w:val="clear" w:color="auto" w:fill="auto"/>
            <w:noWrap/>
            <w:vAlign w:val="center"/>
            <w:hideMark/>
          </w:tcPr>
          <w:p w14:paraId="7AFA3B14"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17</w:t>
            </w:r>
          </w:p>
        </w:tc>
        <w:tc>
          <w:tcPr>
            <w:tcW w:w="462" w:type="pct"/>
            <w:shd w:val="clear" w:color="auto" w:fill="auto"/>
            <w:noWrap/>
            <w:vAlign w:val="center"/>
            <w:hideMark/>
          </w:tcPr>
          <w:p w14:paraId="6CB9664C"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5.4</w:t>
            </w:r>
          </w:p>
        </w:tc>
        <w:tc>
          <w:tcPr>
            <w:tcW w:w="873" w:type="pct"/>
            <w:shd w:val="clear" w:color="auto" w:fill="auto"/>
            <w:noWrap/>
            <w:vAlign w:val="center"/>
            <w:hideMark/>
          </w:tcPr>
          <w:p w14:paraId="1F967184"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0.50</w:t>
            </w:r>
          </w:p>
        </w:tc>
      </w:tr>
      <w:tr w:rsidR="00880BA3" w:rsidRPr="00710A0C" w14:paraId="5ECF7F6E" w14:textId="77777777" w:rsidTr="0063242D">
        <w:trPr>
          <w:trHeight w:val="285"/>
        </w:trPr>
        <w:tc>
          <w:tcPr>
            <w:tcW w:w="2142" w:type="pct"/>
            <w:shd w:val="clear" w:color="auto" w:fill="auto"/>
            <w:noWrap/>
            <w:vAlign w:val="bottom"/>
            <w:hideMark/>
          </w:tcPr>
          <w:p w14:paraId="7613B17E"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Intermediaries</w:t>
            </w:r>
          </w:p>
        </w:tc>
        <w:tc>
          <w:tcPr>
            <w:tcW w:w="512" w:type="pct"/>
            <w:shd w:val="clear" w:color="auto" w:fill="auto"/>
            <w:noWrap/>
            <w:vAlign w:val="center"/>
            <w:hideMark/>
          </w:tcPr>
          <w:p w14:paraId="6C8D1DBD"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42</w:t>
            </w:r>
          </w:p>
        </w:tc>
        <w:tc>
          <w:tcPr>
            <w:tcW w:w="478" w:type="pct"/>
            <w:shd w:val="clear" w:color="auto" w:fill="auto"/>
            <w:noWrap/>
            <w:vAlign w:val="center"/>
            <w:hideMark/>
          </w:tcPr>
          <w:p w14:paraId="7CBADC4F"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12.8</w:t>
            </w:r>
          </w:p>
        </w:tc>
        <w:tc>
          <w:tcPr>
            <w:tcW w:w="533" w:type="pct"/>
            <w:shd w:val="clear" w:color="auto" w:fill="auto"/>
            <w:noWrap/>
            <w:vAlign w:val="center"/>
            <w:hideMark/>
          </w:tcPr>
          <w:p w14:paraId="27A2BE42"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21</w:t>
            </w:r>
          </w:p>
        </w:tc>
        <w:tc>
          <w:tcPr>
            <w:tcW w:w="462" w:type="pct"/>
            <w:shd w:val="clear" w:color="auto" w:fill="auto"/>
            <w:noWrap/>
            <w:vAlign w:val="center"/>
            <w:hideMark/>
          </w:tcPr>
          <w:p w14:paraId="2969B1AF"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6.6</w:t>
            </w:r>
          </w:p>
        </w:tc>
        <w:tc>
          <w:tcPr>
            <w:tcW w:w="873" w:type="pct"/>
            <w:shd w:val="clear" w:color="auto" w:fill="auto"/>
            <w:noWrap/>
            <w:vAlign w:val="center"/>
            <w:hideMark/>
          </w:tcPr>
          <w:p w14:paraId="56D259E5"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0.50</w:t>
            </w:r>
          </w:p>
        </w:tc>
      </w:tr>
      <w:tr w:rsidR="00880BA3" w:rsidRPr="00710A0C" w14:paraId="1CFABEAE" w14:textId="77777777" w:rsidTr="0063242D">
        <w:trPr>
          <w:trHeight w:val="285"/>
        </w:trPr>
        <w:tc>
          <w:tcPr>
            <w:tcW w:w="2142" w:type="pct"/>
            <w:shd w:val="clear" w:color="auto" w:fill="auto"/>
            <w:noWrap/>
            <w:vAlign w:val="bottom"/>
            <w:hideMark/>
          </w:tcPr>
          <w:p w14:paraId="5958859D"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Community members</w:t>
            </w:r>
          </w:p>
        </w:tc>
        <w:tc>
          <w:tcPr>
            <w:tcW w:w="512" w:type="pct"/>
            <w:shd w:val="clear" w:color="auto" w:fill="auto"/>
            <w:noWrap/>
            <w:vAlign w:val="center"/>
            <w:hideMark/>
          </w:tcPr>
          <w:p w14:paraId="340AAC08"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11</w:t>
            </w:r>
          </w:p>
        </w:tc>
        <w:tc>
          <w:tcPr>
            <w:tcW w:w="478" w:type="pct"/>
            <w:shd w:val="clear" w:color="auto" w:fill="auto"/>
            <w:noWrap/>
            <w:vAlign w:val="center"/>
            <w:hideMark/>
          </w:tcPr>
          <w:p w14:paraId="18767A23"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3.4</w:t>
            </w:r>
          </w:p>
        </w:tc>
        <w:tc>
          <w:tcPr>
            <w:tcW w:w="533" w:type="pct"/>
            <w:shd w:val="clear" w:color="auto" w:fill="auto"/>
            <w:noWrap/>
            <w:vAlign w:val="center"/>
            <w:hideMark/>
          </w:tcPr>
          <w:p w14:paraId="14385248"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133</w:t>
            </w:r>
          </w:p>
        </w:tc>
        <w:tc>
          <w:tcPr>
            <w:tcW w:w="462" w:type="pct"/>
            <w:shd w:val="clear" w:color="auto" w:fill="auto"/>
            <w:noWrap/>
            <w:vAlign w:val="center"/>
            <w:hideMark/>
          </w:tcPr>
          <w:p w14:paraId="4FB94529"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42.0</w:t>
            </w:r>
          </w:p>
        </w:tc>
        <w:tc>
          <w:tcPr>
            <w:tcW w:w="873" w:type="pct"/>
            <w:shd w:val="clear" w:color="auto" w:fill="auto"/>
            <w:noWrap/>
            <w:vAlign w:val="center"/>
            <w:hideMark/>
          </w:tcPr>
          <w:p w14:paraId="119F07CB" w14:textId="77777777" w:rsidR="00E45548" w:rsidRPr="0063242D" w:rsidRDefault="00E45548" w:rsidP="0063242D">
            <w:pPr>
              <w:spacing w:after="0" w:line="360" w:lineRule="auto"/>
              <w:jc w:val="right"/>
              <w:rPr>
                <w:rFonts w:ascii="Arial" w:eastAsia="Times New Roman" w:hAnsi="Arial" w:cs="Arial"/>
                <w:b/>
                <w:bCs/>
                <w:color w:val="000000"/>
                <w:lang w:eastAsia="en-AU"/>
              </w:rPr>
            </w:pPr>
            <w:r w:rsidRPr="0063242D">
              <w:rPr>
                <w:rFonts w:ascii="Arial" w:eastAsia="Times New Roman" w:hAnsi="Arial" w:cs="Arial"/>
                <w:b/>
                <w:bCs/>
                <w:color w:val="000000" w:themeColor="text1"/>
              </w:rPr>
              <w:t>12.09</w:t>
            </w:r>
          </w:p>
        </w:tc>
      </w:tr>
      <w:tr w:rsidR="00880BA3" w:rsidRPr="00710A0C" w14:paraId="5E4202F5" w14:textId="77777777" w:rsidTr="0063242D">
        <w:trPr>
          <w:trHeight w:val="285"/>
        </w:trPr>
        <w:tc>
          <w:tcPr>
            <w:tcW w:w="2142" w:type="pct"/>
            <w:shd w:val="clear" w:color="auto" w:fill="auto"/>
            <w:noWrap/>
            <w:vAlign w:val="bottom"/>
            <w:hideMark/>
          </w:tcPr>
          <w:p w14:paraId="5A71DB12"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Food supply chain stakeholders (generally)</w:t>
            </w:r>
          </w:p>
        </w:tc>
        <w:tc>
          <w:tcPr>
            <w:tcW w:w="512" w:type="pct"/>
            <w:shd w:val="clear" w:color="auto" w:fill="auto"/>
            <w:noWrap/>
            <w:vAlign w:val="center"/>
            <w:hideMark/>
          </w:tcPr>
          <w:p w14:paraId="5CEE34C7"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19</w:t>
            </w:r>
          </w:p>
        </w:tc>
        <w:tc>
          <w:tcPr>
            <w:tcW w:w="478" w:type="pct"/>
            <w:shd w:val="clear" w:color="auto" w:fill="auto"/>
            <w:noWrap/>
            <w:vAlign w:val="center"/>
            <w:hideMark/>
          </w:tcPr>
          <w:p w14:paraId="396B9E12"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5.8</w:t>
            </w:r>
          </w:p>
        </w:tc>
        <w:tc>
          <w:tcPr>
            <w:tcW w:w="533" w:type="pct"/>
            <w:shd w:val="clear" w:color="auto" w:fill="auto"/>
            <w:noWrap/>
            <w:vAlign w:val="center"/>
            <w:hideMark/>
          </w:tcPr>
          <w:p w14:paraId="709BE1F7"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10</w:t>
            </w:r>
          </w:p>
        </w:tc>
        <w:tc>
          <w:tcPr>
            <w:tcW w:w="462" w:type="pct"/>
            <w:shd w:val="clear" w:color="auto" w:fill="auto"/>
            <w:noWrap/>
            <w:vAlign w:val="center"/>
            <w:hideMark/>
          </w:tcPr>
          <w:p w14:paraId="2738C13C"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3.2</w:t>
            </w:r>
          </w:p>
        </w:tc>
        <w:tc>
          <w:tcPr>
            <w:tcW w:w="873" w:type="pct"/>
            <w:shd w:val="clear" w:color="auto" w:fill="auto"/>
            <w:noWrap/>
            <w:vAlign w:val="center"/>
            <w:hideMark/>
          </w:tcPr>
          <w:p w14:paraId="4759E20E"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0.53</w:t>
            </w:r>
          </w:p>
        </w:tc>
      </w:tr>
      <w:tr w:rsidR="00880BA3" w:rsidRPr="00710A0C" w14:paraId="63B3A027" w14:textId="77777777" w:rsidTr="0063242D">
        <w:trPr>
          <w:trHeight w:val="285"/>
        </w:trPr>
        <w:tc>
          <w:tcPr>
            <w:tcW w:w="2142" w:type="pct"/>
            <w:shd w:val="clear" w:color="auto" w:fill="auto"/>
            <w:noWrap/>
            <w:vAlign w:val="bottom"/>
            <w:hideMark/>
          </w:tcPr>
          <w:p w14:paraId="257862F9"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Systemic</w:t>
            </w:r>
          </w:p>
        </w:tc>
        <w:tc>
          <w:tcPr>
            <w:tcW w:w="512" w:type="pct"/>
            <w:shd w:val="clear" w:color="auto" w:fill="auto"/>
            <w:noWrap/>
            <w:vAlign w:val="center"/>
            <w:hideMark/>
          </w:tcPr>
          <w:p w14:paraId="1679A880"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12</w:t>
            </w:r>
          </w:p>
        </w:tc>
        <w:tc>
          <w:tcPr>
            <w:tcW w:w="478" w:type="pct"/>
            <w:shd w:val="clear" w:color="auto" w:fill="auto"/>
            <w:noWrap/>
            <w:vAlign w:val="center"/>
            <w:hideMark/>
          </w:tcPr>
          <w:p w14:paraId="5441F943"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3.7</w:t>
            </w:r>
          </w:p>
        </w:tc>
        <w:tc>
          <w:tcPr>
            <w:tcW w:w="533" w:type="pct"/>
            <w:shd w:val="clear" w:color="auto" w:fill="auto"/>
            <w:noWrap/>
            <w:vAlign w:val="center"/>
            <w:hideMark/>
          </w:tcPr>
          <w:p w14:paraId="0204531D"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6</w:t>
            </w:r>
          </w:p>
        </w:tc>
        <w:tc>
          <w:tcPr>
            <w:tcW w:w="462" w:type="pct"/>
            <w:shd w:val="clear" w:color="auto" w:fill="auto"/>
            <w:noWrap/>
            <w:vAlign w:val="center"/>
            <w:hideMark/>
          </w:tcPr>
          <w:p w14:paraId="7AF535DB"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1.9</w:t>
            </w:r>
          </w:p>
        </w:tc>
        <w:tc>
          <w:tcPr>
            <w:tcW w:w="873" w:type="pct"/>
            <w:shd w:val="clear" w:color="auto" w:fill="auto"/>
            <w:noWrap/>
            <w:vAlign w:val="center"/>
            <w:hideMark/>
          </w:tcPr>
          <w:p w14:paraId="2C2006DA"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0.50</w:t>
            </w:r>
          </w:p>
        </w:tc>
      </w:tr>
      <w:tr w:rsidR="00880BA3" w:rsidRPr="00710A0C" w14:paraId="17EC9319" w14:textId="77777777" w:rsidTr="0063242D">
        <w:trPr>
          <w:trHeight w:val="293"/>
        </w:trPr>
        <w:tc>
          <w:tcPr>
            <w:tcW w:w="2142" w:type="pct"/>
            <w:shd w:val="clear" w:color="auto" w:fill="auto"/>
            <w:noWrap/>
            <w:vAlign w:val="bottom"/>
            <w:hideMark/>
          </w:tcPr>
          <w:p w14:paraId="7D13D287"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NA</w:t>
            </w:r>
          </w:p>
        </w:tc>
        <w:tc>
          <w:tcPr>
            <w:tcW w:w="512" w:type="pct"/>
            <w:shd w:val="clear" w:color="auto" w:fill="auto"/>
            <w:noWrap/>
            <w:vAlign w:val="center"/>
            <w:hideMark/>
          </w:tcPr>
          <w:p w14:paraId="7C80877D"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10</w:t>
            </w:r>
          </w:p>
        </w:tc>
        <w:tc>
          <w:tcPr>
            <w:tcW w:w="478" w:type="pct"/>
            <w:shd w:val="clear" w:color="auto" w:fill="auto"/>
            <w:noWrap/>
            <w:vAlign w:val="center"/>
            <w:hideMark/>
          </w:tcPr>
          <w:p w14:paraId="69DACFC0"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3.0</w:t>
            </w:r>
          </w:p>
        </w:tc>
        <w:tc>
          <w:tcPr>
            <w:tcW w:w="533" w:type="pct"/>
            <w:shd w:val="clear" w:color="auto" w:fill="auto"/>
            <w:noWrap/>
            <w:vAlign w:val="center"/>
            <w:hideMark/>
          </w:tcPr>
          <w:p w14:paraId="0A60F702"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6</w:t>
            </w:r>
          </w:p>
        </w:tc>
        <w:tc>
          <w:tcPr>
            <w:tcW w:w="462" w:type="pct"/>
            <w:shd w:val="clear" w:color="auto" w:fill="auto"/>
            <w:noWrap/>
            <w:vAlign w:val="center"/>
            <w:hideMark/>
          </w:tcPr>
          <w:p w14:paraId="44F0BDAD"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1.9</w:t>
            </w:r>
          </w:p>
        </w:tc>
        <w:tc>
          <w:tcPr>
            <w:tcW w:w="873" w:type="pct"/>
            <w:shd w:val="clear" w:color="auto" w:fill="auto"/>
            <w:noWrap/>
            <w:vAlign w:val="center"/>
            <w:hideMark/>
          </w:tcPr>
          <w:p w14:paraId="62A9674B"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0.60</w:t>
            </w:r>
          </w:p>
        </w:tc>
      </w:tr>
      <w:tr w:rsidR="00880BA3" w:rsidRPr="00710A0C" w14:paraId="6FAE48F5" w14:textId="77777777" w:rsidTr="0063242D">
        <w:trPr>
          <w:trHeight w:val="293"/>
        </w:trPr>
        <w:tc>
          <w:tcPr>
            <w:tcW w:w="2142" w:type="pct"/>
            <w:shd w:val="clear" w:color="auto" w:fill="auto"/>
            <w:noWrap/>
            <w:vAlign w:val="bottom"/>
            <w:hideMark/>
          </w:tcPr>
          <w:p w14:paraId="69D3DA4E" w14:textId="77777777" w:rsidR="00E45548" w:rsidRPr="00710A0C" w:rsidRDefault="00E45548" w:rsidP="00C22B49">
            <w:pPr>
              <w:spacing w:after="0" w:line="360" w:lineRule="auto"/>
              <w:rPr>
                <w:rFonts w:ascii="Arial" w:eastAsia="Times New Roman" w:hAnsi="Arial" w:cs="Arial"/>
                <w:color w:val="000000"/>
                <w:lang w:eastAsia="en-AU"/>
              </w:rPr>
            </w:pPr>
            <w:r w:rsidRPr="00710A0C">
              <w:rPr>
                <w:rFonts w:ascii="Arial" w:eastAsia="Times New Roman" w:hAnsi="Arial" w:cs="Arial"/>
                <w:color w:val="000000" w:themeColor="text1"/>
              </w:rPr>
              <w:t>Total</w:t>
            </w:r>
          </w:p>
        </w:tc>
        <w:tc>
          <w:tcPr>
            <w:tcW w:w="512" w:type="pct"/>
            <w:shd w:val="clear" w:color="auto" w:fill="auto"/>
            <w:noWrap/>
            <w:vAlign w:val="center"/>
            <w:hideMark/>
          </w:tcPr>
          <w:p w14:paraId="7F6AD353"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328</w:t>
            </w:r>
          </w:p>
        </w:tc>
        <w:tc>
          <w:tcPr>
            <w:tcW w:w="478" w:type="pct"/>
            <w:shd w:val="clear" w:color="auto" w:fill="auto"/>
            <w:noWrap/>
            <w:vAlign w:val="center"/>
            <w:hideMark/>
          </w:tcPr>
          <w:p w14:paraId="403A140F"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 </w:t>
            </w:r>
          </w:p>
        </w:tc>
        <w:tc>
          <w:tcPr>
            <w:tcW w:w="533" w:type="pct"/>
            <w:shd w:val="clear" w:color="auto" w:fill="auto"/>
            <w:noWrap/>
            <w:vAlign w:val="center"/>
            <w:hideMark/>
          </w:tcPr>
          <w:p w14:paraId="0F205580"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317</w:t>
            </w:r>
          </w:p>
        </w:tc>
        <w:tc>
          <w:tcPr>
            <w:tcW w:w="462" w:type="pct"/>
            <w:shd w:val="clear" w:color="auto" w:fill="auto"/>
            <w:noWrap/>
            <w:vAlign w:val="center"/>
            <w:hideMark/>
          </w:tcPr>
          <w:p w14:paraId="667CBF01"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 </w:t>
            </w:r>
          </w:p>
        </w:tc>
        <w:tc>
          <w:tcPr>
            <w:tcW w:w="873" w:type="pct"/>
            <w:shd w:val="clear" w:color="auto" w:fill="auto"/>
            <w:noWrap/>
            <w:vAlign w:val="center"/>
            <w:hideMark/>
          </w:tcPr>
          <w:p w14:paraId="5AB86958" w14:textId="77777777" w:rsidR="00E45548" w:rsidRPr="00710A0C" w:rsidRDefault="00E45548" w:rsidP="0063242D">
            <w:pPr>
              <w:spacing w:after="0" w:line="360" w:lineRule="auto"/>
              <w:jc w:val="right"/>
              <w:rPr>
                <w:rFonts w:ascii="Arial" w:eastAsia="Times New Roman" w:hAnsi="Arial" w:cs="Arial"/>
                <w:color w:val="000000"/>
                <w:lang w:eastAsia="en-AU"/>
              </w:rPr>
            </w:pPr>
            <w:r w:rsidRPr="00710A0C">
              <w:rPr>
                <w:rFonts w:ascii="Arial" w:eastAsia="Times New Roman" w:hAnsi="Arial" w:cs="Arial"/>
                <w:color w:val="000000" w:themeColor="text1"/>
              </w:rPr>
              <w:t> </w:t>
            </w:r>
          </w:p>
        </w:tc>
      </w:tr>
    </w:tbl>
    <w:p w14:paraId="6F084576" w14:textId="03548342" w:rsidR="00E45548" w:rsidRDefault="00E45548" w:rsidP="00773B1E"/>
    <w:p w14:paraId="1BB8041B" w14:textId="4A9DAEA1" w:rsidR="00673013" w:rsidRDefault="00673013" w:rsidP="00773B1E"/>
    <w:p w14:paraId="1E4134E6" w14:textId="364247F2" w:rsidR="00673013" w:rsidRDefault="00673013" w:rsidP="00773B1E">
      <w:pPr>
        <w:rPr>
          <w:rFonts w:ascii="Arial" w:hAnsi="Arial" w:cs="Arial"/>
        </w:rPr>
      </w:pPr>
      <w:r w:rsidRPr="00673013">
        <w:rPr>
          <w:rFonts w:ascii="Arial" w:hAnsi="Arial" w:cs="Arial"/>
        </w:rPr>
        <w:t xml:space="preserve">References </w:t>
      </w:r>
    </w:p>
    <w:p w14:paraId="4AA8A018" w14:textId="77777777" w:rsidR="00EF10F9" w:rsidRPr="00EF10F9" w:rsidRDefault="00EF10F9" w:rsidP="00EF10F9">
      <w:pPr>
        <w:pStyle w:val="Bibliography"/>
        <w:rPr>
          <w:rFonts w:ascii="Arial" w:hAnsi="Arial" w:cs="Arial"/>
        </w:rPr>
      </w:pPr>
      <w:r>
        <w:rPr>
          <w:rFonts w:ascii="Arial" w:hAnsi="Arial" w:cs="Arial"/>
        </w:rPr>
        <w:fldChar w:fldCharType="begin"/>
      </w:r>
      <w:r>
        <w:rPr>
          <w:rFonts w:ascii="Arial" w:hAnsi="Arial" w:cs="Arial"/>
        </w:rPr>
        <w:instrText xml:space="preserve"> ADDIN ZOTERO_BIBL {"uncited":[],"omitted":[],"custom":[]} CSL_BIBLIOGRAPHY </w:instrText>
      </w:r>
      <w:r>
        <w:rPr>
          <w:rFonts w:ascii="Arial" w:hAnsi="Arial" w:cs="Arial"/>
        </w:rPr>
        <w:fldChar w:fldCharType="separate"/>
      </w:r>
      <w:r w:rsidRPr="00EF10F9">
        <w:rPr>
          <w:rFonts w:ascii="Arial" w:hAnsi="Arial" w:cs="Arial"/>
        </w:rPr>
        <w:t>1.</w:t>
      </w:r>
      <w:r w:rsidRPr="00EF10F9">
        <w:rPr>
          <w:rFonts w:ascii="Arial" w:hAnsi="Arial" w:cs="Arial"/>
        </w:rPr>
        <w:tab/>
        <w:t>Abdullah, Qingshi W, Awan MA, Ashraf J. The impact of political risk and institutions on food security. Current Research in Nutrition and Food Science [Internet]. 2020;8(3):924–41. Available from: https://www.scopus.com/inward/record.uri?eid=2-s2.0-85099806567&amp;doi=10.12944%2fCRNFSJ.8.3.21&amp;partnerID=40&amp;md5=fbe940b7251da915e3fd8a8224c8dfab</w:t>
      </w:r>
    </w:p>
    <w:p w14:paraId="421298EE" w14:textId="77777777" w:rsidR="00EF10F9" w:rsidRPr="00EF10F9" w:rsidRDefault="00EF10F9" w:rsidP="00EF10F9">
      <w:pPr>
        <w:pStyle w:val="Bibliography"/>
        <w:rPr>
          <w:rFonts w:ascii="Arial" w:hAnsi="Arial" w:cs="Arial"/>
        </w:rPr>
      </w:pPr>
      <w:r w:rsidRPr="00EF10F9">
        <w:rPr>
          <w:rFonts w:ascii="Arial" w:hAnsi="Arial" w:cs="Arial"/>
        </w:rPr>
        <w:t>2.</w:t>
      </w:r>
      <w:r w:rsidRPr="00EF10F9">
        <w:rPr>
          <w:rFonts w:ascii="Arial" w:hAnsi="Arial" w:cs="Arial"/>
        </w:rPr>
        <w:tab/>
        <w:t>Agnoli L, Capitello R, De Salvo M, Longo A, Boeri M. Food fraud and consumers’ choices in the wake of the horsemeat scandal. British Food Journal [Internet]. 2016;118(8):1898–913. Available from: https://www.scopus.com/inward/record.uri?eid=2-s2.0-84979272963&amp;doi=10.1108%2fBFJ-04-2016-0176&amp;partnerID=40&amp;md5=67e3cc05aec1ba14ff32f920542b851f</w:t>
      </w:r>
    </w:p>
    <w:p w14:paraId="5E81B5A1" w14:textId="77777777" w:rsidR="00EF10F9" w:rsidRPr="00EF10F9" w:rsidRDefault="00EF10F9" w:rsidP="00EF10F9">
      <w:pPr>
        <w:pStyle w:val="Bibliography"/>
        <w:rPr>
          <w:rFonts w:ascii="Arial" w:hAnsi="Arial" w:cs="Arial"/>
        </w:rPr>
      </w:pPr>
      <w:r w:rsidRPr="00EF10F9">
        <w:rPr>
          <w:rFonts w:ascii="Arial" w:hAnsi="Arial" w:cs="Arial"/>
        </w:rPr>
        <w:lastRenderedPageBreak/>
        <w:t>3.</w:t>
      </w:r>
      <w:r w:rsidRPr="00EF10F9">
        <w:rPr>
          <w:rFonts w:ascii="Arial" w:hAnsi="Arial" w:cs="Arial"/>
        </w:rPr>
        <w:tab/>
        <w:t>Akerkar S, Joshi PC, Fordham M. Cultures of Entitlement and Social Protection: Evidence from Flood Prone Bahraich, Uttar Pradesh, India. World Development [Internet]. 2016;86:46–58. Available from: https://search-proquest-com.ezproxy.library.yorku.ca/ibss/docview/1835027871/249F57A5E765425DPQ/10?accountid=15182</w:t>
      </w:r>
    </w:p>
    <w:p w14:paraId="3121D328" w14:textId="77777777" w:rsidR="00EF10F9" w:rsidRPr="00EF10F9" w:rsidRDefault="00EF10F9" w:rsidP="00EF10F9">
      <w:pPr>
        <w:pStyle w:val="Bibliography"/>
        <w:rPr>
          <w:rFonts w:ascii="Arial" w:hAnsi="Arial" w:cs="Arial"/>
        </w:rPr>
      </w:pPr>
      <w:r w:rsidRPr="00EF10F9">
        <w:rPr>
          <w:rFonts w:ascii="Arial" w:hAnsi="Arial" w:cs="Arial"/>
        </w:rPr>
        <w:t>4.</w:t>
      </w:r>
      <w:r w:rsidRPr="00EF10F9">
        <w:rPr>
          <w:rFonts w:ascii="Arial" w:hAnsi="Arial" w:cs="Arial"/>
        </w:rPr>
        <w:tab/>
        <w:t>Alguacil-Duarte F, González-Gómez F, Del Saz-Salazar S. Urban water pricing and private interests’ lobbying in small rural communities. Water (Switzerland) [Internet]. 2020;12(12). Available from: https://www.scopus.com/inward/record.uri?eid=2-s2.0-85098150508&amp;doi=10.3390%2fw12123509&amp;partnerID=40&amp;md5=1c098fabd141c9892b55bc9950bacdb8</w:t>
      </w:r>
    </w:p>
    <w:p w14:paraId="79AE6E0F" w14:textId="77777777" w:rsidR="00EF10F9" w:rsidRPr="00EF10F9" w:rsidRDefault="00EF10F9" w:rsidP="00EF10F9">
      <w:pPr>
        <w:pStyle w:val="Bibliography"/>
        <w:rPr>
          <w:rFonts w:ascii="Arial" w:hAnsi="Arial" w:cs="Arial"/>
        </w:rPr>
      </w:pPr>
      <w:r w:rsidRPr="00EF10F9">
        <w:rPr>
          <w:rFonts w:ascii="Arial" w:hAnsi="Arial" w:cs="Arial"/>
        </w:rPr>
        <w:t>5.</w:t>
      </w:r>
      <w:r w:rsidRPr="00EF10F9">
        <w:rPr>
          <w:rFonts w:ascii="Arial" w:hAnsi="Arial" w:cs="Arial"/>
        </w:rPr>
        <w:tab/>
        <w:t xml:space="preserve">Ali J. Performance of small and medium-sized food and agribusiness enterprises: Evidence from indian firms. International Food and Agribusiness Management Review. 2016;19(4):53–64. </w:t>
      </w:r>
    </w:p>
    <w:p w14:paraId="33C12F0F" w14:textId="77777777" w:rsidR="00EF10F9" w:rsidRPr="00EF10F9" w:rsidRDefault="00EF10F9" w:rsidP="00EF10F9">
      <w:pPr>
        <w:pStyle w:val="Bibliography"/>
        <w:rPr>
          <w:rFonts w:ascii="Arial" w:hAnsi="Arial" w:cs="Arial"/>
        </w:rPr>
      </w:pPr>
      <w:r w:rsidRPr="00EF10F9">
        <w:rPr>
          <w:rFonts w:ascii="Arial" w:hAnsi="Arial" w:cs="Arial"/>
        </w:rPr>
        <w:t>6.</w:t>
      </w:r>
      <w:r w:rsidRPr="00EF10F9">
        <w:rPr>
          <w:rFonts w:ascii="Arial" w:hAnsi="Arial" w:cs="Arial"/>
        </w:rPr>
        <w:tab/>
        <w:t xml:space="preserve">Al-Mutairi S, Connerton I, Dingwall R. Understanding “corruption” in regulatory agencies: The case of food inspection in Saudi Arabia. Regulation and Governance. 2019;13(4):507–19. </w:t>
      </w:r>
    </w:p>
    <w:p w14:paraId="153724CC" w14:textId="77777777" w:rsidR="00EF10F9" w:rsidRPr="00EF10F9" w:rsidRDefault="00EF10F9" w:rsidP="00EF10F9">
      <w:pPr>
        <w:pStyle w:val="Bibliography"/>
        <w:rPr>
          <w:rFonts w:ascii="Arial" w:hAnsi="Arial" w:cs="Arial"/>
        </w:rPr>
      </w:pPr>
      <w:r w:rsidRPr="00EF10F9">
        <w:rPr>
          <w:rFonts w:ascii="Arial" w:hAnsi="Arial" w:cs="Arial"/>
        </w:rPr>
        <w:t>7.</w:t>
      </w:r>
      <w:r w:rsidRPr="00EF10F9">
        <w:rPr>
          <w:rFonts w:ascii="Arial" w:hAnsi="Arial" w:cs="Arial"/>
        </w:rPr>
        <w:tab/>
        <w:t>Angeles LC. The political dimension in the agrarian question: Strategies of resilience and political entrepreneurship of agrarian elite families in a Philippine province. Rural Sociology [Internet]. 1999;64(4):667–92. Available from: https://www.scopus.com/inward/record.uri?eid=2-s2.0-0033400514&amp;doi=10.1111%2fj.1549-0831.1999.tb00383.x&amp;partnerID=40&amp;md5=551a117b1759dad22e6862e2788b37b7</w:t>
      </w:r>
    </w:p>
    <w:p w14:paraId="7F8B717C" w14:textId="77777777" w:rsidR="00EF10F9" w:rsidRPr="00EF10F9" w:rsidRDefault="00EF10F9" w:rsidP="00EF10F9">
      <w:pPr>
        <w:pStyle w:val="Bibliography"/>
        <w:rPr>
          <w:rFonts w:ascii="Arial" w:hAnsi="Arial" w:cs="Arial"/>
        </w:rPr>
      </w:pPr>
      <w:r w:rsidRPr="00EF10F9">
        <w:rPr>
          <w:rFonts w:ascii="Arial" w:hAnsi="Arial" w:cs="Arial"/>
        </w:rPr>
        <w:t>8.</w:t>
      </w:r>
      <w:r w:rsidRPr="00EF10F9">
        <w:rPr>
          <w:rFonts w:ascii="Arial" w:hAnsi="Arial" w:cs="Arial"/>
        </w:rPr>
        <w:tab/>
        <w:t>Anik AR, Bauer S. Household income and relationships with different power entities as determinants of corruption. Contemporary Economics [Internet]. 2014;8(3):275–88. Available from: https://www.scopus.com/inward/record.uri?eid=2-s2.0-84907684449&amp;doi=10.5709%2fce.1897-9254.145&amp;partnerID=40&amp;md5=90b85ddad2185b32a0d1e963d6ff3d10</w:t>
      </w:r>
    </w:p>
    <w:p w14:paraId="238D97E9" w14:textId="77777777" w:rsidR="00EF10F9" w:rsidRPr="00EF10F9" w:rsidRDefault="00EF10F9" w:rsidP="00EF10F9">
      <w:pPr>
        <w:pStyle w:val="Bibliography"/>
        <w:rPr>
          <w:rFonts w:ascii="Arial" w:hAnsi="Arial" w:cs="Arial"/>
        </w:rPr>
      </w:pPr>
      <w:r w:rsidRPr="00EF10F9">
        <w:rPr>
          <w:rFonts w:ascii="Arial" w:hAnsi="Arial" w:cs="Arial"/>
        </w:rPr>
        <w:t>9.</w:t>
      </w:r>
      <w:r w:rsidRPr="00EF10F9">
        <w:rPr>
          <w:rFonts w:ascii="Arial" w:hAnsi="Arial" w:cs="Arial"/>
        </w:rPr>
        <w:tab/>
        <w:t xml:space="preserve">Anik AR, Manjunatha AV, Bauer S. Impact of farm level corruption on the food security of households in Bangladesh. FOOD SECURITY. 2013;5(4):565–74. </w:t>
      </w:r>
    </w:p>
    <w:p w14:paraId="0A0994D9" w14:textId="77777777" w:rsidR="00EF10F9" w:rsidRPr="00EF10F9" w:rsidRDefault="00EF10F9" w:rsidP="00EF10F9">
      <w:pPr>
        <w:pStyle w:val="Bibliography"/>
        <w:rPr>
          <w:rFonts w:ascii="Arial" w:hAnsi="Arial" w:cs="Arial"/>
        </w:rPr>
      </w:pPr>
      <w:r w:rsidRPr="00EF10F9">
        <w:rPr>
          <w:rFonts w:ascii="Arial" w:hAnsi="Arial" w:cs="Arial"/>
        </w:rPr>
        <w:t>10.</w:t>
      </w:r>
      <w:r w:rsidRPr="00EF10F9">
        <w:rPr>
          <w:rFonts w:ascii="Arial" w:hAnsi="Arial" w:cs="Arial"/>
        </w:rPr>
        <w:tab/>
        <w:t xml:space="preserve">Anik AR, Bauer S, Alam MJ. Why farm households have differences in corruption experiences? Evidences from Bangladesh. Agricultural Economics (Czech Republic). 2013;59(10):478–88. </w:t>
      </w:r>
    </w:p>
    <w:p w14:paraId="2C9FFC16" w14:textId="77777777" w:rsidR="00EF10F9" w:rsidRPr="00EF10F9" w:rsidRDefault="00EF10F9" w:rsidP="00EF10F9">
      <w:pPr>
        <w:pStyle w:val="Bibliography"/>
        <w:rPr>
          <w:rFonts w:ascii="Arial" w:hAnsi="Arial" w:cs="Arial"/>
        </w:rPr>
      </w:pPr>
      <w:r w:rsidRPr="00EF10F9">
        <w:rPr>
          <w:rFonts w:ascii="Arial" w:hAnsi="Arial" w:cs="Arial"/>
        </w:rPr>
        <w:t>11.</w:t>
      </w:r>
      <w:r w:rsidRPr="00EF10F9">
        <w:rPr>
          <w:rFonts w:ascii="Arial" w:hAnsi="Arial" w:cs="Arial"/>
        </w:rPr>
        <w:tab/>
        <w:t xml:space="preserve">Ariabod A, Moghaddasi R, Zeraatkish Y, Nejad AM. Governance and agricultural growth: Evidence from selected developing countries. ECONOMIC JOURNAL OF EMERGING MARKETS. 2019;11(1):73–80. </w:t>
      </w:r>
    </w:p>
    <w:p w14:paraId="109694C3" w14:textId="77777777" w:rsidR="00EF10F9" w:rsidRPr="00EF10F9" w:rsidRDefault="00EF10F9" w:rsidP="00EF10F9">
      <w:pPr>
        <w:pStyle w:val="Bibliography"/>
        <w:rPr>
          <w:rFonts w:ascii="Arial" w:hAnsi="Arial" w:cs="Arial"/>
        </w:rPr>
      </w:pPr>
      <w:r w:rsidRPr="00EF10F9">
        <w:rPr>
          <w:rFonts w:ascii="Arial" w:hAnsi="Arial" w:cs="Arial"/>
        </w:rPr>
        <w:t>12.</w:t>
      </w:r>
      <w:r w:rsidRPr="00EF10F9">
        <w:rPr>
          <w:rFonts w:ascii="Arial" w:hAnsi="Arial" w:cs="Arial"/>
        </w:rPr>
        <w:tab/>
        <w:t xml:space="preserve">Ashby NJ, Ramos MA. Foreign direct investment and industry response to organized crime: The Mexican case. EUROPEAN JOURNAL OF POLITICAL ECONOMY. 2013;30:80–91. </w:t>
      </w:r>
    </w:p>
    <w:p w14:paraId="7BD5BC3A" w14:textId="77777777" w:rsidR="00EF10F9" w:rsidRPr="00EF10F9" w:rsidRDefault="00EF10F9" w:rsidP="00EF10F9">
      <w:pPr>
        <w:pStyle w:val="Bibliography"/>
        <w:rPr>
          <w:rFonts w:ascii="Arial" w:hAnsi="Arial" w:cs="Arial"/>
        </w:rPr>
      </w:pPr>
      <w:r w:rsidRPr="00EF10F9">
        <w:rPr>
          <w:rFonts w:ascii="Arial" w:hAnsi="Arial" w:cs="Arial"/>
        </w:rPr>
        <w:t>13.</w:t>
      </w:r>
      <w:r w:rsidRPr="00EF10F9">
        <w:rPr>
          <w:rFonts w:ascii="Arial" w:hAnsi="Arial" w:cs="Arial"/>
        </w:rPr>
        <w:tab/>
        <w:t>Asiedu E, Sadekla SS, Bokpin GA. Aid to Africa’s agriculture towards building physical capital: Empirical evidence and implications for post-COVID-19 food insecurity. World Development Perspectives [Internet]. 2020;20. Available from: https://www.scopus.com/inward/record.uri?eid=2-s2.0-85092170404&amp;doi=10.1016%2fj.wdp.2020.100269&amp;partnerID=40&amp;md5=dba85c7c325fa7e47a4c625e141025b7</w:t>
      </w:r>
    </w:p>
    <w:p w14:paraId="51A2F089" w14:textId="77777777" w:rsidR="00EF10F9" w:rsidRPr="00EF10F9" w:rsidRDefault="00EF10F9" w:rsidP="00EF10F9">
      <w:pPr>
        <w:pStyle w:val="Bibliography"/>
        <w:rPr>
          <w:rFonts w:ascii="Arial" w:hAnsi="Arial" w:cs="Arial"/>
        </w:rPr>
      </w:pPr>
      <w:r w:rsidRPr="00EF10F9">
        <w:rPr>
          <w:rFonts w:ascii="Arial" w:hAnsi="Arial" w:cs="Arial"/>
        </w:rPr>
        <w:lastRenderedPageBreak/>
        <w:t>14.</w:t>
      </w:r>
      <w:r w:rsidRPr="00EF10F9">
        <w:rPr>
          <w:rFonts w:ascii="Arial" w:hAnsi="Arial" w:cs="Arial"/>
        </w:rPr>
        <w:tab/>
        <w:t>Atwood JA, Robison-Cox JF, Shaik S. Estimating the prevalence and cost of yield-switching fraud in the federal crop insurance program. American Journal of Agricultural Economics [Internet]. 2006;88(2):365–81. Available from: https://www.scopus.com/inward/record.uri?eid=2-s2.0-33645749245&amp;doi=10.1111%2fj.1467-8276.2006.00864.x&amp;partnerID=40&amp;md5=9bed545bbe90b07a880261d489b8b411</w:t>
      </w:r>
    </w:p>
    <w:p w14:paraId="72F28E29" w14:textId="77777777" w:rsidR="00EF10F9" w:rsidRPr="00EF10F9" w:rsidRDefault="00EF10F9" w:rsidP="00EF10F9">
      <w:pPr>
        <w:pStyle w:val="Bibliography"/>
        <w:rPr>
          <w:rFonts w:ascii="Arial" w:hAnsi="Arial" w:cs="Arial"/>
        </w:rPr>
      </w:pPr>
      <w:r w:rsidRPr="00EF10F9">
        <w:rPr>
          <w:rFonts w:ascii="Arial" w:hAnsi="Arial" w:cs="Arial"/>
        </w:rPr>
        <w:t>15.</w:t>
      </w:r>
      <w:r w:rsidRPr="00EF10F9">
        <w:rPr>
          <w:rFonts w:ascii="Arial" w:hAnsi="Arial" w:cs="Arial"/>
        </w:rPr>
        <w:tab/>
        <w:t>Azzam AM, Salvador S. Information pooling and collusion: An empirical analysis. Information Economics and Policy [Internet]. 2004;16(2):275–86. Available from: https://www.scopus.com/inward/record.uri?eid=2-s2.0-2642517841&amp;doi=10.1016%2fj.infoecopol.2003.10.003&amp;partnerID=40&amp;md5=a98f5f7160e7faa4ba14daf360062ea6</w:t>
      </w:r>
    </w:p>
    <w:p w14:paraId="5E44A54B" w14:textId="77777777" w:rsidR="00EF10F9" w:rsidRPr="00EF10F9" w:rsidRDefault="00EF10F9" w:rsidP="00EF10F9">
      <w:pPr>
        <w:pStyle w:val="Bibliography"/>
        <w:rPr>
          <w:rFonts w:ascii="Arial" w:hAnsi="Arial" w:cs="Arial"/>
        </w:rPr>
      </w:pPr>
      <w:r w:rsidRPr="00EF10F9">
        <w:rPr>
          <w:rFonts w:ascii="Arial" w:hAnsi="Arial" w:cs="Arial"/>
        </w:rPr>
        <w:t>16.</w:t>
      </w:r>
      <w:r w:rsidRPr="00EF10F9">
        <w:rPr>
          <w:rFonts w:ascii="Arial" w:hAnsi="Arial" w:cs="Arial"/>
        </w:rPr>
        <w:tab/>
        <w:t>Badiru IO, Afolabi OE. Consumers’ Inclination to Utilize Online Marketing Portals for Agricultural Purchases in Lagos, Nigeria. Journal of Agricultural and Food Information [Internet]. 2016;17(4):290–9. Available from: https://www.scopus.com/inward/record.uri?eid=2-s2.0-84981719201&amp;doi=10.1080%2f10496505.2016.1211015&amp;partnerID=40&amp;md5=fdf7a070240676463d661ab17c105860</w:t>
      </w:r>
    </w:p>
    <w:p w14:paraId="0A860564" w14:textId="77777777" w:rsidR="00EF10F9" w:rsidRPr="00EF10F9" w:rsidRDefault="00EF10F9" w:rsidP="00EF10F9">
      <w:pPr>
        <w:pStyle w:val="Bibliography"/>
        <w:rPr>
          <w:rFonts w:ascii="Arial" w:hAnsi="Arial" w:cs="Arial"/>
        </w:rPr>
      </w:pPr>
      <w:r w:rsidRPr="00EF10F9">
        <w:rPr>
          <w:rFonts w:ascii="Arial" w:hAnsi="Arial" w:cs="Arial"/>
        </w:rPr>
        <w:t>17.</w:t>
      </w:r>
      <w:r w:rsidRPr="00EF10F9">
        <w:rPr>
          <w:rFonts w:ascii="Arial" w:hAnsi="Arial" w:cs="Arial"/>
        </w:rPr>
        <w:tab/>
        <w:t xml:space="preserve">Bahn RA, Abebe GK. Food retail expansion patterns in Sub-Saharan Africa and the Middle East and North Africa: Institutional and regional perspectives. Agribusiness. 2019; </w:t>
      </w:r>
    </w:p>
    <w:p w14:paraId="52898A52" w14:textId="77777777" w:rsidR="00EF10F9" w:rsidRPr="00EF10F9" w:rsidRDefault="00EF10F9" w:rsidP="00EF10F9">
      <w:pPr>
        <w:pStyle w:val="Bibliography"/>
        <w:rPr>
          <w:rFonts w:ascii="Arial" w:hAnsi="Arial" w:cs="Arial"/>
        </w:rPr>
      </w:pPr>
      <w:r w:rsidRPr="00EF10F9">
        <w:rPr>
          <w:rFonts w:ascii="Arial" w:hAnsi="Arial" w:cs="Arial"/>
        </w:rPr>
        <w:t>18.</w:t>
      </w:r>
      <w:r w:rsidRPr="00EF10F9">
        <w:rPr>
          <w:rFonts w:ascii="Arial" w:hAnsi="Arial" w:cs="Arial"/>
        </w:rPr>
        <w:tab/>
        <w:t xml:space="preserve">Banerjee A, Hanna R, Kyle J, Olken BA, Sumarto S. Tangible Information and Citizen Empowerment: Identification Cards and Food Subsidy Programs in Indonesia. JOURNAL OF POLITICAL ECONOMY. 2018;126(2):451–91. </w:t>
      </w:r>
    </w:p>
    <w:p w14:paraId="018C4016" w14:textId="77777777" w:rsidR="00EF10F9" w:rsidRPr="00EF10F9" w:rsidRDefault="00EF10F9" w:rsidP="00EF10F9">
      <w:pPr>
        <w:pStyle w:val="Bibliography"/>
        <w:rPr>
          <w:rFonts w:ascii="Arial" w:hAnsi="Arial" w:cs="Arial"/>
        </w:rPr>
      </w:pPr>
      <w:r w:rsidRPr="00EF10F9">
        <w:rPr>
          <w:rFonts w:ascii="Arial" w:hAnsi="Arial" w:cs="Arial"/>
        </w:rPr>
        <w:t>19.</w:t>
      </w:r>
      <w:r w:rsidRPr="00EF10F9">
        <w:rPr>
          <w:rFonts w:ascii="Arial" w:hAnsi="Arial" w:cs="Arial"/>
        </w:rPr>
        <w:tab/>
        <w:t>Banerji A, Meenakshi JV. Buyer collusion and efficiency of government intervention in wheat markets in northern India: An asymmetric structural auctions analysis. American Journal of Agricultural Economics [Internet]. 2004;86(1):236–53. Available from: https://www.scopus.com/inward/record.uri?eid=2-s2.0-1342289971&amp;doi=10.1111%2fj.0092-5853.2004.00575.x&amp;partnerID=40&amp;md5=5f839b0df7da0dbc19cc19beda43ad0f</w:t>
      </w:r>
    </w:p>
    <w:p w14:paraId="7C834CBA" w14:textId="77777777" w:rsidR="00EF10F9" w:rsidRPr="00EF10F9" w:rsidRDefault="00EF10F9" w:rsidP="00EF10F9">
      <w:pPr>
        <w:pStyle w:val="Bibliography"/>
        <w:rPr>
          <w:rFonts w:ascii="Arial" w:hAnsi="Arial" w:cs="Arial"/>
        </w:rPr>
      </w:pPr>
      <w:r w:rsidRPr="00EF10F9">
        <w:rPr>
          <w:rFonts w:ascii="Arial" w:hAnsi="Arial" w:cs="Arial"/>
        </w:rPr>
        <w:t>20.</w:t>
      </w:r>
      <w:r w:rsidRPr="00EF10F9">
        <w:rPr>
          <w:rFonts w:ascii="Arial" w:hAnsi="Arial" w:cs="Arial"/>
        </w:rPr>
        <w:tab/>
        <w:t>Barbier EB. Corruption, Poverty and Tropical Land Use. Journal of Sustainable Forestry [Internet]. 2012;31(4–5):319–39. Available from: https://www.scopus.com/inward/record.uri?eid=2-s2.0-84861940928&amp;doi=10.1080%2f10549811.2011.588455&amp;partnerID=40&amp;md5=f00360cdb7e34076e2df8f843426284d</w:t>
      </w:r>
    </w:p>
    <w:p w14:paraId="54237960" w14:textId="77777777" w:rsidR="00EF10F9" w:rsidRPr="00EF10F9" w:rsidRDefault="00EF10F9" w:rsidP="00EF10F9">
      <w:pPr>
        <w:pStyle w:val="Bibliography"/>
        <w:rPr>
          <w:rFonts w:ascii="Arial" w:hAnsi="Arial" w:cs="Arial"/>
        </w:rPr>
      </w:pPr>
      <w:r w:rsidRPr="00EF10F9">
        <w:rPr>
          <w:rFonts w:ascii="Arial" w:hAnsi="Arial" w:cs="Arial"/>
        </w:rPr>
        <w:t>21.</w:t>
      </w:r>
      <w:r w:rsidRPr="00EF10F9">
        <w:rPr>
          <w:rFonts w:ascii="Arial" w:hAnsi="Arial" w:cs="Arial"/>
        </w:rPr>
        <w:tab/>
        <w:t xml:space="preserve">Barclay K, Cartwright I. Governance of tuna industries: The key to economic viability and sustainability in the Western and Central Pacific Ocean. MARINE POLICY. 2007;31(3):348–58. </w:t>
      </w:r>
    </w:p>
    <w:p w14:paraId="6FF43C5A" w14:textId="77777777" w:rsidR="00EF10F9" w:rsidRPr="00EF10F9" w:rsidRDefault="00EF10F9" w:rsidP="00EF10F9">
      <w:pPr>
        <w:pStyle w:val="Bibliography"/>
        <w:rPr>
          <w:rFonts w:ascii="Arial" w:hAnsi="Arial" w:cs="Arial"/>
        </w:rPr>
      </w:pPr>
      <w:r w:rsidRPr="00EF10F9">
        <w:rPr>
          <w:rFonts w:ascii="Arial" w:hAnsi="Arial" w:cs="Arial"/>
        </w:rPr>
        <w:t>22.</w:t>
      </w:r>
      <w:r w:rsidRPr="00EF10F9">
        <w:rPr>
          <w:rFonts w:ascii="Arial" w:hAnsi="Arial" w:cs="Arial"/>
        </w:rPr>
        <w:tab/>
        <w:t>Barnard C, O’Connor N. RUNNERS and RIDERS: The HORSEMEAT SCANDAL, EU LAW and MULTI-LEVEL ENFORCEMENT. Cambridge Law Journal [Internet]. 2017;76(1):116–44. Available from: https://www.scopus.com/inward/record.uri?eid=2-s2.0-85017179993&amp;doi=10.1017%2fS000819731700006X&amp;partnerID=40&amp;md5=8fb00a6d955bbb88e2f2c35b29654829</w:t>
      </w:r>
    </w:p>
    <w:p w14:paraId="07BC38CB" w14:textId="77777777" w:rsidR="00EF10F9" w:rsidRPr="00EF10F9" w:rsidRDefault="00EF10F9" w:rsidP="00EF10F9">
      <w:pPr>
        <w:pStyle w:val="Bibliography"/>
        <w:rPr>
          <w:rFonts w:ascii="Arial" w:hAnsi="Arial" w:cs="Arial"/>
        </w:rPr>
      </w:pPr>
      <w:r w:rsidRPr="00EF10F9">
        <w:rPr>
          <w:rFonts w:ascii="Arial" w:hAnsi="Arial" w:cs="Arial"/>
        </w:rPr>
        <w:t>23.</w:t>
      </w:r>
      <w:r w:rsidRPr="00EF10F9">
        <w:rPr>
          <w:rFonts w:ascii="Arial" w:hAnsi="Arial" w:cs="Arial"/>
        </w:rPr>
        <w:tab/>
        <w:t xml:space="preserve">Barnett J, Begen F, Howes S, Regan A, McConnon A, Marcu A, et al. Consumers’ confidence, reflections and response strategies following the horsemeat incident. Food Control [Internet]. 2016;59:721–30. Available from: </w:t>
      </w:r>
      <w:r w:rsidRPr="00EF10F9">
        <w:rPr>
          <w:rFonts w:ascii="Arial" w:hAnsi="Arial" w:cs="Arial"/>
        </w:rPr>
        <w:lastRenderedPageBreak/>
        <w:t>https://www.scopus.com/inward/record.uri?eid=2-s2.0-84936133682&amp;doi=10.1016%2fj.foodcont.2015.06.021&amp;partnerID=40&amp;md5=9452954a0c17e85030be19be3d3719a1</w:t>
      </w:r>
    </w:p>
    <w:p w14:paraId="5ADB6D08" w14:textId="77777777" w:rsidR="00EF10F9" w:rsidRPr="00EF10F9" w:rsidRDefault="00EF10F9" w:rsidP="00EF10F9">
      <w:pPr>
        <w:pStyle w:val="Bibliography"/>
        <w:rPr>
          <w:rFonts w:ascii="Arial" w:hAnsi="Arial" w:cs="Arial"/>
        </w:rPr>
      </w:pPr>
      <w:r w:rsidRPr="00EF10F9">
        <w:rPr>
          <w:rFonts w:ascii="Arial" w:hAnsi="Arial" w:cs="Arial"/>
        </w:rPr>
        <w:t>24.</w:t>
      </w:r>
      <w:r w:rsidRPr="00EF10F9">
        <w:rPr>
          <w:rFonts w:ascii="Arial" w:hAnsi="Arial" w:cs="Arial"/>
        </w:rPr>
        <w:tab/>
        <w:t xml:space="preserve">Baudoin MA, Sanchez AC, Fandohan B. Small scale farmers’ vulnerability to climatic changes in southern Benin: the importance of farmers’ perceptions of existing institutions. MITIGATION AND ADAPTATION STRATEGIES FOR GLOBAL CHANGE. 2014;19(8):1195–207. </w:t>
      </w:r>
    </w:p>
    <w:p w14:paraId="2EF2A8F8" w14:textId="77777777" w:rsidR="00EF10F9" w:rsidRPr="00EF10F9" w:rsidRDefault="00EF10F9" w:rsidP="00EF10F9">
      <w:pPr>
        <w:pStyle w:val="Bibliography"/>
        <w:rPr>
          <w:rFonts w:ascii="Arial" w:hAnsi="Arial" w:cs="Arial"/>
        </w:rPr>
      </w:pPr>
      <w:r w:rsidRPr="00EF10F9">
        <w:rPr>
          <w:rFonts w:ascii="Arial" w:hAnsi="Arial" w:cs="Arial"/>
        </w:rPr>
        <w:t>25.</w:t>
      </w:r>
      <w:r w:rsidRPr="00EF10F9">
        <w:rPr>
          <w:rFonts w:ascii="Arial" w:hAnsi="Arial" w:cs="Arial"/>
        </w:rPr>
        <w:tab/>
        <w:t xml:space="preserve">Beekman G, Bulte EH, Nillesen EEM. Corruption and economic activity: Micro level evidence from rural Liberia. EUROPEAN JOURNAL OF POLITICAL ECONOMY. 2013;30:70–9. </w:t>
      </w:r>
    </w:p>
    <w:p w14:paraId="2E48FC80" w14:textId="77777777" w:rsidR="00EF10F9" w:rsidRPr="00EF10F9" w:rsidRDefault="00EF10F9" w:rsidP="00EF10F9">
      <w:pPr>
        <w:pStyle w:val="Bibliography"/>
        <w:rPr>
          <w:rFonts w:ascii="Arial" w:hAnsi="Arial" w:cs="Arial"/>
        </w:rPr>
      </w:pPr>
      <w:r w:rsidRPr="00EF10F9">
        <w:rPr>
          <w:rFonts w:ascii="Arial" w:hAnsi="Arial" w:cs="Arial"/>
        </w:rPr>
        <w:t>26.</w:t>
      </w:r>
      <w:r w:rsidRPr="00EF10F9">
        <w:rPr>
          <w:rFonts w:ascii="Arial" w:hAnsi="Arial" w:cs="Arial"/>
        </w:rPr>
        <w:tab/>
        <w:t xml:space="preserve">Beg S. Tenancy and clientelism. Journal of Economic Behavior &amp; Organization. 2021;186:201–26. </w:t>
      </w:r>
    </w:p>
    <w:p w14:paraId="410B7C23" w14:textId="77777777" w:rsidR="00EF10F9" w:rsidRPr="00EF10F9" w:rsidRDefault="00EF10F9" w:rsidP="00EF10F9">
      <w:pPr>
        <w:pStyle w:val="Bibliography"/>
        <w:rPr>
          <w:rFonts w:ascii="Arial" w:hAnsi="Arial" w:cs="Arial"/>
        </w:rPr>
      </w:pPr>
      <w:r w:rsidRPr="00EF10F9">
        <w:rPr>
          <w:rFonts w:ascii="Arial" w:hAnsi="Arial" w:cs="Arial"/>
        </w:rPr>
        <w:t>27.</w:t>
      </w:r>
      <w:r w:rsidRPr="00EF10F9">
        <w:rPr>
          <w:rFonts w:ascii="Arial" w:hAnsi="Arial" w:cs="Arial"/>
        </w:rPr>
        <w:tab/>
        <w:t>Bélair J. Farmland investments in Tanzania: The impact of protected domestic markets and patronage relations. World Development [Internet]. 2021;139. Available from: https://www.scopus.com/inward/record.uri?eid=2-s2.0-85097126273&amp;doi=10.1016%2fj.worlddev.2020.105298&amp;partnerID=40&amp;md5=01e98056b293fa9aa5de176f3bd41a6e</w:t>
      </w:r>
    </w:p>
    <w:p w14:paraId="70A6290C" w14:textId="77777777" w:rsidR="00EF10F9" w:rsidRPr="00EF10F9" w:rsidRDefault="00EF10F9" w:rsidP="00EF10F9">
      <w:pPr>
        <w:pStyle w:val="Bibliography"/>
        <w:rPr>
          <w:rFonts w:ascii="Arial" w:hAnsi="Arial" w:cs="Arial"/>
        </w:rPr>
      </w:pPr>
      <w:r w:rsidRPr="00EF10F9">
        <w:rPr>
          <w:rFonts w:ascii="Arial" w:hAnsi="Arial" w:cs="Arial"/>
        </w:rPr>
        <w:t>28.</w:t>
      </w:r>
      <w:r w:rsidRPr="00EF10F9">
        <w:rPr>
          <w:rFonts w:ascii="Arial" w:hAnsi="Arial" w:cs="Arial"/>
        </w:rPr>
        <w:tab/>
        <w:t>Bellemare MF, Carnes N. Why do members of congress support agricultural protection? Food Policy [Internet]. 2015;50:20–34. Available from: https://www.scopus.com/inward/record.uri?eid=2-s2.0-84909619819&amp;doi=10.1016%2fj.foodpol.2014.10.010&amp;partnerID=40&amp;md5=24c55587cab66688ee2c639409e60a28</w:t>
      </w:r>
    </w:p>
    <w:p w14:paraId="3181A580" w14:textId="77777777" w:rsidR="00EF10F9" w:rsidRPr="00EF10F9" w:rsidRDefault="00EF10F9" w:rsidP="00EF10F9">
      <w:pPr>
        <w:pStyle w:val="Bibliography"/>
        <w:rPr>
          <w:rFonts w:ascii="Arial" w:hAnsi="Arial" w:cs="Arial"/>
        </w:rPr>
      </w:pPr>
      <w:r w:rsidRPr="00EF10F9">
        <w:rPr>
          <w:rFonts w:ascii="Arial" w:hAnsi="Arial" w:cs="Arial"/>
        </w:rPr>
        <w:t>29.</w:t>
      </w:r>
      <w:r w:rsidRPr="00EF10F9">
        <w:rPr>
          <w:rFonts w:ascii="Arial" w:hAnsi="Arial" w:cs="Arial"/>
        </w:rPr>
        <w:tab/>
        <w:t>Benbrook CM, Baker BP. Perspective on dietary risk assessment of pesticide residues in organic food. Sustainability (Switzerland) [Internet]. 2014;6(6):3552–70. Available from: https://www.scopus.com/inward/record.uri?eid=2-s2.0-84904299743&amp;doi=10.3390%2fsu6063552&amp;partnerID=40&amp;md5=5cd3ac4e7acbe38aea1aacfb2b6f6dbe</w:t>
      </w:r>
    </w:p>
    <w:p w14:paraId="55B6E7F4" w14:textId="77777777" w:rsidR="00EF10F9" w:rsidRPr="00EF10F9" w:rsidRDefault="00EF10F9" w:rsidP="00EF10F9">
      <w:pPr>
        <w:pStyle w:val="Bibliography"/>
        <w:rPr>
          <w:rFonts w:ascii="Arial" w:hAnsi="Arial" w:cs="Arial"/>
        </w:rPr>
      </w:pPr>
      <w:r w:rsidRPr="00EF10F9">
        <w:rPr>
          <w:rFonts w:ascii="Arial" w:hAnsi="Arial" w:cs="Arial"/>
        </w:rPr>
        <w:t>30.</w:t>
      </w:r>
      <w:r w:rsidRPr="00EF10F9">
        <w:rPr>
          <w:rFonts w:ascii="Arial" w:hAnsi="Arial" w:cs="Arial"/>
        </w:rPr>
        <w:tab/>
        <w:t>Benjaminsen TA, Alinon K, Buhaug H, Buseth JT. Does climate change drive land-use conflicts in the sahel? Journal of Peace Research [Internet]. 2012;49(1):97–111. Available from: https://www.scopus.com/inward/record.uri?eid=2-s2.0-84856443719&amp;doi=10.1177%2f0022343311427343&amp;partnerID=40&amp;md5=c411c77f0ee8ec85e93a122f2f023216</w:t>
      </w:r>
    </w:p>
    <w:p w14:paraId="64ED6E47" w14:textId="77777777" w:rsidR="00EF10F9" w:rsidRPr="00EF10F9" w:rsidRDefault="00EF10F9" w:rsidP="00EF10F9">
      <w:pPr>
        <w:pStyle w:val="Bibliography"/>
        <w:rPr>
          <w:rFonts w:ascii="Arial" w:hAnsi="Arial" w:cs="Arial"/>
        </w:rPr>
      </w:pPr>
      <w:r w:rsidRPr="00EF10F9">
        <w:rPr>
          <w:rFonts w:ascii="Arial" w:hAnsi="Arial" w:cs="Arial"/>
        </w:rPr>
        <w:t>31.</w:t>
      </w:r>
      <w:r w:rsidRPr="00EF10F9">
        <w:rPr>
          <w:rFonts w:ascii="Arial" w:hAnsi="Arial" w:cs="Arial"/>
        </w:rPr>
        <w:tab/>
        <w:t xml:space="preserve">Benjaminsen TA, Maganga FP, Abdallah JM. The Kilosa Killings: Political Ecology of a Farmer-Herder Conflict in Tanzania. DEVELOPMENT AND CHANGE. 2009;40(3):423–45. </w:t>
      </w:r>
    </w:p>
    <w:p w14:paraId="03AC968D" w14:textId="77777777" w:rsidR="00EF10F9" w:rsidRPr="00EF10F9" w:rsidRDefault="00EF10F9" w:rsidP="00EF10F9">
      <w:pPr>
        <w:pStyle w:val="Bibliography"/>
        <w:rPr>
          <w:rFonts w:ascii="Arial" w:hAnsi="Arial" w:cs="Arial"/>
        </w:rPr>
      </w:pPr>
      <w:r w:rsidRPr="00EF10F9">
        <w:rPr>
          <w:rFonts w:ascii="Arial" w:hAnsi="Arial" w:cs="Arial"/>
        </w:rPr>
        <w:t>32.</w:t>
      </w:r>
      <w:r w:rsidRPr="00EF10F9">
        <w:rPr>
          <w:rFonts w:ascii="Arial" w:hAnsi="Arial" w:cs="Arial"/>
        </w:rPr>
        <w:tab/>
        <w:t>Bergeron H, Castel P, Saguy AC. A french paradox? Toward an Explanation of inconsistencies between Framing and Policies. French Politics, Culture and Society [Internet]. 2019;37(2):110–30. Available from: https://www.scopus.com/inward/record.uri?eid=2-s2.0-85077693808&amp;doi=10.3167%2ffpcs.2019.370205&amp;partnerID=40&amp;md5=a277ad0178deb852cebc684e56906849</w:t>
      </w:r>
    </w:p>
    <w:p w14:paraId="0F186343" w14:textId="77777777" w:rsidR="00EF10F9" w:rsidRPr="00EF10F9" w:rsidRDefault="00EF10F9" w:rsidP="00EF10F9">
      <w:pPr>
        <w:pStyle w:val="Bibliography"/>
        <w:rPr>
          <w:rFonts w:ascii="Arial" w:hAnsi="Arial" w:cs="Arial"/>
        </w:rPr>
      </w:pPr>
      <w:r w:rsidRPr="00EF10F9">
        <w:rPr>
          <w:rFonts w:ascii="Arial" w:hAnsi="Arial" w:cs="Arial"/>
        </w:rPr>
        <w:t>33.</w:t>
      </w:r>
      <w:r w:rsidRPr="00EF10F9">
        <w:rPr>
          <w:rFonts w:ascii="Arial" w:hAnsi="Arial" w:cs="Arial"/>
        </w:rPr>
        <w:tab/>
        <w:t>Beseng M. Cameroon’s choppy waters: The anatomy of fisheries crime in the maritime fisheries sector. Marine Policy [Internet]. 2019;108. Available from: https://www.scopus.com/inward/record.uri?eid=2-s2.0-</w:t>
      </w:r>
      <w:r w:rsidRPr="00EF10F9">
        <w:rPr>
          <w:rFonts w:ascii="Arial" w:hAnsi="Arial" w:cs="Arial"/>
        </w:rPr>
        <w:lastRenderedPageBreak/>
        <w:t>85071402500&amp;doi=10.1016%2fj.marpol.2019.103669&amp;partnerID=40&amp;md5=70194c1c7b40d6813e12c7146c9d5d75</w:t>
      </w:r>
    </w:p>
    <w:p w14:paraId="35A4B21E" w14:textId="77777777" w:rsidR="00EF10F9" w:rsidRPr="00EF10F9" w:rsidRDefault="00EF10F9" w:rsidP="00EF10F9">
      <w:pPr>
        <w:pStyle w:val="Bibliography"/>
        <w:rPr>
          <w:rFonts w:ascii="Arial" w:hAnsi="Arial" w:cs="Arial"/>
        </w:rPr>
      </w:pPr>
      <w:r w:rsidRPr="00EF10F9">
        <w:rPr>
          <w:rFonts w:ascii="Arial" w:hAnsi="Arial" w:cs="Arial"/>
        </w:rPr>
        <w:t>34.</w:t>
      </w:r>
      <w:r w:rsidRPr="00EF10F9">
        <w:rPr>
          <w:rFonts w:ascii="Arial" w:hAnsi="Arial" w:cs="Arial"/>
        </w:rPr>
        <w:tab/>
        <w:t>Bhuyan S. Corporate political activities and oligopoly welfare loss. Review of Industrial Organization [Internet]. 2000;17(4):411–26. Available from: https://www.scopus.com/inward/record.uri?eid=2-s2.0-0033677250&amp;doi=10.1023%2fA%3a1007843812053&amp;partnerID=40&amp;md5=d08003fb4713238c0fca2af4f4e062f1</w:t>
      </w:r>
    </w:p>
    <w:p w14:paraId="0A520C42" w14:textId="77777777" w:rsidR="00EF10F9" w:rsidRPr="00EF10F9" w:rsidRDefault="00EF10F9" w:rsidP="00EF10F9">
      <w:pPr>
        <w:pStyle w:val="Bibliography"/>
        <w:rPr>
          <w:rFonts w:ascii="Arial" w:hAnsi="Arial" w:cs="Arial"/>
        </w:rPr>
      </w:pPr>
      <w:r w:rsidRPr="00EF10F9">
        <w:rPr>
          <w:rFonts w:ascii="Arial" w:hAnsi="Arial" w:cs="Arial"/>
        </w:rPr>
        <w:t>35.</w:t>
      </w:r>
      <w:r w:rsidRPr="00EF10F9">
        <w:rPr>
          <w:rFonts w:ascii="Arial" w:hAnsi="Arial" w:cs="Arial"/>
        </w:rPr>
        <w:tab/>
        <w:t xml:space="preserve">Bimbo F, Bonanno A, Viscecchia R. An empirical framework to study food labelling fraud: an application to the Italian extra-virgin olive oil market. AUSTRALIAN JOURNAL OF AGRICULTURAL AND RESOURCE ECONOMICS. 2019;63(4):701–25. </w:t>
      </w:r>
    </w:p>
    <w:p w14:paraId="08ACEDE9" w14:textId="77777777" w:rsidR="00EF10F9" w:rsidRPr="00EF10F9" w:rsidRDefault="00EF10F9" w:rsidP="00EF10F9">
      <w:pPr>
        <w:pStyle w:val="Bibliography"/>
        <w:rPr>
          <w:rFonts w:ascii="Arial" w:hAnsi="Arial" w:cs="Arial"/>
        </w:rPr>
      </w:pPr>
      <w:r w:rsidRPr="00EF10F9">
        <w:rPr>
          <w:rFonts w:ascii="Arial" w:hAnsi="Arial" w:cs="Arial"/>
        </w:rPr>
        <w:t>36.</w:t>
      </w:r>
      <w:r w:rsidRPr="00EF10F9">
        <w:rPr>
          <w:rFonts w:ascii="Arial" w:hAnsi="Arial" w:cs="Arial"/>
        </w:rPr>
        <w:tab/>
        <w:t xml:space="preserve">Bødker M, Pisinger C, Toft U, Jørgensen T. The rise and fall of the world’s first fat tax. Health Policy. 2015;119(6):737–42. </w:t>
      </w:r>
    </w:p>
    <w:p w14:paraId="6D2FC461" w14:textId="77777777" w:rsidR="00EF10F9" w:rsidRPr="00EF10F9" w:rsidRDefault="00EF10F9" w:rsidP="00EF10F9">
      <w:pPr>
        <w:pStyle w:val="Bibliography"/>
        <w:rPr>
          <w:rFonts w:ascii="Arial" w:hAnsi="Arial" w:cs="Arial"/>
        </w:rPr>
      </w:pPr>
      <w:r w:rsidRPr="00EF10F9">
        <w:rPr>
          <w:rFonts w:ascii="Arial" w:hAnsi="Arial" w:cs="Arial"/>
        </w:rPr>
        <w:t>37.</w:t>
      </w:r>
      <w:r w:rsidRPr="00EF10F9">
        <w:rPr>
          <w:rFonts w:ascii="Arial" w:hAnsi="Arial" w:cs="Arial"/>
        </w:rPr>
        <w:tab/>
        <w:t>Boerder K, Miller NA, Worm B. Global hot spots of transshipment of fish catch at sea. Science Advances [Internet]. 2018;4(7). Available from: https://www.scopus.com/inward/record.uri?eid=2-s2.0-85050812321&amp;doi=10.1126%2fsciadv.aat7159&amp;partnerID=40&amp;md5=54ecbdfd9b5056acffba3701c466b43d</w:t>
      </w:r>
    </w:p>
    <w:p w14:paraId="5C8DBB0B" w14:textId="77777777" w:rsidR="00EF10F9" w:rsidRPr="00EF10F9" w:rsidRDefault="00EF10F9" w:rsidP="00EF10F9">
      <w:pPr>
        <w:pStyle w:val="Bibliography"/>
        <w:rPr>
          <w:rFonts w:ascii="Arial" w:hAnsi="Arial" w:cs="Arial"/>
        </w:rPr>
      </w:pPr>
      <w:r w:rsidRPr="00EF10F9">
        <w:rPr>
          <w:rFonts w:ascii="Arial" w:hAnsi="Arial" w:cs="Arial"/>
        </w:rPr>
        <w:t>38.</w:t>
      </w:r>
      <w:r w:rsidRPr="00EF10F9">
        <w:rPr>
          <w:rFonts w:ascii="Arial" w:hAnsi="Arial" w:cs="Arial"/>
        </w:rPr>
        <w:tab/>
        <w:t>Bouzembrak Y, Marvin HJP. Prediction of food fraud type using data from Rapid Alert System for Food and Feed (RASFF) and Bayesian network modelling. Food Control [Internet]. 2016;61:180–7. Available from: https://www.scopus.com/inward/record.uri?eid=2-s2.0-84943559851&amp;doi=10.1016%2fj.foodcont.2015.09.026&amp;partnerID=40&amp;md5=82a57397af175cb3ab4350b7e0518a8f</w:t>
      </w:r>
    </w:p>
    <w:p w14:paraId="444D6DF0" w14:textId="77777777" w:rsidR="00EF10F9" w:rsidRPr="00EF10F9" w:rsidRDefault="00EF10F9" w:rsidP="00EF10F9">
      <w:pPr>
        <w:pStyle w:val="Bibliography"/>
        <w:rPr>
          <w:rFonts w:ascii="Arial" w:hAnsi="Arial" w:cs="Arial"/>
        </w:rPr>
      </w:pPr>
      <w:r w:rsidRPr="00EF10F9">
        <w:rPr>
          <w:rFonts w:ascii="Arial" w:hAnsi="Arial" w:cs="Arial"/>
        </w:rPr>
        <w:t>39.</w:t>
      </w:r>
      <w:r w:rsidRPr="00EF10F9">
        <w:rPr>
          <w:rFonts w:ascii="Arial" w:hAnsi="Arial" w:cs="Arial"/>
        </w:rPr>
        <w:tab/>
        <w:t>Brock C. Partisan polarization and corporate lobbying: information, demand, and conflict. Interest Groups and Advocacy [Internet]. 2021;10(2):95–113. Available from: https://www.scopus.com/inward/record.uri?eid=2-s2.0-85100825724&amp;doi=10.1057%2fs41309-021-00112-5&amp;partnerID=40&amp;md5=74f29de0560e296cd182698dedd3a1a4</w:t>
      </w:r>
    </w:p>
    <w:p w14:paraId="697F5AF7" w14:textId="77777777" w:rsidR="00EF10F9" w:rsidRPr="00EF10F9" w:rsidRDefault="00EF10F9" w:rsidP="00EF10F9">
      <w:pPr>
        <w:pStyle w:val="Bibliography"/>
        <w:rPr>
          <w:rFonts w:ascii="Arial" w:hAnsi="Arial" w:cs="Arial"/>
        </w:rPr>
      </w:pPr>
      <w:r w:rsidRPr="00EF10F9">
        <w:rPr>
          <w:rFonts w:ascii="Arial" w:hAnsi="Arial" w:cs="Arial"/>
        </w:rPr>
        <w:t>40.</w:t>
      </w:r>
      <w:r w:rsidRPr="00EF10F9">
        <w:rPr>
          <w:rFonts w:ascii="Arial" w:hAnsi="Arial" w:cs="Arial"/>
        </w:rPr>
        <w:tab/>
        <w:t>Bromley D, Foltz J. Sustainability under siege: Transport costs and corruption on West Africa’s trade corridors. Natural Resources Forum [Internet]. 2011;35(1):32–48. Available from: https://www.scopus.com/inward/record.uri?eid=2-s2.0-79951766643&amp;doi=10.1111%2fj.1477-8947.2011.01342.x&amp;partnerID=40&amp;md5=544de2b8977c7571bbe07ec2ab5306eb</w:t>
      </w:r>
    </w:p>
    <w:p w14:paraId="55D19A35" w14:textId="77777777" w:rsidR="00EF10F9" w:rsidRPr="00EF10F9" w:rsidRDefault="00EF10F9" w:rsidP="00EF10F9">
      <w:pPr>
        <w:pStyle w:val="Bibliography"/>
        <w:rPr>
          <w:rFonts w:ascii="Arial" w:hAnsi="Arial" w:cs="Arial"/>
        </w:rPr>
      </w:pPr>
      <w:r w:rsidRPr="00EF10F9">
        <w:rPr>
          <w:rFonts w:ascii="Arial" w:hAnsi="Arial" w:cs="Arial"/>
        </w:rPr>
        <w:t>41.</w:t>
      </w:r>
      <w:r w:rsidRPr="00EF10F9">
        <w:rPr>
          <w:rFonts w:ascii="Arial" w:hAnsi="Arial" w:cs="Arial"/>
        </w:rPr>
        <w:tab/>
        <w:t xml:space="preserve">Brooks S, Elliott C, Spence M, Walsh C, Dean M. Four years post-horsegate: an update of measures and actions put in place following the horsemeat incident of 2013. NPJ SCIENCE OF FOOD. 2017;1(1). </w:t>
      </w:r>
    </w:p>
    <w:p w14:paraId="6515D358" w14:textId="77777777" w:rsidR="00EF10F9" w:rsidRPr="00EF10F9" w:rsidRDefault="00EF10F9" w:rsidP="00EF10F9">
      <w:pPr>
        <w:pStyle w:val="Bibliography"/>
        <w:rPr>
          <w:rFonts w:ascii="Arial" w:hAnsi="Arial" w:cs="Arial"/>
        </w:rPr>
      </w:pPr>
      <w:r w:rsidRPr="00EF10F9">
        <w:rPr>
          <w:rFonts w:ascii="Arial" w:hAnsi="Arial" w:cs="Arial"/>
        </w:rPr>
        <w:t>42.</w:t>
      </w:r>
      <w:r w:rsidRPr="00EF10F9">
        <w:rPr>
          <w:rFonts w:ascii="Arial" w:hAnsi="Arial" w:cs="Arial"/>
        </w:rPr>
        <w:tab/>
        <w:t>Brown T. Legislative Capture: A Critical Consideration in the Commercial Determinants of Public Health. Journal of law and medicine [Internet]. 2019;26(4):764–85. Available from: http://www.ncbi.nlm.nih.gov/pubmed/31682356</w:t>
      </w:r>
    </w:p>
    <w:p w14:paraId="1159CCFC" w14:textId="77777777" w:rsidR="00EF10F9" w:rsidRPr="00EF10F9" w:rsidRDefault="00EF10F9" w:rsidP="00EF10F9">
      <w:pPr>
        <w:pStyle w:val="Bibliography"/>
        <w:rPr>
          <w:rFonts w:ascii="Arial" w:hAnsi="Arial" w:cs="Arial"/>
        </w:rPr>
      </w:pPr>
      <w:r w:rsidRPr="00EF10F9">
        <w:rPr>
          <w:rFonts w:ascii="Arial" w:hAnsi="Arial" w:cs="Arial"/>
        </w:rPr>
        <w:t>43.</w:t>
      </w:r>
      <w:r w:rsidRPr="00EF10F9">
        <w:rPr>
          <w:rFonts w:ascii="Arial" w:hAnsi="Arial" w:cs="Arial"/>
        </w:rPr>
        <w:tab/>
        <w:t>Bulte EH, Damania R, López R. On the gains of committing to inefficiency: Corruption, deforestation and low land productivity in Latin America. Journal of Environmental Economics and Management [Internet]. 2007;54(3):277–95. Available from: https://www.scopus.com/inward/record.uri?eid=2-s2.0-35549011056&amp;doi=10.1016%2fj.jeem.2007.05.002&amp;partnerID=40&amp;md5=7c76830d31c42bc602b72e76802c8d08</w:t>
      </w:r>
    </w:p>
    <w:p w14:paraId="3D19963F" w14:textId="77777777" w:rsidR="00EF10F9" w:rsidRPr="00EF10F9" w:rsidRDefault="00EF10F9" w:rsidP="00EF10F9">
      <w:pPr>
        <w:pStyle w:val="Bibliography"/>
        <w:rPr>
          <w:rFonts w:ascii="Arial" w:hAnsi="Arial" w:cs="Arial"/>
        </w:rPr>
      </w:pPr>
      <w:r w:rsidRPr="00EF10F9">
        <w:rPr>
          <w:rFonts w:ascii="Arial" w:hAnsi="Arial" w:cs="Arial"/>
        </w:rPr>
        <w:lastRenderedPageBreak/>
        <w:t>44.</w:t>
      </w:r>
      <w:r w:rsidRPr="00EF10F9">
        <w:rPr>
          <w:rFonts w:ascii="Arial" w:hAnsi="Arial" w:cs="Arial"/>
        </w:rPr>
        <w:tab/>
        <w:t>Bumblauskas D, Mann A, Dugan B, Rittmer J. A blockchain use case in food distribution: Do you know where your food has been? International Journal of Information Management [Internet]. 2020;52. Available from: https://www.scopus.com/inward/record.uri?eid=2-s2.0-85073210750&amp;doi=10.1016%2fj.ijinfomgt.2019.09.004&amp;partnerID=40&amp;md5=c8a6bbb3ab5b3d6906056184bda70556</w:t>
      </w:r>
    </w:p>
    <w:p w14:paraId="19A5B94B" w14:textId="77777777" w:rsidR="00EF10F9" w:rsidRPr="00EF10F9" w:rsidRDefault="00EF10F9" w:rsidP="00EF10F9">
      <w:pPr>
        <w:pStyle w:val="Bibliography"/>
        <w:rPr>
          <w:rFonts w:ascii="Arial" w:hAnsi="Arial" w:cs="Arial"/>
        </w:rPr>
      </w:pPr>
      <w:r w:rsidRPr="00EF10F9">
        <w:rPr>
          <w:rFonts w:ascii="Arial" w:hAnsi="Arial" w:cs="Arial"/>
        </w:rPr>
        <w:t>45.</w:t>
      </w:r>
      <w:r w:rsidRPr="00EF10F9">
        <w:rPr>
          <w:rFonts w:ascii="Arial" w:hAnsi="Arial" w:cs="Arial"/>
        </w:rPr>
        <w:tab/>
        <w:t>Burlandy L, Prado Alexandre-Weiss V, Silva Canella D, Feldenheimer Da Silva AC, Maranha Paes De Carvalho C, Rugani Ribeiro De Castro I. Obesity agenda in Brazil, conflicts of interest and corporate activity. Health Promotion International [Internet]. 2021;36(4):1186–97. Available from: https://www.scopus.com/inward/record.uri?eid=2-s2.0-85115005260&amp;doi=10.1093%2fheapro%2fdaaa085&amp;partnerID=40&amp;md5=90cdce5cec08a883b7dfba80f98b21c5</w:t>
      </w:r>
    </w:p>
    <w:p w14:paraId="05C233E3" w14:textId="77777777" w:rsidR="00EF10F9" w:rsidRPr="00EF10F9" w:rsidRDefault="00EF10F9" w:rsidP="00EF10F9">
      <w:pPr>
        <w:pStyle w:val="Bibliography"/>
        <w:rPr>
          <w:rFonts w:ascii="Arial" w:hAnsi="Arial" w:cs="Arial"/>
        </w:rPr>
      </w:pPr>
      <w:r w:rsidRPr="00EF10F9">
        <w:rPr>
          <w:rFonts w:ascii="Arial" w:hAnsi="Arial" w:cs="Arial"/>
        </w:rPr>
        <w:t>46.</w:t>
      </w:r>
      <w:r w:rsidRPr="00EF10F9">
        <w:rPr>
          <w:rFonts w:ascii="Arial" w:hAnsi="Arial" w:cs="Arial"/>
        </w:rPr>
        <w:tab/>
        <w:t>Campbell I, Tranfaglia MA, Tham JC, Boese M. Precarious work and the reluctance to complain: Italian temporary migrant workers in Australia. Labour and Industry [Internet]. 2019 Jan 2;29(1):98–117. Available from: https://doi.org/10.1080/10301763.2018.1558895</w:t>
      </w:r>
    </w:p>
    <w:p w14:paraId="064D4371" w14:textId="77777777" w:rsidR="00EF10F9" w:rsidRPr="00EF10F9" w:rsidRDefault="00EF10F9" w:rsidP="00EF10F9">
      <w:pPr>
        <w:pStyle w:val="Bibliography"/>
        <w:rPr>
          <w:rFonts w:ascii="Arial" w:hAnsi="Arial" w:cs="Arial"/>
        </w:rPr>
      </w:pPr>
      <w:r w:rsidRPr="00EF10F9">
        <w:rPr>
          <w:rFonts w:ascii="Arial" w:hAnsi="Arial" w:cs="Arial"/>
        </w:rPr>
        <w:t>47.</w:t>
      </w:r>
      <w:r w:rsidRPr="00EF10F9">
        <w:rPr>
          <w:rFonts w:ascii="Arial" w:hAnsi="Arial" w:cs="Arial"/>
        </w:rPr>
        <w:tab/>
        <w:t>Carey R, Caraher M, Lawrence M, Friel S. Opportunities and challenges in developing a whole-of-government national food and nutrition policy: Lessons from Australia’s National Food Plan. Public Health Nutrition [Internet]. 2016;19(1):3–14. Available from: https://www.scopus.com/inward/record.uri?eid=2-s2.0-84930986975&amp;doi=10.1017%2fS1368980015001834&amp;partnerID=40&amp;md5=4c4845602329c471eef1ad32f608fbd3</w:t>
      </w:r>
    </w:p>
    <w:p w14:paraId="5D20ED76" w14:textId="77777777" w:rsidR="00EF10F9" w:rsidRPr="00EF10F9" w:rsidRDefault="00EF10F9" w:rsidP="00EF10F9">
      <w:pPr>
        <w:pStyle w:val="Bibliography"/>
        <w:rPr>
          <w:rFonts w:ascii="Arial" w:hAnsi="Arial" w:cs="Arial"/>
        </w:rPr>
      </w:pPr>
      <w:r w:rsidRPr="00EF10F9">
        <w:rPr>
          <w:rFonts w:ascii="Arial" w:hAnsi="Arial" w:cs="Arial"/>
        </w:rPr>
        <w:t>48.</w:t>
      </w:r>
      <w:r w:rsidRPr="00EF10F9">
        <w:rPr>
          <w:rFonts w:ascii="Arial" w:hAnsi="Arial" w:cs="Arial"/>
        </w:rPr>
        <w:tab/>
        <w:t>Carrero GC, Fearnside PM, do Valle DR, de Souza Alves C. Deforestation Trajectories on a Development Frontier in the Brazilian Amazon: 35 Years of Settlement Colonization, Policy and Economic Shifts, and Land Accumulation. Environmental Management [Internet]. 2020;66(6):966–84. Available from: https://www.scopus.com/inward/record.uri?eid=2-s2.0-85091080983&amp;doi=10.1007%2fs00267-020-01354-w&amp;partnerID=40&amp;md5=83793bd2c7901b5151b805c69968dd1a</w:t>
      </w:r>
    </w:p>
    <w:p w14:paraId="5342B689" w14:textId="77777777" w:rsidR="00EF10F9" w:rsidRPr="00EF10F9" w:rsidRDefault="00EF10F9" w:rsidP="00EF10F9">
      <w:pPr>
        <w:pStyle w:val="Bibliography"/>
        <w:rPr>
          <w:rFonts w:ascii="Arial" w:hAnsi="Arial" w:cs="Arial"/>
        </w:rPr>
      </w:pPr>
      <w:r w:rsidRPr="00EF10F9">
        <w:rPr>
          <w:rFonts w:ascii="Arial" w:hAnsi="Arial" w:cs="Arial"/>
        </w:rPr>
        <w:t>49.</w:t>
      </w:r>
      <w:r w:rsidRPr="00EF10F9">
        <w:rPr>
          <w:rFonts w:ascii="Arial" w:hAnsi="Arial" w:cs="Arial"/>
        </w:rPr>
        <w:tab/>
        <w:t>Chang SC. The effects of trade liberalization on environmental degradation. Quality and Quantity [Internet]. 2015;49(1):235–53. Available from: https://www.scopus.com/inward/record.uri?eid=2-s2.0-84890462409&amp;doi=10.1007%2fs11135-013-9984-4&amp;partnerID=40&amp;md5=91b0cb8c201e4875f02ad2dd68b986a3</w:t>
      </w:r>
    </w:p>
    <w:p w14:paraId="41618A79" w14:textId="77777777" w:rsidR="00EF10F9" w:rsidRPr="00EF10F9" w:rsidRDefault="00EF10F9" w:rsidP="00EF10F9">
      <w:pPr>
        <w:pStyle w:val="Bibliography"/>
        <w:rPr>
          <w:rFonts w:ascii="Arial" w:hAnsi="Arial" w:cs="Arial"/>
        </w:rPr>
      </w:pPr>
      <w:r w:rsidRPr="00EF10F9">
        <w:rPr>
          <w:rFonts w:ascii="Arial" w:hAnsi="Arial" w:cs="Arial"/>
        </w:rPr>
        <w:t>50.</w:t>
      </w:r>
      <w:r w:rsidRPr="00EF10F9">
        <w:rPr>
          <w:rFonts w:ascii="Arial" w:hAnsi="Arial" w:cs="Arial"/>
        </w:rPr>
        <w:tab/>
        <w:t xml:space="preserve">Chapsos I, Hamilton S. Illegal fishing and fisheries crime as a transnational organized crime in Indonesia. TRENDS IN ORGANIZED CRIME. 2019;22(3):255–73. </w:t>
      </w:r>
    </w:p>
    <w:p w14:paraId="560A2297" w14:textId="77777777" w:rsidR="00EF10F9" w:rsidRPr="00EF10F9" w:rsidRDefault="00EF10F9" w:rsidP="00EF10F9">
      <w:pPr>
        <w:pStyle w:val="Bibliography"/>
        <w:rPr>
          <w:rFonts w:ascii="Arial" w:hAnsi="Arial" w:cs="Arial"/>
        </w:rPr>
      </w:pPr>
      <w:r w:rsidRPr="00EF10F9">
        <w:rPr>
          <w:rFonts w:ascii="Arial" w:hAnsi="Arial" w:cs="Arial"/>
        </w:rPr>
        <w:t>51.</w:t>
      </w:r>
      <w:r w:rsidRPr="00EF10F9">
        <w:rPr>
          <w:rFonts w:ascii="Arial" w:hAnsi="Arial" w:cs="Arial"/>
        </w:rPr>
        <w:tab/>
        <w:t>Che FN, Strang KD, Vajjhala NR. Voice of farmers in the agriculture crisis in North-East Nigeria: Focus group insights from extension workers. International Journal of Development Issues [Internet]. 2020;19(1):43–61. Available from: https://www.scopus.com/inward/record.uri?eid=2-s2.0-85078895967&amp;doi=10.1108%2fIJDI-08-2019-0136&amp;partnerID=40&amp;md5=277b8ea19a07230cf4448fdbbf23b776</w:t>
      </w:r>
    </w:p>
    <w:p w14:paraId="5DDDE481" w14:textId="77777777" w:rsidR="00EF10F9" w:rsidRPr="00EF10F9" w:rsidRDefault="00EF10F9" w:rsidP="00EF10F9">
      <w:pPr>
        <w:pStyle w:val="Bibliography"/>
        <w:rPr>
          <w:rFonts w:ascii="Arial" w:hAnsi="Arial" w:cs="Arial"/>
        </w:rPr>
      </w:pPr>
      <w:r w:rsidRPr="00EF10F9">
        <w:rPr>
          <w:rFonts w:ascii="Arial" w:hAnsi="Arial" w:cs="Arial"/>
        </w:rPr>
        <w:t>52.</w:t>
      </w:r>
      <w:r w:rsidRPr="00EF10F9">
        <w:rPr>
          <w:rFonts w:ascii="Arial" w:hAnsi="Arial" w:cs="Arial"/>
        </w:rPr>
        <w:tab/>
        <w:t xml:space="preserve">Cheng H. Cheap capitalism: A sociological study of food crime in China. British Journal of Criminology. 2012;52(2):254–73. </w:t>
      </w:r>
    </w:p>
    <w:p w14:paraId="2494070D" w14:textId="77777777" w:rsidR="00EF10F9" w:rsidRPr="00EF10F9" w:rsidRDefault="00EF10F9" w:rsidP="00EF10F9">
      <w:pPr>
        <w:pStyle w:val="Bibliography"/>
        <w:rPr>
          <w:rFonts w:ascii="Arial" w:hAnsi="Arial" w:cs="Arial"/>
        </w:rPr>
      </w:pPr>
      <w:r w:rsidRPr="00EF10F9">
        <w:rPr>
          <w:rFonts w:ascii="Arial" w:hAnsi="Arial" w:cs="Arial"/>
        </w:rPr>
        <w:lastRenderedPageBreak/>
        <w:t>53.</w:t>
      </w:r>
      <w:r w:rsidRPr="00EF10F9">
        <w:rPr>
          <w:rFonts w:ascii="Arial" w:hAnsi="Arial" w:cs="Arial"/>
        </w:rPr>
        <w:tab/>
        <w:t>Chilombo A. Multilevel governance of large-scale land acquisitions: a case study of the institutional politics of scale of the farm block program in Zambia. Land Use Policy [Internet]. 2021;107. Available from: https://www.scopus.com/inward/record.uri?eid=2-s2.0-85105320007&amp;doi=10.1016%2fj.landusepol.2021.105518&amp;partnerID=40&amp;md5=ff9081570dc64483752c81925f5aab4b</w:t>
      </w:r>
    </w:p>
    <w:p w14:paraId="5DDF3D8F" w14:textId="77777777" w:rsidR="00EF10F9" w:rsidRPr="00EF10F9" w:rsidRDefault="00EF10F9" w:rsidP="00EF10F9">
      <w:pPr>
        <w:pStyle w:val="Bibliography"/>
        <w:rPr>
          <w:rFonts w:ascii="Arial" w:hAnsi="Arial" w:cs="Arial"/>
        </w:rPr>
      </w:pPr>
      <w:r w:rsidRPr="00EF10F9">
        <w:rPr>
          <w:rFonts w:ascii="Arial" w:hAnsi="Arial" w:cs="Arial"/>
        </w:rPr>
        <w:t>54.</w:t>
      </w:r>
      <w:r w:rsidRPr="00EF10F9">
        <w:rPr>
          <w:rFonts w:ascii="Arial" w:hAnsi="Arial" w:cs="Arial"/>
        </w:rPr>
        <w:tab/>
        <w:t>Chirwa WC. Land use and extension services at wovwe rice scheme, Malawi. Development Southern Africa [Internet]. 2002;19(2):307–27. Available from: https://www.scopus.com/inward/record.uri?eid=2-s2.0-0036061958&amp;doi=10.1080%2f03768350020013543&amp;partnerID=40&amp;md5=f2e1a2395617e6239ad9174862b3953a</w:t>
      </w:r>
    </w:p>
    <w:p w14:paraId="58498DDC" w14:textId="77777777" w:rsidR="00EF10F9" w:rsidRPr="00EF10F9" w:rsidRDefault="00EF10F9" w:rsidP="00EF10F9">
      <w:pPr>
        <w:pStyle w:val="Bibliography"/>
        <w:rPr>
          <w:rFonts w:ascii="Arial" w:hAnsi="Arial" w:cs="Arial"/>
        </w:rPr>
      </w:pPr>
      <w:r w:rsidRPr="00EF10F9">
        <w:rPr>
          <w:rFonts w:ascii="Arial" w:hAnsi="Arial" w:cs="Arial"/>
        </w:rPr>
        <w:t>55.</w:t>
      </w:r>
      <w:r w:rsidRPr="00EF10F9">
        <w:rPr>
          <w:rFonts w:ascii="Arial" w:hAnsi="Arial" w:cs="Arial"/>
        </w:rPr>
        <w:tab/>
        <w:t>Chukwuone NA, Agwu AE, Ozor N. Constraints and strategies toward effective cost-sharing of agricultural technology delivery in Nigeria. Journal of international agricultural and extension education [Internet]. 2006;13(1):29–42. Available from: http://ezproxy.library.yorku.ca/login?url=https://search.proquest.com/docview/36441582?accountid=15182</w:t>
      </w:r>
    </w:p>
    <w:p w14:paraId="18D414E1" w14:textId="77777777" w:rsidR="00EF10F9" w:rsidRPr="00EF10F9" w:rsidRDefault="00EF10F9" w:rsidP="00EF10F9">
      <w:pPr>
        <w:pStyle w:val="Bibliography"/>
        <w:rPr>
          <w:rFonts w:ascii="Arial" w:hAnsi="Arial" w:cs="Arial"/>
        </w:rPr>
      </w:pPr>
      <w:r w:rsidRPr="00EF10F9">
        <w:rPr>
          <w:rFonts w:ascii="Arial" w:hAnsi="Arial" w:cs="Arial"/>
        </w:rPr>
        <w:t>56.</w:t>
      </w:r>
      <w:r w:rsidRPr="00EF10F9">
        <w:rPr>
          <w:rFonts w:ascii="Arial" w:hAnsi="Arial" w:cs="Arial"/>
        </w:rPr>
        <w:tab/>
        <w:t xml:space="preserve">Cisneros-Montemayor AM, Cisneros-Mata MA, Harper S, Pauly D. Extent and implications of IUU catch in Mexico’s marine fisheries. MARINE POLICY. 2013;39:283–8. </w:t>
      </w:r>
    </w:p>
    <w:p w14:paraId="1B31BB0E" w14:textId="77777777" w:rsidR="00EF10F9" w:rsidRPr="00EF10F9" w:rsidRDefault="00EF10F9" w:rsidP="00EF10F9">
      <w:pPr>
        <w:pStyle w:val="Bibliography"/>
        <w:rPr>
          <w:rFonts w:ascii="Arial" w:hAnsi="Arial" w:cs="Arial"/>
        </w:rPr>
      </w:pPr>
      <w:r w:rsidRPr="00EF10F9">
        <w:rPr>
          <w:rFonts w:ascii="Arial" w:hAnsi="Arial" w:cs="Arial"/>
        </w:rPr>
        <w:t>57.</w:t>
      </w:r>
      <w:r w:rsidRPr="00EF10F9">
        <w:rPr>
          <w:rFonts w:ascii="Arial" w:hAnsi="Arial" w:cs="Arial"/>
        </w:rPr>
        <w:tab/>
        <w:t>Cissokho L, Haughton J, Makpayo K, Seck A. Why is agricultural trade within ECOWAS so high? Journal of African Economies [Internet]. 2013;22(1):22–51. Available from: https://www.scopus.com/inward/record.uri?eid=2-s2.0-84871596684&amp;doi=10.1093%2fjae%2fejs015&amp;partnerID=40&amp;md5=875203fb72b4fb73963094cf3ae617bd</w:t>
      </w:r>
    </w:p>
    <w:p w14:paraId="5DE1CE38" w14:textId="77777777" w:rsidR="00EF10F9" w:rsidRPr="00EF10F9" w:rsidRDefault="00EF10F9" w:rsidP="00EF10F9">
      <w:pPr>
        <w:pStyle w:val="Bibliography"/>
        <w:rPr>
          <w:rFonts w:ascii="Arial" w:hAnsi="Arial" w:cs="Arial"/>
        </w:rPr>
      </w:pPr>
      <w:r w:rsidRPr="00EF10F9">
        <w:rPr>
          <w:rFonts w:ascii="Arial" w:hAnsi="Arial" w:cs="Arial"/>
        </w:rPr>
        <w:t>58.</w:t>
      </w:r>
      <w:r w:rsidRPr="00EF10F9">
        <w:rPr>
          <w:rFonts w:ascii="Arial" w:hAnsi="Arial" w:cs="Arial"/>
        </w:rPr>
        <w:tab/>
        <w:t>Collins R, Sun X. China’s grey channels as access points for foreign food products to the Chinese domestic market. China Information [Internet]. 2010;24(1):61–74. Available from: https://www.scopus.com/inward/record.uri?eid=2-s2.0-77749283153&amp;doi=10.1177%2f0920203X09354962&amp;partnerID=40&amp;md5=4e1302c267323ad73243b452cb343b7d</w:t>
      </w:r>
    </w:p>
    <w:p w14:paraId="3AB114C8" w14:textId="77777777" w:rsidR="00EF10F9" w:rsidRPr="00EF10F9" w:rsidRDefault="00EF10F9" w:rsidP="00EF10F9">
      <w:pPr>
        <w:pStyle w:val="Bibliography"/>
        <w:rPr>
          <w:rFonts w:ascii="Arial" w:hAnsi="Arial" w:cs="Arial"/>
        </w:rPr>
      </w:pPr>
      <w:r w:rsidRPr="00EF10F9">
        <w:rPr>
          <w:rFonts w:ascii="Arial" w:hAnsi="Arial" w:cs="Arial"/>
        </w:rPr>
        <w:t>59.</w:t>
      </w:r>
      <w:r w:rsidRPr="00EF10F9">
        <w:rPr>
          <w:rFonts w:ascii="Arial" w:hAnsi="Arial" w:cs="Arial"/>
        </w:rPr>
        <w:tab/>
        <w:t>Dandurand G. When Biopolitics Turn Digital: Transparency, Corruption, and Erasures from the Infrastructure of Rationing in Delhi. Political and Legal Anthropology Review [Internet]. 2019;42(2):268–82. Available from: http://ezproxy.library.yorku.ca/login?url=https://search.proquest.com/docview/2328359074?accountid=15182</w:t>
      </w:r>
    </w:p>
    <w:p w14:paraId="36771FB6" w14:textId="77777777" w:rsidR="00EF10F9" w:rsidRPr="00EF10F9" w:rsidRDefault="00EF10F9" w:rsidP="00EF10F9">
      <w:pPr>
        <w:pStyle w:val="Bibliography"/>
        <w:rPr>
          <w:rFonts w:ascii="Arial" w:hAnsi="Arial" w:cs="Arial"/>
        </w:rPr>
      </w:pPr>
      <w:r w:rsidRPr="00EF10F9">
        <w:rPr>
          <w:rFonts w:ascii="Arial" w:hAnsi="Arial" w:cs="Arial"/>
        </w:rPr>
        <w:t>60.</w:t>
      </w:r>
      <w:r w:rsidRPr="00EF10F9">
        <w:rPr>
          <w:rFonts w:ascii="Arial" w:hAnsi="Arial" w:cs="Arial"/>
        </w:rPr>
        <w:tab/>
        <w:t>Davies J, Ollus N. Labour exploitation as corporate crime and harm: outsourcing responsibility in food production and cleaning services supply chains. Crime, Law and Social Change [Internet]. 2019;72(1):87–106. Available from: https://www.scopus.com/inward/record.uri?eid=2-s2.0-85066156711&amp;doi=10.1007%2fs10611-019-09841-w&amp;partnerID=40&amp;md5=91b575ba66484fe352c384ac5949e511</w:t>
      </w:r>
    </w:p>
    <w:p w14:paraId="130867E8" w14:textId="77777777" w:rsidR="00EF10F9" w:rsidRPr="00EF10F9" w:rsidRDefault="00EF10F9" w:rsidP="00EF10F9">
      <w:pPr>
        <w:pStyle w:val="Bibliography"/>
        <w:rPr>
          <w:rFonts w:ascii="Arial" w:hAnsi="Arial" w:cs="Arial"/>
        </w:rPr>
      </w:pPr>
      <w:r w:rsidRPr="00EF10F9">
        <w:rPr>
          <w:rFonts w:ascii="Arial" w:hAnsi="Arial" w:cs="Arial"/>
        </w:rPr>
        <w:t>61.</w:t>
      </w:r>
      <w:r w:rsidRPr="00EF10F9">
        <w:rPr>
          <w:rFonts w:ascii="Arial" w:hAnsi="Arial" w:cs="Arial"/>
        </w:rPr>
        <w:tab/>
        <w:t xml:space="preserve">Davies J. Corporate harm and embedded labour exploitation in agri-food supply networks. European Journal of Criminology. 2020;17(1):70–85. </w:t>
      </w:r>
    </w:p>
    <w:p w14:paraId="4486DA24" w14:textId="77777777" w:rsidR="00EF10F9" w:rsidRPr="00EF10F9" w:rsidRDefault="00EF10F9" w:rsidP="00EF10F9">
      <w:pPr>
        <w:pStyle w:val="Bibliography"/>
        <w:rPr>
          <w:rFonts w:ascii="Arial" w:hAnsi="Arial" w:cs="Arial"/>
        </w:rPr>
      </w:pPr>
      <w:r w:rsidRPr="00EF10F9">
        <w:rPr>
          <w:rFonts w:ascii="Arial" w:hAnsi="Arial" w:cs="Arial"/>
        </w:rPr>
        <w:t>62.</w:t>
      </w:r>
      <w:r w:rsidRPr="00EF10F9">
        <w:rPr>
          <w:rFonts w:ascii="Arial" w:hAnsi="Arial" w:cs="Arial"/>
        </w:rPr>
        <w:tab/>
        <w:t xml:space="preserve">De Rosa M, Trabalzi F. Everybody does it, or how illegality is socially constructed in a southern Italian food network. JOURNAL OF RURAL STUDIES. 2016;45:303–11. </w:t>
      </w:r>
    </w:p>
    <w:p w14:paraId="046B6D06" w14:textId="77777777" w:rsidR="00EF10F9" w:rsidRPr="00EF10F9" w:rsidRDefault="00EF10F9" w:rsidP="00EF10F9">
      <w:pPr>
        <w:pStyle w:val="Bibliography"/>
        <w:rPr>
          <w:rFonts w:ascii="Arial" w:hAnsi="Arial" w:cs="Arial"/>
        </w:rPr>
      </w:pPr>
      <w:r w:rsidRPr="00EF10F9">
        <w:rPr>
          <w:rFonts w:ascii="Arial" w:hAnsi="Arial" w:cs="Arial"/>
        </w:rPr>
        <w:lastRenderedPageBreak/>
        <w:t>63.</w:t>
      </w:r>
      <w:r w:rsidRPr="00EF10F9">
        <w:rPr>
          <w:rFonts w:ascii="Arial" w:hAnsi="Arial" w:cs="Arial"/>
        </w:rPr>
        <w:tab/>
        <w:t xml:space="preserve">Deshingkar P, Johnson C, Farrington J. State transfers to the poor and back: The case of the food-for-work program in India. WORLD DEVELOPMENT. 2005;33(4):575–91. </w:t>
      </w:r>
    </w:p>
    <w:p w14:paraId="28423FC5" w14:textId="77777777" w:rsidR="00EF10F9" w:rsidRPr="00EF10F9" w:rsidRDefault="00EF10F9" w:rsidP="00EF10F9">
      <w:pPr>
        <w:pStyle w:val="Bibliography"/>
        <w:rPr>
          <w:rFonts w:ascii="Arial" w:hAnsi="Arial" w:cs="Arial"/>
        </w:rPr>
      </w:pPr>
      <w:r w:rsidRPr="00EF10F9">
        <w:rPr>
          <w:rFonts w:ascii="Arial" w:hAnsi="Arial" w:cs="Arial"/>
        </w:rPr>
        <w:t>64.</w:t>
      </w:r>
      <w:r w:rsidRPr="00EF10F9">
        <w:rPr>
          <w:rFonts w:ascii="Arial" w:hAnsi="Arial" w:cs="Arial"/>
        </w:rPr>
        <w:tab/>
        <w:t>Dodson EA, Fleming C, Boehmer TK, Haire-Joshu D, Luke DA, Brownson RC. Preventing childhood obesity through state policy: Qualitative assessment of enablers and barriers. Journal of Public Health Policy [Internet]. 2009;30(SUPPL. 1):S161–76. Available from: https://www.scopus.com/inward/record.uri?eid=2-s2.0-59849121321&amp;doi=10.1057%2fjphp.2008.57&amp;partnerID=40&amp;md5=2430d1f7f9e68cfde7a852030fa1c0c9</w:t>
      </w:r>
    </w:p>
    <w:p w14:paraId="10953213" w14:textId="77777777" w:rsidR="00EF10F9" w:rsidRPr="00EF10F9" w:rsidRDefault="00EF10F9" w:rsidP="00EF10F9">
      <w:pPr>
        <w:pStyle w:val="Bibliography"/>
        <w:rPr>
          <w:rFonts w:ascii="Arial" w:hAnsi="Arial" w:cs="Arial"/>
        </w:rPr>
      </w:pPr>
      <w:r w:rsidRPr="00EF10F9">
        <w:rPr>
          <w:rFonts w:ascii="Arial" w:hAnsi="Arial" w:cs="Arial"/>
        </w:rPr>
        <w:t>65.</w:t>
      </w:r>
      <w:r w:rsidRPr="00EF10F9">
        <w:rPr>
          <w:rFonts w:ascii="Arial" w:hAnsi="Arial" w:cs="Arial"/>
        </w:rPr>
        <w:tab/>
        <w:t>Ebewore SO. Farmers’ perception of the state of infrastructure on agricultural production in Delta state, Nigeria. Rural Society [Internet]. 2021;30(1):32–44. Available from: https://www.scopus.com/inward/record.uri?eid=2-s2.0-85102686120&amp;doi=10.1080%2f10371656.2021.1897239&amp;partnerID=40&amp;md5=f1a5761eabebd0397b17aa2cf24deb51</w:t>
      </w:r>
    </w:p>
    <w:p w14:paraId="46AEBDA5" w14:textId="77777777" w:rsidR="00EF10F9" w:rsidRPr="00EF10F9" w:rsidRDefault="00EF10F9" w:rsidP="00EF10F9">
      <w:pPr>
        <w:pStyle w:val="Bibliography"/>
        <w:rPr>
          <w:rFonts w:ascii="Arial" w:hAnsi="Arial" w:cs="Arial"/>
        </w:rPr>
      </w:pPr>
      <w:r w:rsidRPr="00EF10F9">
        <w:rPr>
          <w:rFonts w:ascii="Arial" w:hAnsi="Arial" w:cs="Arial"/>
        </w:rPr>
        <w:t>66.</w:t>
      </w:r>
      <w:r w:rsidRPr="00EF10F9">
        <w:rPr>
          <w:rFonts w:ascii="Arial" w:hAnsi="Arial" w:cs="Arial"/>
        </w:rPr>
        <w:tab/>
        <w:t xml:space="preserve">Ekbom A, Knutsson P, Ovuka M. Is sustainable development based on agriculture attainable in Kenya? A multidisciplinary case study of Muranga district. LAND DEGRADATION &amp; DEVELOPMENT. 2001;12(5):435–47. </w:t>
      </w:r>
    </w:p>
    <w:p w14:paraId="38AE4C5E" w14:textId="77777777" w:rsidR="00EF10F9" w:rsidRPr="00EF10F9" w:rsidRDefault="00EF10F9" w:rsidP="00EF10F9">
      <w:pPr>
        <w:pStyle w:val="Bibliography"/>
        <w:rPr>
          <w:rFonts w:ascii="Arial" w:hAnsi="Arial" w:cs="Arial"/>
        </w:rPr>
      </w:pPr>
      <w:r w:rsidRPr="00EF10F9">
        <w:rPr>
          <w:rFonts w:ascii="Arial" w:hAnsi="Arial" w:cs="Arial"/>
        </w:rPr>
        <w:t>67.</w:t>
      </w:r>
      <w:r w:rsidRPr="00EF10F9">
        <w:rPr>
          <w:rFonts w:ascii="Arial" w:hAnsi="Arial" w:cs="Arial"/>
        </w:rPr>
        <w:tab/>
        <w:t>Elsen S, Fazzi L. Extending the concept of social farming: Rural development and the fight against organized crime in disadvantaged areas of southern Italy. Journal of Rural Studies [Internet]. 2021;84:100–7. Available from: https://www.scopus.com/inward/record.uri?eid=2-s2.0-85103644837&amp;doi=10.1016%2fj.jrurstud.2021.03.009&amp;partnerID=40&amp;md5=9c46682513c622b3b85761a7fc7f40c1</w:t>
      </w:r>
    </w:p>
    <w:p w14:paraId="11B47B6E" w14:textId="77777777" w:rsidR="00EF10F9" w:rsidRPr="00EF10F9" w:rsidRDefault="00EF10F9" w:rsidP="00EF10F9">
      <w:pPr>
        <w:pStyle w:val="Bibliography"/>
        <w:rPr>
          <w:rFonts w:ascii="Arial" w:hAnsi="Arial" w:cs="Arial"/>
        </w:rPr>
      </w:pPr>
      <w:r w:rsidRPr="00EF10F9">
        <w:rPr>
          <w:rFonts w:ascii="Arial" w:hAnsi="Arial" w:cs="Arial"/>
        </w:rPr>
        <w:t>68.</w:t>
      </w:r>
      <w:r w:rsidRPr="00EF10F9">
        <w:rPr>
          <w:rFonts w:ascii="Arial" w:hAnsi="Arial" w:cs="Arial"/>
        </w:rPr>
        <w:tab/>
        <w:t>Evans O, Alenoghena R. Corruption Effects on Nigeria: Aggregate and Sectoral Estimates Using VAR. Journal of Economic and Financial Studies [Internet]. 2015;3(3):41–8. Available from: https://search.ebscohost.com/login.aspx?direct=true&amp;db=ecn&amp;AN=1632667&amp;site=ehost-live</w:t>
      </w:r>
    </w:p>
    <w:p w14:paraId="53EFF72A" w14:textId="77777777" w:rsidR="00EF10F9" w:rsidRPr="00EF10F9" w:rsidRDefault="00EF10F9" w:rsidP="00EF10F9">
      <w:pPr>
        <w:pStyle w:val="Bibliography"/>
        <w:rPr>
          <w:rFonts w:ascii="Arial" w:hAnsi="Arial" w:cs="Arial"/>
        </w:rPr>
      </w:pPr>
      <w:r w:rsidRPr="00EF10F9">
        <w:rPr>
          <w:rFonts w:ascii="Arial" w:hAnsi="Arial" w:cs="Arial"/>
        </w:rPr>
        <w:t>69.</w:t>
      </w:r>
      <w:r w:rsidRPr="00EF10F9">
        <w:rPr>
          <w:rFonts w:ascii="Arial" w:hAnsi="Arial" w:cs="Arial"/>
        </w:rPr>
        <w:tab/>
        <w:t>Fazzi L, Elsen S. Actors in social agriculture cooperatives combating organized crime in southern italy: Cultivating the ground. Sustainability (Switzerland) [Internet]. 2020;12(21):1–11. Available from: https://www.scopus.com/inward/record.uri?eid=2-s2.0-85097776396&amp;doi=10.3390%2fsu12219257&amp;partnerID=40&amp;md5=92b7b846f7a3662329c2d322db49b0e1</w:t>
      </w:r>
    </w:p>
    <w:p w14:paraId="37E9D5AF" w14:textId="77777777" w:rsidR="00EF10F9" w:rsidRPr="00EF10F9" w:rsidRDefault="00EF10F9" w:rsidP="00EF10F9">
      <w:pPr>
        <w:pStyle w:val="Bibliography"/>
        <w:rPr>
          <w:rFonts w:ascii="Arial" w:hAnsi="Arial" w:cs="Arial"/>
        </w:rPr>
      </w:pPr>
      <w:r w:rsidRPr="00EF10F9">
        <w:rPr>
          <w:rFonts w:ascii="Arial" w:hAnsi="Arial" w:cs="Arial"/>
        </w:rPr>
        <w:t>70.</w:t>
      </w:r>
      <w:r w:rsidRPr="00EF10F9">
        <w:rPr>
          <w:rFonts w:ascii="Arial" w:hAnsi="Arial" w:cs="Arial"/>
        </w:rPr>
        <w:tab/>
        <w:t>Fearnley L. Fake eggs: from counter-qualification to popular certification in China’s food safety crisis. BioSocieties [Internet]. 2021; Available from: https://www.scopus.com/inward/record.uri?eid=2-s2.0-85099372593&amp;doi=10.1057%2fs41292-020-00211-7&amp;partnerID=40&amp;md5=41f4bc6d86238ced6fc518e042f11bbe</w:t>
      </w:r>
    </w:p>
    <w:p w14:paraId="20B762BB" w14:textId="77777777" w:rsidR="00EF10F9" w:rsidRPr="00EF10F9" w:rsidRDefault="00EF10F9" w:rsidP="00EF10F9">
      <w:pPr>
        <w:pStyle w:val="Bibliography"/>
        <w:rPr>
          <w:rFonts w:ascii="Arial" w:hAnsi="Arial" w:cs="Arial"/>
        </w:rPr>
      </w:pPr>
      <w:r w:rsidRPr="00EF10F9">
        <w:rPr>
          <w:rFonts w:ascii="Arial" w:hAnsi="Arial" w:cs="Arial"/>
        </w:rPr>
        <w:t>71.</w:t>
      </w:r>
      <w:r w:rsidRPr="00EF10F9">
        <w:rPr>
          <w:rFonts w:ascii="Arial" w:hAnsi="Arial" w:cs="Arial"/>
        </w:rPr>
        <w:tab/>
        <w:t>Fikselová M, Benešová L, Zajác P, Golian J, Čapla J. Food adulteration and safety regarding detected market cases and consumer opinions. Potravinarstvo Slovak Journal of Food Sciences [Internet]. 2020;14:417–28. Available from: https://www.scopus.com/inward/record.uri?eid=2-s2.0-85090277875&amp;doi=10.5219%2f1345&amp;partnerID=40&amp;md5=7c4e2c9c9dc9605679bfa66b0de8cdd4</w:t>
      </w:r>
    </w:p>
    <w:p w14:paraId="365376B4" w14:textId="77777777" w:rsidR="00EF10F9" w:rsidRPr="00EF10F9" w:rsidRDefault="00EF10F9" w:rsidP="00EF10F9">
      <w:pPr>
        <w:pStyle w:val="Bibliography"/>
        <w:rPr>
          <w:rFonts w:ascii="Arial" w:hAnsi="Arial" w:cs="Arial"/>
        </w:rPr>
      </w:pPr>
      <w:r w:rsidRPr="00EF10F9">
        <w:rPr>
          <w:rFonts w:ascii="Arial" w:hAnsi="Arial" w:cs="Arial"/>
        </w:rPr>
        <w:t>72.</w:t>
      </w:r>
      <w:r w:rsidRPr="00EF10F9">
        <w:rPr>
          <w:rFonts w:ascii="Arial" w:hAnsi="Arial" w:cs="Arial"/>
        </w:rPr>
        <w:tab/>
        <w:t xml:space="preserve">Fraser A. Ghosts in the vending machine: Expressing corporate power in Ireland’s food and drinks industry via the territorialization of selective openness. Human </w:t>
      </w:r>
      <w:r w:rsidRPr="00EF10F9">
        <w:rPr>
          <w:rFonts w:ascii="Arial" w:hAnsi="Arial" w:cs="Arial"/>
        </w:rPr>
        <w:lastRenderedPageBreak/>
        <w:t>Geography(United Kingdom) [Internet]. 2021;14(1):110–22. Available from: https://www.scopus.com/inward/record.uri?eid=2-s2.0-85106404075&amp;doi=10.1177%2f1942778620978212&amp;partnerID=40&amp;md5=7169514a888d1ccce8f7f2dad360a196</w:t>
      </w:r>
    </w:p>
    <w:p w14:paraId="3AFD97E8" w14:textId="77777777" w:rsidR="00EF10F9" w:rsidRPr="00EF10F9" w:rsidRDefault="00EF10F9" w:rsidP="00EF10F9">
      <w:pPr>
        <w:pStyle w:val="Bibliography"/>
        <w:rPr>
          <w:rFonts w:ascii="Arial" w:hAnsi="Arial" w:cs="Arial"/>
        </w:rPr>
      </w:pPr>
      <w:r w:rsidRPr="00EF10F9">
        <w:rPr>
          <w:rFonts w:ascii="Arial" w:hAnsi="Arial" w:cs="Arial"/>
        </w:rPr>
        <w:t>73.</w:t>
      </w:r>
      <w:r w:rsidRPr="00EF10F9">
        <w:rPr>
          <w:rFonts w:ascii="Arial" w:hAnsi="Arial" w:cs="Arial"/>
        </w:rPr>
        <w:tab/>
        <w:t>Friggeri FP. Primitive Accumulation, Mafia Capitalism, and the Campesino Population in Paraguay. Latin American Perspectives [Internet]. 2021;48(1):126–44. Available from: https://www.scopus.com/inward/record.uri?eid=2-s2.0-85096955961&amp;doi=10.1177%2f0094582X20975002&amp;partnerID=40&amp;md5=38c9e74b2a1f2efd413ee9f8b72b2511</w:t>
      </w:r>
    </w:p>
    <w:p w14:paraId="2DB961D2" w14:textId="77777777" w:rsidR="00EF10F9" w:rsidRPr="00EF10F9" w:rsidRDefault="00EF10F9" w:rsidP="00EF10F9">
      <w:pPr>
        <w:pStyle w:val="Bibliography"/>
        <w:rPr>
          <w:rFonts w:ascii="Arial" w:hAnsi="Arial" w:cs="Arial"/>
        </w:rPr>
      </w:pPr>
      <w:r w:rsidRPr="00EF10F9">
        <w:rPr>
          <w:rFonts w:ascii="Arial" w:hAnsi="Arial" w:cs="Arial"/>
        </w:rPr>
        <w:t>74.</w:t>
      </w:r>
      <w:r w:rsidRPr="00EF10F9">
        <w:rPr>
          <w:rFonts w:ascii="Arial" w:hAnsi="Arial" w:cs="Arial"/>
        </w:rPr>
        <w:tab/>
        <w:t>Gafițianu D, Borda D, Dumitrascu L, Adam R, Nicolau AI. A consumer’s perspective on the active role of online media endorsement of food integrity by connecting the actors involved. Annals of the University Dunarea de Jos of Galati, Fascicle VI: Food Technology [Internet]. 2020;44(2):137–58. Available from: https://www.scopus.com/inward/record.uri?eid=2-s2.0-85102726086&amp;doi=10.35219%2fFOODTECHNOLOGY.2020.2.09&amp;partnerID=40&amp;md5=3e1c566f33c7b228fda7b28c340ca24b</w:t>
      </w:r>
    </w:p>
    <w:p w14:paraId="3BEA7428" w14:textId="77777777" w:rsidR="00EF10F9" w:rsidRPr="00EF10F9" w:rsidRDefault="00EF10F9" w:rsidP="00EF10F9">
      <w:pPr>
        <w:pStyle w:val="Bibliography"/>
        <w:rPr>
          <w:rFonts w:ascii="Arial" w:hAnsi="Arial" w:cs="Arial"/>
        </w:rPr>
      </w:pPr>
      <w:r w:rsidRPr="00EF10F9">
        <w:rPr>
          <w:rFonts w:ascii="Arial" w:hAnsi="Arial" w:cs="Arial"/>
        </w:rPr>
        <w:t>75.</w:t>
      </w:r>
      <w:r w:rsidRPr="00EF10F9">
        <w:rPr>
          <w:rFonts w:ascii="Arial" w:hAnsi="Arial" w:cs="Arial"/>
        </w:rPr>
        <w:tab/>
        <w:t xml:space="preserve">Galinato GI, Galinato SP. The short-run and long-run effects of corruption control and political stability on forest cover. ECOLOGICAL ECONOMICS. 2013;89:153–61. </w:t>
      </w:r>
    </w:p>
    <w:p w14:paraId="2C76E538" w14:textId="77777777" w:rsidR="00EF10F9" w:rsidRPr="00EF10F9" w:rsidRDefault="00EF10F9" w:rsidP="00EF10F9">
      <w:pPr>
        <w:pStyle w:val="Bibliography"/>
        <w:rPr>
          <w:rFonts w:ascii="Arial" w:hAnsi="Arial" w:cs="Arial"/>
        </w:rPr>
      </w:pPr>
      <w:r w:rsidRPr="00EF10F9">
        <w:rPr>
          <w:rFonts w:ascii="Arial" w:hAnsi="Arial" w:cs="Arial"/>
        </w:rPr>
        <w:t>76.</w:t>
      </w:r>
      <w:r w:rsidRPr="00EF10F9">
        <w:rPr>
          <w:rFonts w:ascii="Arial" w:hAnsi="Arial" w:cs="Arial"/>
        </w:rPr>
        <w:tab/>
        <w:t>Gharib MH, Palm-Forster LH, Lybbert TJ, Messer KD. Fear of fraud and willingness to pay for hybrid maize seed in Kenya. Food Policy [Internet]. 2021;102. Available from: https://www.scopus.com/inward/record.uri?eid=2-s2.0-85103925385&amp;doi=10.1016%2fj.foodpol.2021.102040&amp;partnerID=40&amp;md5=197f792c2748996a04bc9fe6461027e2</w:t>
      </w:r>
    </w:p>
    <w:p w14:paraId="68446225" w14:textId="77777777" w:rsidR="00EF10F9" w:rsidRPr="00EF10F9" w:rsidRDefault="00EF10F9" w:rsidP="00EF10F9">
      <w:pPr>
        <w:pStyle w:val="Bibliography"/>
        <w:rPr>
          <w:rFonts w:ascii="Arial" w:hAnsi="Arial" w:cs="Arial"/>
        </w:rPr>
      </w:pPr>
      <w:r w:rsidRPr="00EF10F9">
        <w:rPr>
          <w:rFonts w:ascii="Arial" w:hAnsi="Arial" w:cs="Arial"/>
        </w:rPr>
        <w:t>77.</w:t>
      </w:r>
      <w:r w:rsidRPr="00EF10F9">
        <w:rPr>
          <w:rFonts w:ascii="Arial" w:hAnsi="Arial" w:cs="Arial"/>
        </w:rPr>
        <w:tab/>
        <w:t>Gluszek S, Viollaz J, Mwinyihali R, Wieland M, Gore ML. Using conservation criminology to understand the role of restaurants in the urban wild meat trade. Conservation Science and Practice [Internet]. 2021 [cited 2021 Oct 19];3(5):e368. Available from: https://onlinelibrary.wiley.com/doi/abs/10.1111/csp2.368</w:t>
      </w:r>
    </w:p>
    <w:p w14:paraId="22760640" w14:textId="77777777" w:rsidR="00EF10F9" w:rsidRPr="00EF10F9" w:rsidRDefault="00EF10F9" w:rsidP="00EF10F9">
      <w:pPr>
        <w:pStyle w:val="Bibliography"/>
        <w:rPr>
          <w:rFonts w:ascii="Arial" w:hAnsi="Arial" w:cs="Arial"/>
        </w:rPr>
      </w:pPr>
      <w:r w:rsidRPr="00EF10F9">
        <w:rPr>
          <w:rFonts w:ascii="Arial" w:hAnsi="Arial" w:cs="Arial"/>
        </w:rPr>
        <w:t>78.</w:t>
      </w:r>
      <w:r w:rsidRPr="00EF10F9">
        <w:rPr>
          <w:rFonts w:ascii="Arial" w:hAnsi="Arial" w:cs="Arial"/>
        </w:rPr>
        <w:tab/>
        <w:t xml:space="preserve">Gomez M, Perdiguero J, Sanz A. Socioeconomic Factors Affecting Water Access in Rural Areas of Low and Middle Income Countries. WATER. 2019;11(2). </w:t>
      </w:r>
    </w:p>
    <w:p w14:paraId="24DA92CE" w14:textId="77777777" w:rsidR="00EF10F9" w:rsidRPr="00EF10F9" w:rsidRDefault="00EF10F9" w:rsidP="00EF10F9">
      <w:pPr>
        <w:pStyle w:val="Bibliography"/>
        <w:rPr>
          <w:rFonts w:ascii="Arial" w:hAnsi="Arial" w:cs="Arial"/>
        </w:rPr>
      </w:pPr>
      <w:r w:rsidRPr="00EF10F9">
        <w:rPr>
          <w:rFonts w:ascii="Arial" w:hAnsi="Arial" w:cs="Arial"/>
        </w:rPr>
        <w:t>79.</w:t>
      </w:r>
      <w:r w:rsidRPr="00EF10F9">
        <w:rPr>
          <w:rFonts w:ascii="Arial" w:hAnsi="Arial" w:cs="Arial"/>
        </w:rPr>
        <w:tab/>
        <w:t>Goodall O. Rural criminal collaborations and the food crimes of the countryside: realist social relations theory of illicit venison production. Crime, Law and Social Change [Internet]. 2021; Available from: https://www.scopus.com/inward/record.uri?eid=2-s2.0-85112114291&amp;doi=10.1007%2fs10611-021-09976-9&amp;partnerID=40&amp;md5=9271198d509db411254872cebb2626ad</w:t>
      </w:r>
    </w:p>
    <w:p w14:paraId="703E9C3C" w14:textId="77777777" w:rsidR="00EF10F9" w:rsidRPr="00EF10F9" w:rsidRDefault="00EF10F9" w:rsidP="00EF10F9">
      <w:pPr>
        <w:pStyle w:val="Bibliography"/>
        <w:rPr>
          <w:rFonts w:ascii="Arial" w:hAnsi="Arial" w:cs="Arial"/>
        </w:rPr>
      </w:pPr>
      <w:r w:rsidRPr="00EF10F9">
        <w:rPr>
          <w:rFonts w:ascii="Arial" w:hAnsi="Arial" w:cs="Arial"/>
        </w:rPr>
        <w:t>80.</w:t>
      </w:r>
      <w:r w:rsidRPr="00EF10F9">
        <w:rPr>
          <w:rFonts w:ascii="Arial" w:hAnsi="Arial" w:cs="Arial"/>
        </w:rPr>
        <w:tab/>
        <w:t xml:space="preserve">Graham V, Sadie Y, Patel L. Social grants, food parcels and voting behaviour: a case study of three South African communities. TRANSFORMATION-CRITICAL PERSPECTIVES ON SOUTHERN AFRICA. 2016;91:106–35. </w:t>
      </w:r>
    </w:p>
    <w:p w14:paraId="2CFC9ADD" w14:textId="77777777" w:rsidR="00EF10F9" w:rsidRPr="00EF10F9" w:rsidRDefault="00EF10F9" w:rsidP="00EF10F9">
      <w:pPr>
        <w:pStyle w:val="Bibliography"/>
        <w:rPr>
          <w:rFonts w:ascii="Arial" w:hAnsi="Arial" w:cs="Arial"/>
        </w:rPr>
      </w:pPr>
      <w:r w:rsidRPr="00EF10F9">
        <w:rPr>
          <w:rFonts w:ascii="Arial" w:hAnsi="Arial" w:cs="Arial"/>
        </w:rPr>
        <w:t>81.</w:t>
      </w:r>
      <w:r w:rsidRPr="00EF10F9">
        <w:rPr>
          <w:rFonts w:ascii="Arial" w:hAnsi="Arial" w:cs="Arial"/>
        </w:rPr>
        <w:tab/>
        <w:t xml:space="preserve">Grydehoj A, Nurdin N. Politics of technology in the informal governance of destructive fishing in Spermonde, Indonesia. GEOJOURNAL. 2016;81(2):281–92. </w:t>
      </w:r>
    </w:p>
    <w:p w14:paraId="71CDEDDE" w14:textId="77777777" w:rsidR="00EF10F9" w:rsidRPr="00EF10F9" w:rsidRDefault="00EF10F9" w:rsidP="00EF10F9">
      <w:pPr>
        <w:pStyle w:val="Bibliography"/>
        <w:rPr>
          <w:rFonts w:ascii="Arial" w:hAnsi="Arial" w:cs="Arial"/>
        </w:rPr>
      </w:pPr>
      <w:r w:rsidRPr="00EF10F9">
        <w:rPr>
          <w:rFonts w:ascii="Arial" w:hAnsi="Arial" w:cs="Arial"/>
        </w:rPr>
        <w:t>82.</w:t>
      </w:r>
      <w:r w:rsidRPr="00EF10F9">
        <w:rPr>
          <w:rFonts w:ascii="Arial" w:hAnsi="Arial" w:cs="Arial"/>
        </w:rPr>
        <w:tab/>
        <w:t>Guntzburger Y, Théolier J, Barrere V, Peignier I, Godefroy S, de Marcellis-Warin N. Food industry perceptions and actions towards food fraud: Insights from a pan-Canadian study. Food Control [Internet]. 2020;113. Available from: https://www.scopus.com/inward/record.uri?eid=2-s2.0-85081023666&amp;doi=10.1016%2fj.foodcont.2020.107182&amp;partnerID=40&amp;md5=8fc1bab2895ebe064711556e700c6f0a</w:t>
      </w:r>
    </w:p>
    <w:p w14:paraId="042B58D6" w14:textId="77777777" w:rsidR="00EF10F9" w:rsidRPr="00EF10F9" w:rsidRDefault="00EF10F9" w:rsidP="00EF10F9">
      <w:pPr>
        <w:pStyle w:val="Bibliography"/>
        <w:rPr>
          <w:rFonts w:ascii="Arial" w:hAnsi="Arial" w:cs="Arial"/>
        </w:rPr>
      </w:pPr>
      <w:r w:rsidRPr="00EF10F9">
        <w:rPr>
          <w:rFonts w:ascii="Arial" w:hAnsi="Arial" w:cs="Arial"/>
        </w:rPr>
        <w:lastRenderedPageBreak/>
        <w:t>83.</w:t>
      </w:r>
      <w:r w:rsidRPr="00EF10F9">
        <w:rPr>
          <w:rFonts w:ascii="Arial" w:hAnsi="Arial" w:cs="Arial"/>
        </w:rPr>
        <w:tab/>
        <w:t>Gupta S. Worlds apart? Challenges of multi-agency partnership in participatory watershed development in Rajasthan, India. Development Studies Research [Internet]. 2014;1(1):100–12. Available from: https://www.scopus.com/inward/record.uri?eid=2-s2.0-85006410530&amp;doi=10.1080%2f21665095.2014.938088&amp;partnerID=40&amp;md5=3b230284d69b8d4fc03716bd70e12ab1</w:t>
      </w:r>
    </w:p>
    <w:p w14:paraId="0DFBAE89" w14:textId="77777777" w:rsidR="00EF10F9" w:rsidRPr="00EF10F9" w:rsidRDefault="00EF10F9" w:rsidP="00EF10F9">
      <w:pPr>
        <w:pStyle w:val="Bibliography"/>
        <w:rPr>
          <w:rFonts w:ascii="Arial" w:hAnsi="Arial" w:cs="Arial"/>
        </w:rPr>
      </w:pPr>
      <w:r w:rsidRPr="00EF10F9">
        <w:rPr>
          <w:rFonts w:ascii="Arial" w:hAnsi="Arial" w:cs="Arial"/>
        </w:rPr>
        <w:t>84.</w:t>
      </w:r>
      <w:r w:rsidRPr="00EF10F9">
        <w:rPr>
          <w:rFonts w:ascii="Arial" w:hAnsi="Arial" w:cs="Arial"/>
        </w:rPr>
        <w:tab/>
        <w:t xml:space="preserve">Gylfason T. Resources, agriculture, and economic growth in economies in transition. KYKLOS. 2000;53(4):545–79. </w:t>
      </w:r>
    </w:p>
    <w:p w14:paraId="0B63785E" w14:textId="77777777" w:rsidR="00EF10F9" w:rsidRPr="00EF10F9" w:rsidRDefault="00EF10F9" w:rsidP="00EF10F9">
      <w:pPr>
        <w:pStyle w:val="Bibliography"/>
        <w:rPr>
          <w:rFonts w:ascii="Arial" w:hAnsi="Arial" w:cs="Arial"/>
        </w:rPr>
      </w:pPr>
      <w:r w:rsidRPr="00EF10F9">
        <w:rPr>
          <w:rFonts w:ascii="Arial" w:hAnsi="Arial" w:cs="Arial"/>
        </w:rPr>
        <w:t>85.</w:t>
      </w:r>
      <w:r w:rsidRPr="00EF10F9">
        <w:rPr>
          <w:rFonts w:ascii="Arial" w:hAnsi="Arial" w:cs="Arial"/>
        </w:rPr>
        <w:tab/>
        <w:t xml:space="preserve">Hanf M, Van-Melle A, Fraisse F, Roger A, Carme B, Nacher M. Corruption Kills: Estimating the Global Impact of Corruption on Children Deaths. PLOS ONE. 2011;6(11). </w:t>
      </w:r>
    </w:p>
    <w:p w14:paraId="020D6347" w14:textId="77777777" w:rsidR="00EF10F9" w:rsidRPr="00EF10F9" w:rsidRDefault="00EF10F9" w:rsidP="00EF10F9">
      <w:pPr>
        <w:pStyle w:val="Bibliography"/>
        <w:rPr>
          <w:rFonts w:ascii="Arial" w:hAnsi="Arial" w:cs="Arial"/>
        </w:rPr>
      </w:pPr>
      <w:r w:rsidRPr="00EF10F9">
        <w:rPr>
          <w:rFonts w:ascii="Arial" w:hAnsi="Arial" w:cs="Arial"/>
        </w:rPr>
        <w:t>86.</w:t>
      </w:r>
      <w:r w:rsidRPr="00EF10F9">
        <w:rPr>
          <w:rFonts w:ascii="Arial" w:hAnsi="Arial" w:cs="Arial"/>
        </w:rPr>
        <w:tab/>
        <w:t xml:space="preserve">Han G, Yan S. Does Food Safety Risk Perception Affect the Public’s Trust in Their Government? An Empirical Study on a National Survey in China. INTERNATIONAL JOURNAL OF ENVIRONMENTAL RESEARCH AND PUBLIC HEALTH. 2019;16(11). </w:t>
      </w:r>
    </w:p>
    <w:p w14:paraId="56A645F3" w14:textId="77777777" w:rsidR="00EF10F9" w:rsidRPr="00EF10F9" w:rsidRDefault="00EF10F9" w:rsidP="00EF10F9">
      <w:pPr>
        <w:pStyle w:val="Bibliography"/>
        <w:rPr>
          <w:rFonts w:ascii="Arial" w:hAnsi="Arial" w:cs="Arial"/>
        </w:rPr>
      </w:pPr>
      <w:r w:rsidRPr="00EF10F9">
        <w:rPr>
          <w:rFonts w:ascii="Arial" w:hAnsi="Arial" w:cs="Arial"/>
        </w:rPr>
        <w:t>87.</w:t>
      </w:r>
      <w:r w:rsidRPr="00EF10F9">
        <w:rPr>
          <w:rFonts w:ascii="Arial" w:hAnsi="Arial" w:cs="Arial"/>
        </w:rPr>
        <w:tab/>
        <w:t xml:space="preserve">Hausermann H, Ferring D, Atosona B, Mentz G, Amankwah R, Chang A, et al. Land-grabbing, land-use transformation and social differentiation: Deconstructing ``small-scale{’’} in Ghana’s recent gold rush. WORLD DEVELOPMENT. 2018;108:103–14. </w:t>
      </w:r>
    </w:p>
    <w:p w14:paraId="43D66D19" w14:textId="77777777" w:rsidR="00EF10F9" w:rsidRPr="00EF10F9" w:rsidRDefault="00EF10F9" w:rsidP="00EF10F9">
      <w:pPr>
        <w:pStyle w:val="Bibliography"/>
        <w:rPr>
          <w:rFonts w:ascii="Arial" w:hAnsi="Arial" w:cs="Arial"/>
        </w:rPr>
      </w:pPr>
      <w:r w:rsidRPr="00EF10F9">
        <w:rPr>
          <w:rFonts w:ascii="Arial" w:hAnsi="Arial" w:cs="Arial"/>
        </w:rPr>
        <w:t>88.</w:t>
      </w:r>
      <w:r w:rsidRPr="00EF10F9">
        <w:rPr>
          <w:rFonts w:ascii="Arial" w:hAnsi="Arial" w:cs="Arial"/>
        </w:rPr>
        <w:tab/>
        <w:t xml:space="preserve">Hernandez-Aguado I, Chilet-Rosell E. Pathways of undue influence in health policy-making: a main actor’s perspective. JOURNAL OF EPIDEMIOLOGY AND COMMUNITY HEALTH. 2018;72(2):154–9. </w:t>
      </w:r>
    </w:p>
    <w:p w14:paraId="14241F31" w14:textId="77777777" w:rsidR="00EF10F9" w:rsidRPr="00EF10F9" w:rsidRDefault="00EF10F9" w:rsidP="00EF10F9">
      <w:pPr>
        <w:pStyle w:val="Bibliography"/>
        <w:rPr>
          <w:rFonts w:ascii="Arial" w:hAnsi="Arial" w:cs="Arial"/>
        </w:rPr>
      </w:pPr>
      <w:r w:rsidRPr="00EF10F9">
        <w:rPr>
          <w:rFonts w:ascii="Arial" w:hAnsi="Arial" w:cs="Arial"/>
        </w:rPr>
        <w:t>89.</w:t>
      </w:r>
      <w:r w:rsidRPr="00EF10F9">
        <w:rPr>
          <w:rFonts w:ascii="Arial" w:hAnsi="Arial" w:cs="Arial"/>
        </w:rPr>
        <w:tab/>
        <w:t>Hobbs SH, Ricketts TC, Dodds JM, Milio N. Analysis of interest group influence on federal school meals regulations 1992 to 1996. Journal of Nutrition Education and Behavior [Internet]. 2004;36(2):90–8. Available from: https://www.scopus.com/inward/record.uri?eid=2-s2.0-1942535021&amp;doi=10.1016%2fS1499-4046%2806%2960139-5&amp;partnerID=40&amp;md5=a2c1417fbeaaf03152893573849834d9</w:t>
      </w:r>
    </w:p>
    <w:p w14:paraId="48CD5CBD" w14:textId="77777777" w:rsidR="00EF10F9" w:rsidRPr="00EF10F9" w:rsidRDefault="00EF10F9" w:rsidP="00EF10F9">
      <w:pPr>
        <w:pStyle w:val="Bibliography"/>
        <w:rPr>
          <w:rFonts w:ascii="Arial" w:hAnsi="Arial" w:cs="Arial"/>
        </w:rPr>
      </w:pPr>
      <w:r w:rsidRPr="00EF10F9">
        <w:rPr>
          <w:rFonts w:ascii="Arial" w:hAnsi="Arial" w:cs="Arial"/>
        </w:rPr>
        <w:t>90.</w:t>
      </w:r>
      <w:r w:rsidRPr="00EF10F9">
        <w:rPr>
          <w:rFonts w:ascii="Arial" w:hAnsi="Arial" w:cs="Arial"/>
        </w:rPr>
        <w:tab/>
        <w:t>Hoff A, Lelieveldt H, van der Does R. A biased rapporteur or politics as usual? Reassessing the balance of interests in the EU food information labelling case. Journal of European Public Policy [Internet]. 2016;23(2):296–313. Available from: https://www.scopus.com/inward/record.uri?eid=2-s2.0-84955215768&amp;doi=10.1080%2f13501763.2015.1051095&amp;partnerID=40&amp;md5=b7b8d8c41e90f8718134c803d6980363</w:t>
      </w:r>
    </w:p>
    <w:p w14:paraId="096B9282" w14:textId="77777777" w:rsidR="00EF10F9" w:rsidRPr="00EF10F9" w:rsidRDefault="00EF10F9" w:rsidP="00EF10F9">
      <w:pPr>
        <w:pStyle w:val="Bibliography"/>
        <w:rPr>
          <w:rFonts w:ascii="Arial" w:hAnsi="Arial" w:cs="Arial"/>
        </w:rPr>
      </w:pPr>
      <w:r w:rsidRPr="00EF10F9">
        <w:rPr>
          <w:rFonts w:ascii="Arial" w:hAnsi="Arial" w:cs="Arial"/>
        </w:rPr>
        <w:t>91.</w:t>
      </w:r>
      <w:r w:rsidRPr="00EF10F9">
        <w:rPr>
          <w:rFonts w:ascii="Arial" w:hAnsi="Arial" w:cs="Arial"/>
        </w:rPr>
        <w:tab/>
        <w:t>Holden ST, Lunduka RW. Who benefit from Malawi’s targeted farm input subsidy program? Forum for development studies [Internet]. 2013;40(1):1–25. Available from: http://ezproxy.library.yorku.ca/login?url=https://search.proquest.com/docview/1316052319?accountid=15182</w:t>
      </w:r>
    </w:p>
    <w:p w14:paraId="7EE04284" w14:textId="77777777" w:rsidR="00EF10F9" w:rsidRPr="00EF10F9" w:rsidRDefault="00EF10F9" w:rsidP="00EF10F9">
      <w:pPr>
        <w:pStyle w:val="Bibliography"/>
        <w:rPr>
          <w:rFonts w:ascii="Arial" w:hAnsi="Arial" w:cs="Arial"/>
        </w:rPr>
      </w:pPr>
      <w:r w:rsidRPr="00EF10F9">
        <w:rPr>
          <w:rFonts w:ascii="Arial" w:hAnsi="Arial" w:cs="Arial"/>
        </w:rPr>
        <w:t>92.</w:t>
      </w:r>
      <w:r w:rsidRPr="00EF10F9">
        <w:rPr>
          <w:rFonts w:ascii="Arial" w:hAnsi="Arial" w:cs="Arial"/>
        </w:rPr>
        <w:tab/>
        <w:t>Hossain N, Kalita D. Moral economy in a global era: the politics of provisions during contemporary food price spikes. Journal of Peasant Studies [Internet]. 2014;41(5):815–31. Available from: https://www.scopus.com/inward/record.uri?eid=2-s2.0-84907576066&amp;doi=10.1080%2f03066150.2014.895328&amp;partnerID=40&amp;md5=1f615622a02d98ed10431c9d4ea3813c</w:t>
      </w:r>
    </w:p>
    <w:p w14:paraId="7C64B21E" w14:textId="77777777" w:rsidR="00EF10F9" w:rsidRPr="00EF10F9" w:rsidRDefault="00EF10F9" w:rsidP="00EF10F9">
      <w:pPr>
        <w:pStyle w:val="Bibliography"/>
        <w:rPr>
          <w:rFonts w:ascii="Arial" w:hAnsi="Arial" w:cs="Arial"/>
        </w:rPr>
      </w:pPr>
      <w:r w:rsidRPr="00EF10F9">
        <w:rPr>
          <w:rFonts w:ascii="Arial" w:hAnsi="Arial" w:cs="Arial"/>
        </w:rPr>
        <w:t>93.</w:t>
      </w:r>
      <w:r w:rsidRPr="00EF10F9">
        <w:rPr>
          <w:rFonts w:ascii="Arial" w:hAnsi="Arial" w:cs="Arial"/>
        </w:rPr>
        <w:tab/>
        <w:t>Hunt D. How food companies use social media to influence policy debates: A framework of Australian ultra-processed food industry Twitter data. Public Health Nutrition [Internet]. 2021;24(10):3124–35. Available from: https://www.scopus.com/inward/record.uri?eid=2-s2.0-</w:t>
      </w:r>
      <w:r w:rsidRPr="00EF10F9">
        <w:rPr>
          <w:rFonts w:ascii="Arial" w:hAnsi="Arial" w:cs="Arial"/>
        </w:rPr>
        <w:lastRenderedPageBreak/>
        <w:t>85097259639&amp;doi=10.1017%2fS1368980020003353&amp;partnerID=40&amp;md5=adae9f623965eb2b277afec27e2430ff</w:t>
      </w:r>
    </w:p>
    <w:p w14:paraId="3E1225F4" w14:textId="77777777" w:rsidR="00EF10F9" w:rsidRPr="00EF10F9" w:rsidRDefault="00EF10F9" w:rsidP="00EF10F9">
      <w:pPr>
        <w:pStyle w:val="Bibliography"/>
        <w:rPr>
          <w:rFonts w:ascii="Arial" w:hAnsi="Arial" w:cs="Arial"/>
        </w:rPr>
      </w:pPr>
      <w:r w:rsidRPr="00EF10F9">
        <w:rPr>
          <w:rFonts w:ascii="Arial" w:hAnsi="Arial" w:cs="Arial"/>
        </w:rPr>
        <w:t>94.</w:t>
      </w:r>
      <w:r w:rsidRPr="00EF10F9">
        <w:rPr>
          <w:rFonts w:ascii="Arial" w:hAnsi="Arial" w:cs="Arial"/>
        </w:rPr>
        <w:tab/>
        <w:t>Hu Z, Zhang QF, Donaldson JA. Farmers’ cooperatives in china: A typology of fraud and failure. China Journal [Internet]. 2017;78. Available from: https://www.scopus.com/inward/record.uri?eid=2-s2.0-85032263418&amp;doi=10.1086%2f691786&amp;partnerID=40&amp;md5=b9f43af487ced8df69af6d65e0e1158f</w:t>
      </w:r>
    </w:p>
    <w:p w14:paraId="5946E19F" w14:textId="77777777" w:rsidR="00EF10F9" w:rsidRPr="00EF10F9" w:rsidRDefault="00EF10F9" w:rsidP="00EF10F9">
      <w:pPr>
        <w:pStyle w:val="Bibliography"/>
        <w:rPr>
          <w:rFonts w:ascii="Arial" w:hAnsi="Arial" w:cs="Arial"/>
        </w:rPr>
      </w:pPr>
      <w:r w:rsidRPr="00EF10F9">
        <w:rPr>
          <w:rFonts w:ascii="Arial" w:hAnsi="Arial" w:cs="Arial"/>
        </w:rPr>
        <w:t>95.</w:t>
      </w:r>
      <w:r w:rsidRPr="00EF10F9">
        <w:rPr>
          <w:rFonts w:ascii="Arial" w:hAnsi="Arial" w:cs="Arial"/>
        </w:rPr>
        <w:tab/>
        <w:t xml:space="preserve">Ibrahim SS, Ibrahim A, Allah AN, Saulawa LA. Building of a community cattle ranch and radio frequency identification (RFID) technology as alternative methods of curtailing cattle rustling in Katsina State. PASTORALISM-RESEARCH POLICY AND PRACTICE. 2016;6. </w:t>
      </w:r>
    </w:p>
    <w:p w14:paraId="0F4A84C1" w14:textId="77777777" w:rsidR="00EF10F9" w:rsidRPr="00EF10F9" w:rsidRDefault="00EF10F9" w:rsidP="00EF10F9">
      <w:pPr>
        <w:pStyle w:val="Bibliography"/>
        <w:rPr>
          <w:rFonts w:ascii="Arial" w:hAnsi="Arial" w:cs="Arial"/>
        </w:rPr>
      </w:pPr>
      <w:r w:rsidRPr="00EF10F9">
        <w:rPr>
          <w:rFonts w:ascii="Arial" w:hAnsi="Arial" w:cs="Arial"/>
        </w:rPr>
        <w:t>96.</w:t>
      </w:r>
      <w:r w:rsidRPr="00EF10F9">
        <w:rPr>
          <w:rFonts w:ascii="Arial" w:hAnsi="Arial" w:cs="Arial"/>
        </w:rPr>
        <w:tab/>
        <w:t xml:space="preserve">Ingram V, Ewane M, Ndumbe LN, Awono A. Challenges to governing sustainable forest food: &amp;ITIrvingia&amp;IT spp. from southern Cameroon. FOREST POLICY AND ECONOMICS. 2017;84(SI):29–37. </w:t>
      </w:r>
    </w:p>
    <w:p w14:paraId="38D39A7C" w14:textId="77777777" w:rsidR="00EF10F9" w:rsidRPr="00EF10F9" w:rsidRDefault="00EF10F9" w:rsidP="00EF10F9">
      <w:pPr>
        <w:pStyle w:val="Bibliography"/>
        <w:rPr>
          <w:rFonts w:ascii="Arial" w:hAnsi="Arial" w:cs="Arial"/>
        </w:rPr>
      </w:pPr>
      <w:r w:rsidRPr="00EF10F9">
        <w:rPr>
          <w:rFonts w:ascii="Arial" w:hAnsi="Arial" w:cs="Arial"/>
        </w:rPr>
        <w:t>97.</w:t>
      </w:r>
      <w:r w:rsidRPr="00EF10F9">
        <w:rPr>
          <w:rFonts w:ascii="Arial" w:hAnsi="Arial" w:cs="Arial"/>
        </w:rPr>
        <w:tab/>
        <w:t>Isaacs M, Witbooi E. Fisheries crime, human rights and small-scale fisheries in South Africa: A case of bigger fish to fry. Marine Policy [Internet]. 2019;105:158–68. Available from: https://www.scopus.com/inward/record.uri?eid=2-s2.0-85060328735&amp;doi=10.1016%2fj.marpol.2018.12.023&amp;partnerID=40&amp;md5=f9905f8eb9e51a475f25333983630fb1</w:t>
      </w:r>
    </w:p>
    <w:p w14:paraId="28DA4DA2" w14:textId="77777777" w:rsidR="00EF10F9" w:rsidRPr="00EF10F9" w:rsidRDefault="00EF10F9" w:rsidP="00EF10F9">
      <w:pPr>
        <w:pStyle w:val="Bibliography"/>
        <w:rPr>
          <w:rFonts w:ascii="Arial" w:hAnsi="Arial" w:cs="Arial"/>
        </w:rPr>
      </w:pPr>
      <w:r w:rsidRPr="00EF10F9">
        <w:rPr>
          <w:rFonts w:ascii="Arial" w:hAnsi="Arial" w:cs="Arial"/>
        </w:rPr>
        <w:t>98.</w:t>
      </w:r>
      <w:r w:rsidRPr="00EF10F9">
        <w:rPr>
          <w:rFonts w:ascii="Arial" w:hAnsi="Arial" w:cs="Arial"/>
        </w:rPr>
        <w:tab/>
        <w:t>Ismaila S, Tanko M. Exploring relative deprivation theory in the rice industry: Planting for Food and Jobs (PFJ) in northern Ghana. Technology in Society [Internet]. 2021;65. Available from: https://www.scopus.com/inward/record.uri?eid=2-s2.0-85103953469&amp;doi=10.1016%2fj.techsoc.2021.101556&amp;partnerID=40&amp;md5=c4fe92126d20c91af707a37f64800104</w:t>
      </w:r>
    </w:p>
    <w:p w14:paraId="59E0F75F" w14:textId="77777777" w:rsidR="00EF10F9" w:rsidRPr="00EF10F9" w:rsidRDefault="00EF10F9" w:rsidP="00EF10F9">
      <w:pPr>
        <w:pStyle w:val="Bibliography"/>
        <w:rPr>
          <w:rFonts w:ascii="Arial" w:hAnsi="Arial" w:cs="Arial"/>
        </w:rPr>
      </w:pPr>
      <w:r w:rsidRPr="00EF10F9">
        <w:rPr>
          <w:rFonts w:ascii="Arial" w:hAnsi="Arial" w:cs="Arial"/>
        </w:rPr>
        <w:t>99.</w:t>
      </w:r>
      <w:r w:rsidRPr="00EF10F9">
        <w:rPr>
          <w:rFonts w:ascii="Arial" w:hAnsi="Arial" w:cs="Arial"/>
        </w:rPr>
        <w:tab/>
        <w:t>Jacoby HG, Mansuri G, Fatima F. Decentralizing corruption: Irrigation reform in Pakistan. Journal of Public Economics [Internet]. 2021;202. Available from: https://www.scopus.com/inward/record.uri?eid=2-s2.0-85115242790&amp;doi=10.1016%2fj.jpubeco.2021.104499&amp;partnerID=40&amp;md5=dafce1beadd744377a52bb9f23fdbf05</w:t>
      </w:r>
    </w:p>
    <w:p w14:paraId="267EE835" w14:textId="77777777" w:rsidR="00EF10F9" w:rsidRPr="00EF10F9" w:rsidRDefault="00EF10F9" w:rsidP="00EF10F9">
      <w:pPr>
        <w:pStyle w:val="Bibliography"/>
        <w:rPr>
          <w:rFonts w:ascii="Arial" w:hAnsi="Arial" w:cs="Arial"/>
        </w:rPr>
      </w:pPr>
      <w:r w:rsidRPr="00EF10F9">
        <w:rPr>
          <w:rFonts w:ascii="Arial" w:hAnsi="Arial" w:cs="Arial"/>
        </w:rPr>
        <w:t>100.</w:t>
      </w:r>
      <w:r w:rsidRPr="00EF10F9">
        <w:rPr>
          <w:rFonts w:ascii="Arial" w:hAnsi="Arial" w:cs="Arial"/>
        </w:rPr>
        <w:tab/>
        <w:t>Jaichuen N, Phulkerd S, Certthkrikul N, Sacks G, Tangcharoensathien V. Corporate political activity of major food companies in Thailand: An assessment and policy recommendations. Globalization and Health [Internet]. 2018;14(1). Available from: https://www.scopus.com/inward/record.uri?eid=2-s2.0-85057123906&amp;doi=10.1186%2fs12992-018-0432-z&amp;partnerID=40&amp;md5=8bd33958ee095d807e1d91c8b909b4a1</w:t>
      </w:r>
    </w:p>
    <w:p w14:paraId="6D9EF3EC" w14:textId="77777777" w:rsidR="00EF10F9" w:rsidRPr="00EF10F9" w:rsidRDefault="00EF10F9" w:rsidP="00EF10F9">
      <w:pPr>
        <w:pStyle w:val="Bibliography"/>
        <w:rPr>
          <w:rFonts w:ascii="Arial" w:hAnsi="Arial" w:cs="Arial"/>
        </w:rPr>
      </w:pPr>
      <w:r w:rsidRPr="00EF10F9">
        <w:rPr>
          <w:rFonts w:ascii="Arial" w:hAnsi="Arial" w:cs="Arial"/>
        </w:rPr>
        <w:t>101.</w:t>
      </w:r>
      <w:r w:rsidRPr="00EF10F9">
        <w:rPr>
          <w:rFonts w:ascii="Arial" w:hAnsi="Arial" w:cs="Arial"/>
        </w:rPr>
        <w:tab/>
        <w:t xml:space="preserve">Jeffrey C. Caste, class, and clientelism: A political economy of everyday corruption in rural north India. ECONOMIC GEOGRAPHY. 2002;78(1):21–41. </w:t>
      </w:r>
    </w:p>
    <w:p w14:paraId="06008732" w14:textId="77777777" w:rsidR="00EF10F9" w:rsidRPr="00EF10F9" w:rsidRDefault="00EF10F9" w:rsidP="00EF10F9">
      <w:pPr>
        <w:pStyle w:val="Bibliography"/>
        <w:rPr>
          <w:rFonts w:ascii="Arial" w:hAnsi="Arial" w:cs="Arial"/>
        </w:rPr>
      </w:pPr>
      <w:r w:rsidRPr="00EF10F9">
        <w:rPr>
          <w:rFonts w:ascii="Arial" w:hAnsi="Arial" w:cs="Arial"/>
        </w:rPr>
        <w:t>102.</w:t>
      </w:r>
      <w:r w:rsidRPr="00EF10F9">
        <w:rPr>
          <w:rFonts w:ascii="Arial" w:hAnsi="Arial" w:cs="Arial"/>
        </w:rPr>
        <w:tab/>
        <w:t>Kaitibie S, Munshi MH, Rakotoarisoa MA. Analysis of Food Imports in a Highly Import Dependent Economy. Review of Middle East Economics &amp; Finance [Internet]. 2017;13(2):106–16. Available from: http://ezproxy.library.yorku.ca/login?url=https://search.proquest.com/docview/1945847651?accountid=15182</w:t>
      </w:r>
    </w:p>
    <w:p w14:paraId="5D4F305A" w14:textId="77777777" w:rsidR="00EF10F9" w:rsidRPr="00EF10F9" w:rsidRDefault="00EF10F9" w:rsidP="00EF10F9">
      <w:pPr>
        <w:pStyle w:val="Bibliography"/>
        <w:rPr>
          <w:rFonts w:ascii="Arial" w:hAnsi="Arial" w:cs="Arial"/>
        </w:rPr>
      </w:pPr>
      <w:r w:rsidRPr="00EF10F9">
        <w:rPr>
          <w:rFonts w:ascii="Arial" w:hAnsi="Arial" w:cs="Arial"/>
        </w:rPr>
        <w:t>103.</w:t>
      </w:r>
      <w:r w:rsidRPr="00EF10F9">
        <w:rPr>
          <w:rFonts w:ascii="Arial" w:hAnsi="Arial" w:cs="Arial"/>
        </w:rPr>
        <w:tab/>
        <w:t>Kalaora L. Madness, corruption and exile: On Zimbabwe’s remaining white commercial farmers. Journal of Southern African Studies [Internet]. 2011;37(4):747–62. Available from: https://www.scopus.com/inward/record.uri?eid=2-s2.0-</w:t>
      </w:r>
      <w:r w:rsidRPr="00EF10F9">
        <w:rPr>
          <w:rFonts w:ascii="Arial" w:hAnsi="Arial" w:cs="Arial"/>
        </w:rPr>
        <w:lastRenderedPageBreak/>
        <w:t>84858374949&amp;doi=10.1080%2f03057070.2011.609341&amp;partnerID=40&amp;md5=f5ad4df30a9edf97381ddd68dc767866</w:t>
      </w:r>
    </w:p>
    <w:p w14:paraId="41FEC676" w14:textId="77777777" w:rsidR="00EF10F9" w:rsidRPr="00EF10F9" w:rsidRDefault="00EF10F9" w:rsidP="00EF10F9">
      <w:pPr>
        <w:pStyle w:val="Bibliography"/>
        <w:rPr>
          <w:rFonts w:ascii="Arial" w:hAnsi="Arial" w:cs="Arial"/>
        </w:rPr>
      </w:pPr>
      <w:r w:rsidRPr="00EF10F9">
        <w:rPr>
          <w:rFonts w:ascii="Arial" w:hAnsi="Arial" w:cs="Arial"/>
        </w:rPr>
        <w:t>104.</w:t>
      </w:r>
      <w:r w:rsidRPr="00EF10F9">
        <w:rPr>
          <w:rFonts w:ascii="Arial" w:hAnsi="Arial" w:cs="Arial"/>
        </w:rPr>
        <w:tab/>
        <w:t xml:space="preserve">Kansanga MM, Luginaah I. Agrarian livelihoods under siege: Carbon forestry, tenure constraints and the rise of capitalist forest enclosures in Ghana. WORLD DEVELOPMENT. 2019;113:131–42. </w:t>
      </w:r>
    </w:p>
    <w:p w14:paraId="66106792" w14:textId="77777777" w:rsidR="00EF10F9" w:rsidRPr="00EF10F9" w:rsidRDefault="00EF10F9" w:rsidP="00EF10F9">
      <w:pPr>
        <w:pStyle w:val="Bibliography"/>
        <w:rPr>
          <w:rFonts w:ascii="Arial" w:hAnsi="Arial" w:cs="Arial"/>
        </w:rPr>
      </w:pPr>
      <w:r w:rsidRPr="00EF10F9">
        <w:rPr>
          <w:rFonts w:ascii="Arial" w:hAnsi="Arial" w:cs="Arial"/>
        </w:rPr>
        <w:t>105.</w:t>
      </w:r>
      <w:r w:rsidRPr="00EF10F9">
        <w:rPr>
          <w:rFonts w:ascii="Arial" w:hAnsi="Arial" w:cs="Arial"/>
        </w:rPr>
        <w:tab/>
        <w:t>Kantel AJ. Fishing for Power: Incursions of the Ugandan Authoritarian State. Annals of the American Association of Geographers [Internet]. 2019;109(2):443–55. Available from: https://www.scopus.com/inward/record.uri?eid=2-s2.0-85060933856&amp;doi=10.1080%2f24694452.2018.1527679&amp;partnerID=40&amp;md5=0da5ca6abe14bb0bae4e0a4726267141</w:t>
      </w:r>
    </w:p>
    <w:p w14:paraId="1E62298D" w14:textId="77777777" w:rsidR="00EF10F9" w:rsidRPr="00EF10F9" w:rsidRDefault="00EF10F9" w:rsidP="00EF10F9">
      <w:pPr>
        <w:pStyle w:val="Bibliography"/>
        <w:rPr>
          <w:rFonts w:ascii="Arial" w:hAnsi="Arial" w:cs="Arial"/>
        </w:rPr>
      </w:pPr>
      <w:r w:rsidRPr="00EF10F9">
        <w:rPr>
          <w:rFonts w:ascii="Arial" w:hAnsi="Arial" w:cs="Arial"/>
        </w:rPr>
        <w:t>106.</w:t>
      </w:r>
      <w:r w:rsidRPr="00EF10F9">
        <w:rPr>
          <w:rFonts w:ascii="Arial" w:hAnsi="Arial" w:cs="Arial"/>
        </w:rPr>
        <w:tab/>
        <w:t xml:space="preserve">Kassem H, Hussein M, Ismail H. Toward Fraudulent Pesticides in Rural Areas: Do Farmers’ Recognition and Purchasing Behaviors Matter? AGRONOMY-BASEL. 2021;11(9). </w:t>
      </w:r>
    </w:p>
    <w:p w14:paraId="36E0D413" w14:textId="77777777" w:rsidR="00EF10F9" w:rsidRPr="00EF10F9" w:rsidRDefault="00EF10F9" w:rsidP="00EF10F9">
      <w:pPr>
        <w:pStyle w:val="Bibliography"/>
        <w:rPr>
          <w:rFonts w:ascii="Arial" w:hAnsi="Arial" w:cs="Arial"/>
        </w:rPr>
      </w:pPr>
      <w:r w:rsidRPr="00EF10F9">
        <w:rPr>
          <w:rFonts w:ascii="Arial" w:hAnsi="Arial" w:cs="Arial"/>
        </w:rPr>
        <w:t>107.</w:t>
      </w:r>
      <w:r w:rsidRPr="00EF10F9">
        <w:rPr>
          <w:rFonts w:ascii="Arial" w:hAnsi="Arial" w:cs="Arial"/>
        </w:rPr>
        <w:tab/>
        <w:t xml:space="preserve">Kaul T. Household responses to food subsidies: Evidence from India. Economic Development and Cultural Change. 2018;67(1):95–129. </w:t>
      </w:r>
    </w:p>
    <w:p w14:paraId="6A34AC2D" w14:textId="77777777" w:rsidR="00EF10F9" w:rsidRPr="00EF10F9" w:rsidRDefault="00EF10F9" w:rsidP="00EF10F9">
      <w:pPr>
        <w:pStyle w:val="Bibliography"/>
        <w:rPr>
          <w:rFonts w:ascii="Arial" w:hAnsi="Arial" w:cs="Arial"/>
        </w:rPr>
      </w:pPr>
      <w:r w:rsidRPr="00EF10F9">
        <w:rPr>
          <w:rFonts w:ascii="Arial" w:hAnsi="Arial" w:cs="Arial"/>
        </w:rPr>
        <w:t>108.</w:t>
      </w:r>
      <w:r w:rsidRPr="00EF10F9">
        <w:rPr>
          <w:rFonts w:ascii="Arial" w:hAnsi="Arial" w:cs="Arial"/>
        </w:rPr>
        <w:tab/>
        <w:t>Kendall H, Kuznesof S, Dean M, Chan MY, Clark B, Home R, et al. Chinese consumer’s attitudes, perceptions and behavioural responses towards food fraud. Food Control [Internet]. 2019;95:339–51. Available from: https://www.scopus.com/inward/record.uri?eid=2-s2.0-85053210940&amp;doi=10.1016%2fj.foodcont.2018.08.006&amp;partnerID=40&amp;md5=b9eb8bb10ec15e0f04a6e12603be91f6</w:t>
      </w:r>
    </w:p>
    <w:p w14:paraId="01BE1AEF" w14:textId="77777777" w:rsidR="00EF10F9" w:rsidRPr="00EF10F9" w:rsidRDefault="00EF10F9" w:rsidP="00EF10F9">
      <w:pPr>
        <w:pStyle w:val="Bibliography"/>
        <w:rPr>
          <w:rFonts w:ascii="Arial" w:hAnsi="Arial" w:cs="Arial"/>
        </w:rPr>
      </w:pPr>
      <w:r w:rsidRPr="00EF10F9">
        <w:rPr>
          <w:rFonts w:ascii="Arial" w:hAnsi="Arial" w:cs="Arial"/>
        </w:rPr>
        <w:t>109.</w:t>
      </w:r>
      <w:r w:rsidRPr="00EF10F9">
        <w:rPr>
          <w:rFonts w:ascii="Arial" w:hAnsi="Arial" w:cs="Arial"/>
        </w:rPr>
        <w:tab/>
        <w:t>Kendall H, Naughton P, Kuznesof S, Raley M, Dean M, Clark B, et al. Food fraud and the perceived integrity of European food imports into China. PLoS ONE [Internet]. 2018;13(5). Available from: https://www.scopus.com/inward/record.uri?eid=2-s2.0-85047484951&amp;doi=10.1371%2fjournal.pone.0195817&amp;partnerID=40&amp;md5=3f2741895249543e1333049612f33cb2</w:t>
      </w:r>
    </w:p>
    <w:p w14:paraId="751BFB78" w14:textId="77777777" w:rsidR="00EF10F9" w:rsidRPr="00EF10F9" w:rsidRDefault="00EF10F9" w:rsidP="00EF10F9">
      <w:pPr>
        <w:pStyle w:val="Bibliography"/>
        <w:rPr>
          <w:rFonts w:ascii="Arial" w:hAnsi="Arial" w:cs="Arial"/>
        </w:rPr>
      </w:pPr>
      <w:r w:rsidRPr="00EF10F9">
        <w:rPr>
          <w:rFonts w:ascii="Arial" w:hAnsi="Arial" w:cs="Arial"/>
        </w:rPr>
        <w:t>110.</w:t>
      </w:r>
      <w:r w:rsidRPr="00EF10F9">
        <w:rPr>
          <w:rFonts w:ascii="Arial" w:hAnsi="Arial" w:cs="Arial"/>
        </w:rPr>
        <w:tab/>
        <w:t xml:space="preserve">Kimanthi H, Hebinck P. ‘Castle in the sky’: The anomaly of the millennium villages project fixing food and markets in Sauri, western Kenya. Journal of Rural Studies. 2018;57:157–70. </w:t>
      </w:r>
    </w:p>
    <w:p w14:paraId="4D8B10B9" w14:textId="77777777" w:rsidR="00EF10F9" w:rsidRPr="00EF10F9" w:rsidRDefault="00EF10F9" w:rsidP="00EF10F9">
      <w:pPr>
        <w:pStyle w:val="Bibliography"/>
        <w:rPr>
          <w:rFonts w:ascii="Arial" w:hAnsi="Arial" w:cs="Arial"/>
        </w:rPr>
      </w:pPr>
      <w:r w:rsidRPr="00EF10F9">
        <w:rPr>
          <w:rFonts w:ascii="Arial" w:hAnsi="Arial" w:cs="Arial"/>
        </w:rPr>
        <w:t>111.</w:t>
      </w:r>
      <w:r w:rsidRPr="00EF10F9">
        <w:rPr>
          <w:rFonts w:ascii="Arial" w:hAnsi="Arial" w:cs="Arial"/>
        </w:rPr>
        <w:tab/>
        <w:t xml:space="preserve">Kopytko N. Change and transition: the climate of Ukraine’s agri-food sector. Climate Policy. 2016;16(1):68–87. </w:t>
      </w:r>
    </w:p>
    <w:p w14:paraId="6B0D69CA" w14:textId="77777777" w:rsidR="00EF10F9" w:rsidRPr="00EF10F9" w:rsidRDefault="00EF10F9" w:rsidP="00EF10F9">
      <w:pPr>
        <w:pStyle w:val="Bibliography"/>
        <w:rPr>
          <w:rFonts w:ascii="Arial" w:hAnsi="Arial" w:cs="Arial"/>
        </w:rPr>
      </w:pPr>
      <w:r w:rsidRPr="00EF10F9">
        <w:rPr>
          <w:rFonts w:ascii="Arial" w:hAnsi="Arial" w:cs="Arial"/>
        </w:rPr>
        <w:t>112.</w:t>
      </w:r>
      <w:r w:rsidRPr="00EF10F9">
        <w:rPr>
          <w:rFonts w:ascii="Arial" w:hAnsi="Arial" w:cs="Arial"/>
        </w:rPr>
        <w:tab/>
        <w:t>Koubová J, Samková E, Hasonová L. Food fraud detection by Czech Agricultural and Food Inspection Authority in retail market. British Food Journal [Internet]. 2018;120(4):930–8. Available from: https://www.scopus.com/inward/record.uri?eid=2-s2.0-85045020078&amp;doi=10.1108%2fBFJ-07-2017-0367&amp;partnerID=40&amp;md5=eb7668503b1dec67fb5fd8bb9d322a14</w:t>
      </w:r>
    </w:p>
    <w:p w14:paraId="7CA04963" w14:textId="77777777" w:rsidR="00EF10F9" w:rsidRPr="00EF10F9" w:rsidRDefault="00EF10F9" w:rsidP="00EF10F9">
      <w:pPr>
        <w:pStyle w:val="Bibliography"/>
        <w:rPr>
          <w:rFonts w:ascii="Arial" w:hAnsi="Arial" w:cs="Arial"/>
        </w:rPr>
      </w:pPr>
      <w:r w:rsidRPr="00EF10F9">
        <w:rPr>
          <w:rFonts w:ascii="Arial" w:hAnsi="Arial" w:cs="Arial"/>
        </w:rPr>
        <w:t>113.</w:t>
      </w:r>
      <w:r w:rsidRPr="00EF10F9">
        <w:rPr>
          <w:rFonts w:ascii="Arial" w:hAnsi="Arial" w:cs="Arial"/>
        </w:rPr>
        <w:tab/>
        <w:t>Kowalska A. The study of the intersection between food FR aud / adulter ation and authenticity. Acta Universitatis Agriculturae et Silviculturae Mendelianae Brunensis [Internet]. 2018;66(5):1275–86. Available from: https://www.scopus.com/inward/record.uri?eid=2-s2.0-85056270819&amp;doi=10.11118%2factaun201866051275&amp;partnerID=40&amp;md5=a929a1d50ade81c21c9640e8e7d16ff7</w:t>
      </w:r>
    </w:p>
    <w:p w14:paraId="2C2C6775" w14:textId="77777777" w:rsidR="00EF10F9" w:rsidRPr="00EF10F9" w:rsidRDefault="00EF10F9" w:rsidP="00EF10F9">
      <w:pPr>
        <w:pStyle w:val="Bibliography"/>
        <w:rPr>
          <w:rFonts w:ascii="Arial" w:hAnsi="Arial" w:cs="Arial"/>
        </w:rPr>
      </w:pPr>
      <w:r w:rsidRPr="00EF10F9">
        <w:rPr>
          <w:rFonts w:ascii="Arial" w:hAnsi="Arial" w:cs="Arial"/>
        </w:rPr>
        <w:t>114.</w:t>
      </w:r>
      <w:r w:rsidRPr="00EF10F9">
        <w:rPr>
          <w:rFonts w:ascii="Arial" w:hAnsi="Arial" w:cs="Arial"/>
        </w:rPr>
        <w:tab/>
        <w:t xml:space="preserve">Kroetz K, Luque GM, Gephart JA, Jardine SL, Lee P, Moore KC, et al. Consequences of seafood mislabeling for marine populations and fisheries management. Proceedings </w:t>
      </w:r>
      <w:r w:rsidRPr="00EF10F9">
        <w:rPr>
          <w:rFonts w:ascii="Arial" w:hAnsi="Arial" w:cs="Arial"/>
        </w:rPr>
        <w:lastRenderedPageBreak/>
        <w:t>of the National Academy of Sciences of the United States of America [Internet]. 2020;117(48):30318–23. Available from: https://www.scopus.com/inward/record.uri?eid=2-s2.0-85097211489&amp;doi=10.1073%2fpnas.2003741117&amp;partnerID=40&amp;md5=3b022ca48abab4958413d9b5dbe2028e</w:t>
      </w:r>
    </w:p>
    <w:p w14:paraId="3E89BD29" w14:textId="77777777" w:rsidR="00EF10F9" w:rsidRPr="00EF10F9" w:rsidRDefault="00EF10F9" w:rsidP="00EF10F9">
      <w:pPr>
        <w:pStyle w:val="Bibliography"/>
        <w:rPr>
          <w:rFonts w:ascii="Arial" w:hAnsi="Arial" w:cs="Arial"/>
        </w:rPr>
      </w:pPr>
      <w:r w:rsidRPr="00EF10F9">
        <w:rPr>
          <w:rFonts w:ascii="Arial" w:hAnsi="Arial" w:cs="Arial"/>
        </w:rPr>
        <w:t>115.</w:t>
      </w:r>
      <w:r w:rsidRPr="00EF10F9">
        <w:rPr>
          <w:rFonts w:ascii="Arial" w:hAnsi="Arial" w:cs="Arial"/>
        </w:rPr>
        <w:tab/>
        <w:t xml:space="preserve">Kumar B, Mohanty B. Public distribution system in rural India: Implications for food safety and consumer protection. In 2012. p. 232–8. </w:t>
      </w:r>
    </w:p>
    <w:p w14:paraId="452A9693" w14:textId="77777777" w:rsidR="00EF10F9" w:rsidRPr="00EF10F9" w:rsidRDefault="00EF10F9" w:rsidP="00EF10F9">
      <w:pPr>
        <w:pStyle w:val="Bibliography"/>
        <w:rPr>
          <w:rFonts w:ascii="Arial" w:hAnsi="Arial" w:cs="Arial"/>
        </w:rPr>
      </w:pPr>
      <w:r w:rsidRPr="00EF10F9">
        <w:rPr>
          <w:rFonts w:ascii="Arial" w:hAnsi="Arial" w:cs="Arial"/>
        </w:rPr>
        <w:t>116.</w:t>
      </w:r>
      <w:r w:rsidRPr="00EF10F9">
        <w:rPr>
          <w:rFonts w:ascii="Arial" w:hAnsi="Arial" w:cs="Arial"/>
        </w:rPr>
        <w:tab/>
        <w:t>Lammer C. Distancing The Regulating State: Corruption, Transparency, And rhe Puzzle of Personal Relatedness In A Food Network In Sichuan. Urban Anthropology and Studies of Cultural Systems and World Economic Development [Internet]. 2017;47(3/4):369. Available from: http://ezproxy.library.yorku.ca/login?url=https://search.proquest.com/docview/2230824658?accountid=15182</w:t>
      </w:r>
    </w:p>
    <w:p w14:paraId="0DDF6696" w14:textId="77777777" w:rsidR="00EF10F9" w:rsidRPr="00EF10F9" w:rsidRDefault="00EF10F9" w:rsidP="00EF10F9">
      <w:pPr>
        <w:pStyle w:val="Bibliography"/>
        <w:rPr>
          <w:rFonts w:ascii="Arial" w:hAnsi="Arial" w:cs="Arial"/>
        </w:rPr>
      </w:pPr>
      <w:r w:rsidRPr="00EF10F9">
        <w:rPr>
          <w:rFonts w:ascii="Arial" w:hAnsi="Arial" w:cs="Arial"/>
        </w:rPr>
        <w:t>117.</w:t>
      </w:r>
      <w:r w:rsidRPr="00EF10F9">
        <w:rPr>
          <w:rFonts w:ascii="Arial" w:hAnsi="Arial" w:cs="Arial"/>
        </w:rPr>
        <w:tab/>
        <w:t xml:space="preserve">Lander CD. Adaptive strategies of smaller foreign investors in the Russian agricultural sector: identity, narrative and performance. JOURNAL OF PEASANT STUDIES. 2019;46(1):165–87. </w:t>
      </w:r>
    </w:p>
    <w:p w14:paraId="4E6F5285" w14:textId="77777777" w:rsidR="00EF10F9" w:rsidRPr="00EF10F9" w:rsidRDefault="00EF10F9" w:rsidP="00EF10F9">
      <w:pPr>
        <w:pStyle w:val="Bibliography"/>
        <w:rPr>
          <w:rFonts w:ascii="Arial" w:hAnsi="Arial" w:cs="Arial"/>
        </w:rPr>
      </w:pPr>
      <w:r w:rsidRPr="00EF10F9">
        <w:rPr>
          <w:rFonts w:ascii="Arial" w:hAnsi="Arial" w:cs="Arial"/>
        </w:rPr>
        <w:t>118.</w:t>
      </w:r>
      <w:r w:rsidRPr="00EF10F9">
        <w:rPr>
          <w:rFonts w:ascii="Arial" w:hAnsi="Arial" w:cs="Arial"/>
        </w:rPr>
        <w:tab/>
        <w:t xml:space="preserve">Larmour P. From clean up to FICAC: Anti-corruption in Fiji’s post coup politics. CRIME LAW AND SOCIAL CHANGE. 2010;53(1, SI):55–66. </w:t>
      </w:r>
    </w:p>
    <w:p w14:paraId="1FBDA3D7" w14:textId="77777777" w:rsidR="00EF10F9" w:rsidRPr="00EF10F9" w:rsidRDefault="00EF10F9" w:rsidP="00EF10F9">
      <w:pPr>
        <w:pStyle w:val="Bibliography"/>
        <w:rPr>
          <w:rFonts w:ascii="Arial" w:hAnsi="Arial" w:cs="Arial"/>
        </w:rPr>
      </w:pPr>
      <w:r w:rsidRPr="00EF10F9">
        <w:rPr>
          <w:rFonts w:ascii="Arial" w:hAnsi="Arial" w:cs="Arial"/>
        </w:rPr>
        <w:t>119.</w:t>
      </w:r>
      <w:r w:rsidRPr="00EF10F9">
        <w:rPr>
          <w:rFonts w:ascii="Arial" w:hAnsi="Arial" w:cs="Arial"/>
        </w:rPr>
        <w:tab/>
        <w:t>Lauber K, Rutter H, Gilmore AB. Big food and the World Health Organization: a qualitative study of industry attempts to influence global-level non-communicable disease policy. BMJ Glob Health [Internet]. 2021 Jun [cited 2021 Sep 7];6(6):e005216. Available from: https://gh.bmj.com/lookup/doi/10.1136/bmjgh-2021-005216</w:t>
      </w:r>
    </w:p>
    <w:p w14:paraId="49433BAF" w14:textId="77777777" w:rsidR="00EF10F9" w:rsidRPr="00EF10F9" w:rsidRDefault="00EF10F9" w:rsidP="00EF10F9">
      <w:pPr>
        <w:pStyle w:val="Bibliography"/>
        <w:rPr>
          <w:rFonts w:ascii="Arial" w:hAnsi="Arial" w:cs="Arial"/>
        </w:rPr>
      </w:pPr>
      <w:r w:rsidRPr="00EF10F9">
        <w:rPr>
          <w:rFonts w:ascii="Arial" w:hAnsi="Arial" w:cs="Arial"/>
        </w:rPr>
        <w:t>120.</w:t>
      </w:r>
      <w:r w:rsidRPr="00EF10F9">
        <w:rPr>
          <w:rFonts w:ascii="Arial" w:hAnsi="Arial" w:cs="Arial"/>
        </w:rPr>
        <w:tab/>
        <w:t>Lee B, Fenoff R, Spink J. Routine activities theory and food fraud victimization. Security Journal [Internet]. 2021; Available from: https://www.scopus.com/inward/record.uri?eid=2-s2.0-85102363303&amp;doi=10.1057%2fs41284-021-00287-1&amp;partnerID=40&amp;md5=0abc2e2c009bb99bf263db8dcc38d82d</w:t>
      </w:r>
    </w:p>
    <w:p w14:paraId="3355747A" w14:textId="77777777" w:rsidR="00EF10F9" w:rsidRPr="00EF10F9" w:rsidRDefault="00EF10F9" w:rsidP="00EF10F9">
      <w:pPr>
        <w:pStyle w:val="Bibliography"/>
        <w:rPr>
          <w:rFonts w:ascii="Arial" w:hAnsi="Arial" w:cs="Arial"/>
        </w:rPr>
      </w:pPr>
      <w:r w:rsidRPr="00EF10F9">
        <w:rPr>
          <w:rFonts w:ascii="Arial" w:hAnsi="Arial" w:cs="Arial"/>
        </w:rPr>
        <w:t>121.</w:t>
      </w:r>
      <w:r w:rsidRPr="00EF10F9">
        <w:rPr>
          <w:rFonts w:ascii="Arial" w:hAnsi="Arial" w:cs="Arial"/>
        </w:rPr>
        <w:tab/>
        <w:t>Levy I, Kerschke-Risch P. Attitudes toward food fraud in Israel and Germany. British Food Journal [Internet]. 2020;122(7):2219–32. Available from: https://www.scopus.com/inward/record.uri?eid=2-s2.0-85083576528&amp;doi=10.1108%2fBFJ-10-2019-0785&amp;partnerID=40&amp;md5=29294dfe185979b0fa9e35b9db0829c3</w:t>
      </w:r>
    </w:p>
    <w:p w14:paraId="7062463B" w14:textId="77777777" w:rsidR="00EF10F9" w:rsidRPr="00EF10F9" w:rsidRDefault="00EF10F9" w:rsidP="00EF10F9">
      <w:pPr>
        <w:pStyle w:val="Bibliography"/>
        <w:rPr>
          <w:rFonts w:ascii="Arial" w:hAnsi="Arial" w:cs="Arial"/>
        </w:rPr>
      </w:pPr>
      <w:r w:rsidRPr="00EF10F9">
        <w:rPr>
          <w:rFonts w:ascii="Arial" w:hAnsi="Arial" w:cs="Arial"/>
        </w:rPr>
        <w:t>122.</w:t>
      </w:r>
      <w:r w:rsidRPr="00EF10F9">
        <w:rPr>
          <w:rFonts w:ascii="Arial" w:hAnsi="Arial" w:cs="Arial"/>
        </w:rPr>
        <w:tab/>
        <w:t>Lio MC, Hu JL. Governance and agricultural production efficiency: A cross-country aggregate frontier analysis. Journal of Agricultural Economics [Internet]. 2009;60(1):40–61. Available from: https://www.scopus.com/inward/record.uri?eid=2-s2.0-58149513397&amp;doi=10.1111%2fj.1477-9552.2008.00172.x&amp;partnerID=40&amp;md5=a11edf56862a234f6a9db14e084551fd</w:t>
      </w:r>
    </w:p>
    <w:p w14:paraId="052D4471" w14:textId="77777777" w:rsidR="00EF10F9" w:rsidRPr="00EF10F9" w:rsidRDefault="00EF10F9" w:rsidP="00EF10F9">
      <w:pPr>
        <w:pStyle w:val="Bibliography"/>
        <w:rPr>
          <w:rFonts w:ascii="Arial" w:hAnsi="Arial" w:cs="Arial"/>
        </w:rPr>
      </w:pPr>
      <w:r w:rsidRPr="00EF10F9">
        <w:rPr>
          <w:rFonts w:ascii="Arial" w:hAnsi="Arial" w:cs="Arial"/>
        </w:rPr>
        <w:t>123.</w:t>
      </w:r>
      <w:r w:rsidRPr="00EF10F9">
        <w:rPr>
          <w:rFonts w:ascii="Arial" w:hAnsi="Arial" w:cs="Arial"/>
        </w:rPr>
        <w:tab/>
        <w:t xml:space="preserve">Liu CY. Institutional Isomorphism and Food Fraud: A Longitudinal Study of the Mislabeling of Rice in Taiwan. Journal of Agricultural and Environmental Ethics. 2016;29(4):607–30. </w:t>
      </w:r>
    </w:p>
    <w:p w14:paraId="34A75208" w14:textId="77777777" w:rsidR="00EF10F9" w:rsidRPr="00EF10F9" w:rsidRDefault="00EF10F9" w:rsidP="00EF10F9">
      <w:pPr>
        <w:pStyle w:val="Bibliography"/>
        <w:rPr>
          <w:rFonts w:ascii="Arial" w:hAnsi="Arial" w:cs="Arial"/>
        </w:rPr>
      </w:pPr>
      <w:r w:rsidRPr="00EF10F9">
        <w:rPr>
          <w:rFonts w:ascii="Arial" w:hAnsi="Arial" w:cs="Arial"/>
        </w:rPr>
        <w:t>124.</w:t>
      </w:r>
      <w:r w:rsidRPr="00EF10F9">
        <w:rPr>
          <w:rFonts w:ascii="Arial" w:hAnsi="Arial" w:cs="Arial"/>
        </w:rPr>
        <w:tab/>
        <w:t>Liu Y, Liu F, Zhang J, Gao J. Insights into the nature of food safety issues in Beijing through content analysis of an Internet database of food safety incidents inChina. Food Control [Internet]. 2015;51:206–11. Available from: https://www.scopus.com/inward/record.uri?eid=2-s2.0-</w:t>
      </w:r>
      <w:r w:rsidRPr="00EF10F9">
        <w:rPr>
          <w:rFonts w:ascii="Arial" w:hAnsi="Arial" w:cs="Arial"/>
        </w:rPr>
        <w:lastRenderedPageBreak/>
        <w:t>84949116415&amp;doi=10.1016%2fj.foodcont.2014.11.017&amp;partnerID=40&amp;md5=f31b238bcb1aed1b38d948ea6df7faeb</w:t>
      </w:r>
    </w:p>
    <w:p w14:paraId="1202D27A" w14:textId="77777777" w:rsidR="00EF10F9" w:rsidRPr="00EF10F9" w:rsidRDefault="00EF10F9" w:rsidP="00EF10F9">
      <w:pPr>
        <w:pStyle w:val="Bibliography"/>
        <w:rPr>
          <w:rFonts w:ascii="Arial" w:hAnsi="Arial" w:cs="Arial"/>
        </w:rPr>
      </w:pPr>
      <w:r w:rsidRPr="00EF10F9">
        <w:rPr>
          <w:rFonts w:ascii="Arial" w:hAnsi="Arial" w:cs="Arial"/>
        </w:rPr>
        <w:t>125.</w:t>
      </w:r>
      <w:r w:rsidRPr="00EF10F9">
        <w:rPr>
          <w:rFonts w:ascii="Arial" w:hAnsi="Arial" w:cs="Arial"/>
        </w:rPr>
        <w:tab/>
        <w:t xml:space="preserve">Lord N, Elizondo CJF, Spencer J. The dynamics of food fraud: The interactions between criminal opportunity and market (dys)functionality in legitimate business. CRIMINOLOGY &amp; CRIMINAL JUSTICE. 2017;17(5):605–23. </w:t>
      </w:r>
    </w:p>
    <w:p w14:paraId="1151566F" w14:textId="77777777" w:rsidR="00EF10F9" w:rsidRPr="00EF10F9" w:rsidRDefault="00EF10F9" w:rsidP="00EF10F9">
      <w:pPr>
        <w:pStyle w:val="Bibliography"/>
        <w:rPr>
          <w:rFonts w:ascii="Arial" w:hAnsi="Arial" w:cs="Arial"/>
        </w:rPr>
      </w:pPr>
      <w:r w:rsidRPr="00EF10F9">
        <w:rPr>
          <w:rFonts w:ascii="Arial" w:hAnsi="Arial" w:cs="Arial"/>
        </w:rPr>
        <w:t>126.</w:t>
      </w:r>
      <w:r w:rsidRPr="00EF10F9">
        <w:rPr>
          <w:rFonts w:ascii="Arial" w:hAnsi="Arial" w:cs="Arial"/>
        </w:rPr>
        <w:tab/>
        <w:t xml:space="preserve">Lovett N, Xue Y. Have electronic benefits cards improved food access for food stamp recipients? JOURNAL OF ECONOMIC STUDIES. 2017;44(6):958–75. </w:t>
      </w:r>
    </w:p>
    <w:p w14:paraId="786D9811" w14:textId="77777777" w:rsidR="00EF10F9" w:rsidRPr="00EF10F9" w:rsidRDefault="00EF10F9" w:rsidP="00EF10F9">
      <w:pPr>
        <w:pStyle w:val="Bibliography"/>
        <w:rPr>
          <w:rFonts w:ascii="Arial" w:hAnsi="Arial" w:cs="Arial"/>
        </w:rPr>
      </w:pPr>
      <w:r w:rsidRPr="00EF10F9">
        <w:rPr>
          <w:rFonts w:ascii="Arial" w:hAnsi="Arial" w:cs="Arial"/>
        </w:rPr>
        <w:t>127.</w:t>
      </w:r>
      <w:r w:rsidRPr="00EF10F9">
        <w:rPr>
          <w:rFonts w:ascii="Arial" w:hAnsi="Arial" w:cs="Arial"/>
        </w:rPr>
        <w:tab/>
        <w:t>Mangla SK, Kazancoglu Y, Ekinci E, Liu M, Özbiltekin M, Sezer MD. Using system dynamics to analyze the societal impacts of blockchain technology in milk supply chainsrefer. Transportation Research Part E: Logistics and Transportation Review [Internet]. 2021;149. Available from: https://www.scopus.com/inward/record.uri?eid=2-s2.0-85103011950&amp;doi=10.1016%2fj.tre.2021.102289&amp;partnerID=40&amp;md5=a7527014d3671d34785d03867d06a049</w:t>
      </w:r>
    </w:p>
    <w:p w14:paraId="1F6FC9C6" w14:textId="77777777" w:rsidR="00EF10F9" w:rsidRPr="00EF10F9" w:rsidRDefault="00EF10F9" w:rsidP="00EF10F9">
      <w:pPr>
        <w:pStyle w:val="Bibliography"/>
        <w:rPr>
          <w:rFonts w:ascii="Arial" w:hAnsi="Arial" w:cs="Arial"/>
        </w:rPr>
      </w:pPr>
      <w:r w:rsidRPr="00EF10F9">
        <w:rPr>
          <w:rFonts w:ascii="Arial" w:hAnsi="Arial" w:cs="Arial"/>
        </w:rPr>
        <w:t>128.</w:t>
      </w:r>
      <w:r w:rsidRPr="00EF10F9">
        <w:rPr>
          <w:rFonts w:ascii="Arial" w:hAnsi="Arial" w:cs="Arial"/>
        </w:rPr>
        <w:tab/>
        <w:t xml:space="preserve">Mariath AB, Martins APB. Sugary drinks taxation: industry’s lobbying strategies, practices and arguments in the Brazilian Legislature. Public Health Nutr. 2021;1–10. </w:t>
      </w:r>
    </w:p>
    <w:p w14:paraId="1E9C85AD" w14:textId="77777777" w:rsidR="00EF10F9" w:rsidRPr="00EF10F9" w:rsidRDefault="00EF10F9" w:rsidP="00EF10F9">
      <w:pPr>
        <w:pStyle w:val="Bibliography"/>
        <w:rPr>
          <w:rFonts w:ascii="Arial" w:hAnsi="Arial" w:cs="Arial"/>
        </w:rPr>
      </w:pPr>
      <w:r w:rsidRPr="00EF10F9">
        <w:rPr>
          <w:rFonts w:ascii="Arial" w:hAnsi="Arial" w:cs="Arial"/>
        </w:rPr>
        <w:t>129.</w:t>
      </w:r>
      <w:r w:rsidRPr="00EF10F9">
        <w:rPr>
          <w:rFonts w:ascii="Arial" w:hAnsi="Arial" w:cs="Arial"/>
        </w:rPr>
        <w:tab/>
        <w:t xml:space="preserve">Martinez JC. Site of Resistance or Apparatus of Acquiescence? Tactics at the Bakery. MIDDLE EAST LAW AND GOVERNANCE. 2018;10(2):160–84. </w:t>
      </w:r>
    </w:p>
    <w:p w14:paraId="75C10208" w14:textId="77777777" w:rsidR="00EF10F9" w:rsidRPr="00EF10F9" w:rsidRDefault="00EF10F9" w:rsidP="00EF10F9">
      <w:pPr>
        <w:pStyle w:val="Bibliography"/>
        <w:rPr>
          <w:rFonts w:ascii="Arial" w:hAnsi="Arial" w:cs="Arial"/>
        </w:rPr>
      </w:pPr>
      <w:r w:rsidRPr="00EF10F9">
        <w:rPr>
          <w:rFonts w:ascii="Arial" w:hAnsi="Arial" w:cs="Arial"/>
        </w:rPr>
        <w:t>130.</w:t>
      </w:r>
      <w:r w:rsidRPr="00EF10F9">
        <w:rPr>
          <w:rFonts w:ascii="Arial" w:hAnsi="Arial" w:cs="Arial"/>
        </w:rPr>
        <w:tab/>
        <w:t>Marvin HJP, Bouzembrak Y, Janssen EM, van der Fels- Klerx HJ, van Asselt ED, Kleter GA. A holistic approach to food safety risks: Food fraud as an example. Food Research International [Internet]. 2016;89:463–70. Available from: https://www.scopus.com/inward/record.uri?eid=2-s2.0-84995520513&amp;doi=10.1016%2fj.foodres.2016.08.028&amp;partnerID=40&amp;md5=ec58d79055544468bcc50907a5fc1415</w:t>
      </w:r>
    </w:p>
    <w:p w14:paraId="0877D1FD" w14:textId="77777777" w:rsidR="00EF10F9" w:rsidRPr="00EF10F9" w:rsidRDefault="00EF10F9" w:rsidP="00EF10F9">
      <w:pPr>
        <w:pStyle w:val="Bibliography"/>
        <w:rPr>
          <w:rFonts w:ascii="Arial" w:hAnsi="Arial" w:cs="Arial"/>
        </w:rPr>
      </w:pPr>
      <w:r w:rsidRPr="00EF10F9">
        <w:rPr>
          <w:rFonts w:ascii="Arial" w:hAnsi="Arial" w:cs="Arial"/>
        </w:rPr>
        <w:t>131.</w:t>
      </w:r>
      <w:r w:rsidRPr="00EF10F9">
        <w:rPr>
          <w:rFonts w:ascii="Arial" w:hAnsi="Arial" w:cs="Arial"/>
        </w:rPr>
        <w:tab/>
        <w:t>McElwee G, Smith R, Lever J. Illegal activity in the UK halal (sheep) supply chain: Towards greater understanding. Food Policy [Internet]. 2017;69:166–75. Available from: https://www.scopus.com/inward/record.uri?eid=2-s2.0-85017267556&amp;doi=10.1016%2fj.foodpol.2017.04.006&amp;partnerID=40&amp;md5=eb2a6b3636c674cfdc173d286e8c8821</w:t>
      </w:r>
    </w:p>
    <w:p w14:paraId="77BF8BBB" w14:textId="77777777" w:rsidR="00EF10F9" w:rsidRPr="00EF10F9" w:rsidRDefault="00EF10F9" w:rsidP="00EF10F9">
      <w:pPr>
        <w:pStyle w:val="Bibliography"/>
        <w:rPr>
          <w:rFonts w:ascii="Arial" w:hAnsi="Arial" w:cs="Arial"/>
        </w:rPr>
      </w:pPr>
      <w:r w:rsidRPr="00EF10F9">
        <w:rPr>
          <w:rFonts w:ascii="Arial" w:hAnsi="Arial" w:cs="Arial"/>
        </w:rPr>
        <w:t>132.</w:t>
      </w:r>
      <w:r w:rsidRPr="00EF10F9">
        <w:rPr>
          <w:rFonts w:ascii="Arial" w:hAnsi="Arial" w:cs="Arial"/>
        </w:rPr>
        <w:tab/>
        <w:t>Meenakshi JV, Banerji A. The unsupportable support price: An analysis of collusion and government intervention in paddy auction markets in North India. Journal of Development Economics [Internet]. 2005;76(2):377–403. Available from: https://www.scopus.com/inward/record.uri?eid=2-s2.0-10944260130&amp;doi=10.1016%2fj.jdeveco.2004.02.001&amp;partnerID=40&amp;md5=8c3edc1083bada1de63d968cd8652c49</w:t>
      </w:r>
    </w:p>
    <w:p w14:paraId="0A608750" w14:textId="77777777" w:rsidR="00EF10F9" w:rsidRPr="00EF10F9" w:rsidRDefault="00EF10F9" w:rsidP="00EF10F9">
      <w:pPr>
        <w:pStyle w:val="Bibliography"/>
        <w:rPr>
          <w:rFonts w:ascii="Arial" w:hAnsi="Arial" w:cs="Arial"/>
        </w:rPr>
      </w:pPr>
      <w:r w:rsidRPr="00EF10F9">
        <w:rPr>
          <w:rFonts w:ascii="Arial" w:hAnsi="Arial" w:cs="Arial"/>
        </w:rPr>
        <w:t>133.</w:t>
      </w:r>
      <w:r w:rsidRPr="00EF10F9">
        <w:rPr>
          <w:rFonts w:ascii="Arial" w:hAnsi="Arial" w:cs="Arial"/>
        </w:rPr>
        <w:tab/>
        <w:t xml:space="preserve">Mehta A, Jha S. Corruption, food subsidies, and opacity: Evidence from the Philippines. Economics Letters. 2012;117(3):708–11. </w:t>
      </w:r>
    </w:p>
    <w:p w14:paraId="3433BDA3" w14:textId="77777777" w:rsidR="00EF10F9" w:rsidRPr="00EF10F9" w:rsidRDefault="00EF10F9" w:rsidP="00EF10F9">
      <w:pPr>
        <w:pStyle w:val="Bibliography"/>
        <w:rPr>
          <w:rFonts w:ascii="Arial" w:hAnsi="Arial" w:cs="Arial"/>
        </w:rPr>
      </w:pPr>
      <w:r w:rsidRPr="00EF10F9">
        <w:rPr>
          <w:rFonts w:ascii="Arial" w:hAnsi="Arial" w:cs="Arial"/>
        </w:rPr>
        <w:t>134.</w:t>
      </w:r>
      <w:r w:rsidRPr="00EF10F9">
        <w:rPr>
          <w:rFonts w:ascii="Arial" w:hAnsi="Arial" w:cs="Arial"/>
        </w:rPr>
        <w:tab/>
        <w:t xml:space="preserve">Mehta A, Jha S. Pilferage from opaque food subsidy programs: Theory and evidence. Food Policy. 2014;45:69–79. </w:t>
      </w:r>
    </w:p>
    <w:p w14:paraId="3FFEEB2F" w14:textId="77777777" w:rsidR="00EF10F9" w:rsidRPr="00EF10F9" w:rsidRDefault="00EF10F9" w:rsidP="00EF10F9">
      <w:pPr>
        <w:pStyle w:val="Bibliography"/>
        <w:rPr>
          <w:rFonts w:ascii="Arial" w:hAnsi="Arial" w:cs="Arial"/>
        </w:rPr>
      </w:pPr>
      <w:r w:rsidRPr="00EF10F9">
        <w:rPr>
          <w:rFonts w:ascii="Arial" w:hAnsi="Arial" w:cs="Arial"/>
        </w:rPr>
        <w:t>135.</w:t>
      </w:r>
      <w:r w:rsidRPr="00EF10F9">
        <w:rPr>
          <w:rFonts w:ascii="Arial" w:hAnsi="Arial" w:cs="Arial"/>
        </w:rPr>
        <w:tab/>
        <w:t>Menon S. Aadhaar-based Biometric Authentication for PDS and Food Security: Observations on Implementation in Jharkhand’s Ranchi District. Indian Journal of Human Development [Internet]. 2017;11(3):387–401. Available from: https://www.scopus.com/inward/record.uri?eid=2-s2.0-</w:t>
      </w:r>
      <w:r w:rsidRPr="00EF10F9">
        <w:rPr>
          <w:rFonts w:ascii="Arial" w:hAnsi="Arial" w:cs="Arial"/>
        </w:rPr>
        <w:lastRenderedPageBreak/>
        <w:t>85063625445&amp;doi=10.1177%2f0973703017748384&amp;partnerID=40&amp;md5=13672b967910febeffb517970106b9aa</w:t>
      </w:r>
    </w:p>
    <w:p w14:paraId="3191432A" w14:textId="77777777" w:rsidR="00EF10F9" w:rsidRPr="00EF10F9" w:rsidRDefault="00EF10F9" w:rsidP="00EF10F9">
      <w:pPr>
        <w:pStyle w:val="Bibliography"/>
        <w:rPr>
          <w:rFonts w:ascii="Arial" w:hAnsi="Arial" w:cs="Arial"/>
        </w:rPr>
      </w:pPr>
      <w:r w:rsidRPr="00EF10F9">
        <w:rPr>
          <w:rFonts w:ascii="Arial" w:hAnsi="Arial" w:cs="Arial"/>
        </w:rPr>
        <w:t>136.</w:t>
      </w:r>
      <w:r w:rsidRPr="00EF10F9">
        <w:rPr>
          <w:rFonts w:ascii="Arial" w:hAnsi="Arial" w:cs="Arial"/>
        </w:rPr>
        <w:tab/>
        <w:t xml:space="preserve">Mensah N, Amrago E, Asare J, Tutu F, Donkor A. Poultry farmers willingness to pay for agricultural tax: evidence from the Bono region, Ghana. WORLD JOURNAL OF ENTREPRENEURSHIP MANAGEMENT AND SUSTAINABLE DEVELOPMENT. 2021;17(2):290–306. </w:t>
      </w:r>
    </w:p>
    <w:p w14:paraId="2CCA7AF9" w14:textId="77777777" w:rsidR="00EF10F9" w:rsidRPr="00EF10F9" w:rsidRDefault="00EF10F9" w:rsidP="00EF10F9">
      <w:pPr>
        <w:pStyle w:val="Bibliography"/>
        <w:rPr>
          <w:rFonts w:ascii="Arial" w:hAnsi="Arial" w:cs="Arial"/>
        </w:rPr>
      </w:pPr>
      <w:r w:rsidRPr="00EF10F9">
        <w:rPr>
          <w:rFonts w:ascii="Arial" w:hAnsi="Arial" w:cs="Arial"/>
        </w:rPr>
        <w:t>137.</w:t>
      </w:r>
      <w:r w:rsidRPr="00EF10F9">
        <w:rPr>
          <w:rFonts w:ascii="Arial" w:hAnsi="Arial" w:cs="Arial"/>
        </w:rPr>
        <w:tab/>
        <w:t>Mialon M, Charry DAG, Cediel G, Crosbie E, Scagliusi FB, Tamayo EMP. ‘I had never seen so many lobbyists’: Food industry political practices during the development of a new nutrition front-of-pack labelling system in Colombia. Public Health Nutrition [Internet]. 2021;24(9):2737–45. Available from: https://www.scopus.com/inward/record.uri?eid=2-s2.0-85092472140&amp;doi=10.1017%2fS1368980020002268&amp;partnerID=40&amp;md5=6b5fa7a17a2c34a3b65660bbcd1b7d7e</w:t>
      </w:r>
    </w:p>
    <w:p w14:paraId="6EDC7EB1" w14:textId="77777777" w:rsidR="00EF10F9" w:rsidRPr="00EF10F9" w:rsidRDefault="00EF10F9" w:rsidP="00EF10F9">
      <w:pPr>
        <w:pStyle w:val="Bibliography"/>
        <w:rPr>
          <w:rFonts w:ascii="Arial" w:hAnsi="Arial" w:cs="Arial"/>
        </w:rPr>
      </w:pPr>
      <w:r w:rsidRPr="00EF10F9">
        <w:rPr>
          <w:rFonts w:ascii="Arial" w:hAnsi="Arial" w:cs="Arial"/>
        </w:rPr>
        <w:t>138.</w:t>
      </w:r>
      <w:r w:rsidRPr="00EF10F9">
        <w:rPr>
          <w:rFonts w:ascii="Arial" w:hAnsi="Arial" w:cs="Arial"/>
        </w:rPr>
        <w:tab/>
        <w:t>Mialon M, Gaitan Charry DA, Cediel G, Crosbie E, Baeza Scagliusi F, Pérez Tamayo EM. ‘the architecture of the state was transformed in favour of the interests of companies’: Corporate political activity of the food industry in Colombia. Globalization and Health [Internet]. 2020;16(1). Available from: https://www.scopus.com/inward/record.uri?eid=2-s2.0-85092534307&amp;doi=10.1186%2fs12992-020-00631-x&amp;partnerID=40&amp;md5=0161a4a45e1362c2dc0acdc5c013a83b</w:t>
      </w:r>
    </w:p>
    <w:p w14:paraId="1BF53D25" w14:textId="77777777" w:rsidR="00EF10F9" w:rsidRPr="00EF10F9" w:rsidRDefault="00EF10F9" w:rsidP="00EF10F9">
      <w:pPr>
        <w:pStyle w:val="Bibliography"/>
        <w:rPr>
          <w:rFonts w:ascii="Arial" w:hAnsi="Arial" w:cs="Arial"/>
        </w:rPr>
      </w:pPr>
      <w:r w:rsidRPr="00EF10F9">
        <w:rPr>
          <w:rFonts w:ascii="Arial" w:hAnsi="Arial" w:cs="Arial"/>
        </w:rPr>
        <w:t>139.</w:t>
      </w:r>
      <w:r w:rsidRPr="00EF10F9">
        <w:rPr>
          <w:rFonts w:ascii="Arial" w:hAnsi="Arial" w:cs="Arial"/>
        </w:rPr>
        <w:tab/>
        <w:t>Mialon M, Mialon J. Analysis of corporate political activity strategies of the food industry: Evidence from France. Public Health Nutrition [Internet]. 2018;21(18):3407–21. Available from: https://www.scopus.com/inward/record.uri?eid=2-s2.0-85049866651&amp;doi=10.1017%2fS1368980018001763&amp;partnerID=40&amp;md5=17c50f5d60b802efaa7df828b8a2433a</w:t>
      </w:r>
    </w:p>
    <w:p w14:paraId="2A377D33" w14:textId="77777777" w:rsidR="00EF10F9" w:rsidRPr="00EF10F9" w:rsidRDefault="00EF10F9" w:rsidP="00EF10F9">
      <w:pPr>
        <w:pStyle w:val="Bibliography"/>
        <w:rPr>
          <w:rFonts w:ascii="Arial" w:hAnsi="Arial" w:cs="Arial"/>
        </w:rPr>
      </w:pPr>
      <w:r w:rsidRPr="00EF10F9">
        <w:rPr>
          <w:rFonts w:ascii="Arial" w:hAnsi="Arial" w:cs="Arial"/>
        </w:rPr>
        <w:t>140.</w:t>
      </w:r>
      <w:r w:rsidRPr="00EF10F9">
        <w:rPr>
          <w:rFonts w:ascii="Arial" w:hAnsi="Arial" w:cs="Arial"/>
        </w:rPr>
        <w:tab/>
        <w:t>Mialon M, Mialon J. Corporate political activity of the dairy industry in France: An analysis of publicly available information. Public Health Nutrition [Internet]. 2017;20(13):2432–9. Available from: https://www.scopus.com/inward/record.uri?eid=2-s2.0-85022051920&amp;doi=10.1017%2fS1368980017001197&amp;partnerID=40&amp;md5=60d0cb4f62d204c4988f951c9ff1dd6f</w:t>
      </w:r>
    </w:p>
    <w:p w14:paraId="2DCACF51" w14:textId="77777777" w:rsidR="00EF10F9" w:rsidRPr="00EF10F9" w:rsidRDefault="00EF10F9" w:rsidP="00EF10F9">
      <w:pPr>
        <w:pStyle w:val="Bibliography"/>
        <w:rPr>
          <w:rFonts w:ascii="Arial" w:hAnsi="Arial" w:cs="Arial"/>
        </w:rPr>
      </w:pPr>
      <w:r w:rsidRPr="00EF10F9">
        <w:rPr>
          <w:rFonts w:ascii="Arial" w:hAnsi="Arial" w:cs="Arial"/>
        </w:rPr>
        <w:t>141.</w:t>
      </w:r>
      <w:r w:rsidRPr="00EF10F9">
        <w:rPr>
          <w:rFonts w:ascii="Arial" w:hAnsi="Arial" w:cs="Arial"/>
        </w:rPr>
        <w:tab/>
        <w:t>Mialon M, Swinburn B, Allender S, Sacks G. ‘Maximising shareholder value’: a detailed insight into the corporate political activity of the Australian food industry. Australian and New Zealand Journal of Public Health [Internet]. 2017;41(2):165–71. Available from: https://www.scopus.com/inward/record.uri?eid=2-s2.0-85010223807&amp;doi=10.1111%2f1753-6405.12639&amp;partnerID=40&amp;md5=2a51505e6a319a1be91d0416873fa34a</w:t>
      </w:r>
    </w:p>
    <w:p w14:paraId="58801C55" w14:textId="77777777" w:rsidR="00EF10F9" w:rsidRPr="00EF10F9" w:rsidRDefault="00EF10F9" w:rsidP="00EF10F9">
      <w:pPr>
        <w:pStyle w:val="Bibliography"/>
        <w:rPr>
          <w:rFonts w:ascii="Arial" w:hAnsi="Arial" w:cs="Arial"/>
        </w:rPr>
      </w:pPr>
      <w:r w:rsidRPr="00EF10F9">
        <w:rPr>
          <w:rFonts w:ascii="Arial" w:hAnsi="Arial" w:cs="Arial"/>
        </w:rPr>
        <w:t>142.</w:t>
      </w:r>
      <w:r w:rsidRPr="00EF10F9">
        <w:rPr>
          <w:rFonts w:ascii="Arial" w:hAnsi="Arial" w:cs="Arial"/>
        </w:rPr>
        <w:tab/>
        <w:t>Mialon M, Swinburn B, Wate J, Tukana I, Sacks G. Analysis of the corporate political activity of major food industry actors in Fiji. Globalization and Health [Internet]. 2016;12(1). Available from: https://www.scopus.com/inward/record.uri?eid=2-s2.0-84968764845&amp;doi=10.1186%2fs12992-016-0158-8&amp;partnerID=40&amp;md5=f76403a26481e7cd7c07e7491643b25a</w:t>
      </w:r>
    </w:p>
    <w:p w14:paraId="45CBD4C7" w14:textId="77777777" w:rsidR="00EF10F9" w:rsidRPr="00EF10F9" w:rsidRDefault="00EF10F9" w:rsidP="00EF10F9">
      <w:pPr>
        <w:pStyle w:val="Bibliography"/>
        <w:rPr>
          <w:rFonts w:ascii="Arial" w:hAnsi="Arial" w:cs="Arial"/>
        </w:rPr>
      </w:pPr>
      <w:r w:rsidRPr="00EF10F9">
        <w:rPr>
          <w:rFonts w:ascii="Arial" w:hAnsi="Arial" w:cs="Arial"/>
        </w:rPr>
        <w:t>143.</w:t>
      </w:r>
      <w:r w:rsidRPr="00EF10F9">
        <w:rPr>
          <w:rFonts w:ascii="Arial" w:hAnsi="Arial" w:cs="Arial"/>
        </w:rPr>
        <w:tab/>
        <w:t>Montgomery R, Sumarto S, Mawardi S, Usman S, Toyamah N, Febriany V, et al. Deregulation of Indonesia’s interregional agricultural trade. Bulletin of Indonesian Economic Studies [Internet]. 2002;38(1):93–117. Available from: https://www.scopus.com/inward/record.uri?eid=2-s2.0-</w:t>
      </w:r>
      <w:r w:rsidRPr="00EF10F9">
        <w:rPr>
          <w:rFonts w:ascii="Arial" w:hAnsi="Arial" w:cs="Arial"/>
        </w:rPr>
        <w:lastRenderedPageBreak/>
        <w:t>0036224951&amp;doi=10.1080%2f000749102753620301&amp;partnerID=40&amp;md5=6c36ee1e4094989a5bdecd095a2d0b78</w:t>
      </w:r>
    </w:p>
    <w:p w14:paraId="37AE9F59" w14:textId="77777777" w:rsidR="00EF10F9" w:rsidRPr="00EF10F9" w:rsidRDefault="00EF10F9" w:rsidP="00EF10F9">
      <w:pPr>
        <w:pStyle w:val="Bibliography"/>
        <w:rPr>
          <w:rFonts w:ascii="Arial" w:hAnsi="Arial" w:cs="Arial"/>
        </w:rPr>
      </w:pPr>
      <w:r w:rsidRPr="00EF10F9">
        <w:rPr>
          <w:rFonts w:ascii="Arial" w:hAnsi="Arial" w:cs="Arial"/>
        </w:rPr>
        <w:t>144.</w:t>
      </w:r>
      <w:r w:rsidRPr="00EF10F9">
        <w:rPr>
          <w:rFonts w:ascii="Arial" w:hAnsi="Arial" w:cs="Arial"/>
        </w:rPr>
        <w:tab/>
        <w:t>Moreira MJ, García-Díez J, de Almeida JMMM, Saraiva C. Consumer knowledge about food labeling and fraud. Foods [Internet]. 2021;10(5). Available from: https://www.scopus.com/inward/record.uri?eid=2-s2.0-85106975038&amp;doi=10.3390%2ffoods10051095&amp;partnerID=40&amp;md5=d1a400cb1b76c378ad17c10855db399c</w:t>
      </w:r>
    </w:p>
    <w:p w14:paraId="4123F6FE" w14:textId="77777777" w:rsidR="00EF10F9" w:rsidRPr="00EF10F9" w:rsidRDefault="00EF10F9" w:rsidP="00EF10F9">
      <w:pPr>
        <w:pStyle w:val="Bibliography"/>
        <w:rPr>
          <w:rFonts w:ascii="Arial" w:hAnsi="Arial" w:cs="Arial"/>
        </w:rPr>
      </w:pPr>
      <w:r w:rsidRPr="00EF10F9">
        <w:rPr>
          <w:rFonts w:ascii="Arial" w:hAnsi="Arial" w:cs="Arial"/>
        </w:rPr>
        <w:t>145.</w:t>
      </w:r>
      <w:r w:rsidRPr="00EF10F9">
        <w:rPr>
          <w:rFonts w:ascii="Arial" w:hAnsi="Arial" w:cs="Arial"/>
        </w:rPr>
        <w:tab/>
        <w:t>Mulligan C, Jawad A, Kent MP, Vanderlee L, L’Abbé MR. Stakeholder interactions with the federal government related to Bill S-228 and marketing to kids in Canada: a quantitative descriptive study. CMAJ open [Internet]. 2021;9(1):E280–7. Available from: https://www.scopus.com/inward/record.uri?eid=2-s2.0-85107911926&amp;doi=10.9778%2fcmajo.20200086&amp;partnerID=40&amp;md5=28593f9ff69ab385154ed98aa5cead7c</w:t>
      </w:r>
    </w:p>
    <w:p w14:paraId="1BC74A10" w14:textId="77777777" w:rsidR="00EF10F9" w:rsidRPr="00EF10F9" w:rsidRDefault="00EF10F9" w:rsidP="00EF10F9">
      <w:pPr>
        <w:pStyle w:val="Bibliography"/>
        <w:rPr>
          <w:rFonts w:ascii="Arial" w:hAnsi="Arial" w:cs="Arial"/>
        </w:rPr>
      </w:pPr>
      <w:r w:rsidRPr="00EF10F9">
        <w:rPr>
          <w:rFonts w:ascii="Arial" w:hAnsi="Arial" w:cs="Arial"/>
        </w:rPr>
        <w:t>146.</w:t>
      </w:r>
      <w:r w:rsidRPr="00EF10F9">
        <w:rPr>
          <w:rFonts w:ascii="Arial" w:hAnsi="Arial" w:cs="Arial"/>
        </w:rPr>
        <w:tab/>
        <w:t xml:space="preserve">Nading A. Orientation and Crafted Bureaucracy: Finding Dignity in Nicaraguan Food Safety. AMERICAN ANTHROPOLOGIST. 2017;119(3):478–90. </w:t>
      </w:r>
    </w:p>
    <w:p w14:paraId="47710ED8" w14:textId="77777777" w:rsidR="00EF10F9" w:rsidRPr="00EF10F9" w:rsidRDefault="00EF10F9" w:rsidP="00EF10F9">
      <w:pPr>
        <w:pStyle w:val="Bibliography"/>
        <w:rPr>
          <w:rFonts w:ascii="Arial" w:hAnsi="Arial" w:cs="Arial"/>
        </w:rPr>
      </w:pPr>
      <w:r w:rsidRPr="00EF10F9">
        <w:rPr>
          <w:rFonts w:ascii="Arial" w:hAnsi="Arial" w:cs="Arial"/>
        </w:rPr>
        <w:t>147.</w:t>
      </w:r>
      <w:r w:rsidRPr="00EF10F9">
        <w:rPr>
          <w:rFonts w:ascii="Arial" w:hAnsi="Arial" w:cs="Arial"/>
        </w:rPr>
        <w:tab/>
        <w:t xml:space="preserve">Nagavarapu S, Sekhri S. Informal monitoring and enforcement mechanisms in public service delivery: Evidence from the public distribution system in India. Journal of Development Economics. 2016;121:63–78. </w:t>
      </w:r>
    </w:p>
    <w:p w14:paraId="575355CD" w14:textId="77777777" w:rsidR="00EF10F9" w:rsidRPr="00EF10F9" w:rsidRDefault="00EF10F9" w:rsidP="00EF10F9">
      <w:pPr>
        <w:pStyle w:val="Bibliography"/>
        <w:rPr>
          <w:rFonts w:ascii="Arial" w:hAnsi="Arial" w:cs="Arial"/>
        </w:rPr>
      </w:pPr>
      <w:r w:rsidRPr="00EF10F9">
        <w:rPr>
          <w:rFonts w:ascii="Arial" w:hAnsi="Arial" w:cs="Arial"/>
        </w:rPr>
        <w:t>148.</w:t>
      </w:r>
      <w:r w:rsidRPr="00EF10F9">
        <w:rPr>
          <w:rFonts w:ascii="Arial" w:hAnsi="Arial" w:cs="Arial"/>
        </w:rPr>
        <w:tab/>
        <w:t xml:space="preserve">Naqvi N. Finance and Industrial Policy in Unsuccessful Developmental States: The Case of Pakistan. DEVELOPMENT AND CHANGE. 2018;49(4):1064–92. </w:t>
      </w:r>
    </w:p>
    <w:p w14:paraId="330F7171" w14:textId="77777777" w:rsidR="00EF10F9" w:rsidRPr="00EF10F9" w:rsidRDefault="00EF10F9" w:rsidP="00EF10F9">
      <w:pPr>
        <w:pStyle w:val="Bibliography"/>
        <w:rPr>
          <w:rFonts w:ascii="Arial" w:hAnsi="Arial" w:cs="Arial"/>
        </w:rPr>
      </w:pPr>
      <w:r w:rsidRPr="00EF10F9">
        <w:rPr>
          <w:rFonts w:ascii="Arial" w:hAnsi="Arial" w:cs="Arial"/>
        </w:rPr>
        <w:t>149.</w:t>
      </w:r>
      <w:r w:rsidRPr="00EF10F9">
        <w:rPr>
          <w:rFonts w:ascii="Arial" w:hAnsi="Arial" w:cs="Arial"/>
        </w:rPr>
        <w:tab/>
        <w:t xml:space="preserve">Neumann K, Stehfest E, Verburg PH, Siebert S, Muller C, Veldkamp T. Exploring global irrigation patterns: A multilevel modelling approach. AGRICULTURAL SYSTEMS. 2011;104(9):703–13. </w:t>
      </w:r>
    </w:p>
    <w:p w14:paraId="727FB8F7" w14:textId="77777777" w:rsidR="00EF10F9" w:rsidRPr="00EF10F9" w:rsidRDefault="00EF10F9" w:rsidP="00EF10F9">
      <w:pPr>
        <w:pStyle w:val="Bibliography"/>
        <w:rPr>
          <w:rFonts w:ascii="Arial" w:hAnsi="Arial" w:cs="Arial"/>
        </w:rPr>
      </w:pPr>
      <w:r w:rsidRPr="00EF10F9">
        <w:rPr>
          <w:rFonts w:ascii="Arial" w:hAnsi="Arial" w:cs="Arial"/>
        </w:rPr>
        <w:t>150.</w:t>
      </w:r>
      <w:r w:rsidRPr="00EF10F9">
        <w:rPr>
          <w:rFonts w:ascii="Arial" w:hAnsi="Arial" w:cs="Arial"/>
        </w:rPr>
        <w:tab/>
        <w:t>Ng S, Kelly B, Yeatman H, Swinburn B, Karupaiah T. Tracking progress from policy development to implementation: A case study on adoption of mandatory regulation for nutrition labelling in malaysia. Nutrients [Internet]. 2021;13(2):1–18. Available from: https://www.scopus.com/inward/record.uri?eid=2-s2.0-85099972534&amp;doi=10.3390%2fnu13020457&amp;partnerID=40&amp;md5=881d89599e3e8f093025e00382ca655f</w:t>
      </w:r>
    </w:p>
    <w:p w14:paraId="28E7CF6C" w14:textId="77777777" w:rsidR="00EF10F9" w:rsidRPr="00EF10F9" w:rsidRDefault="00EF10F9" w:rsidP="00EF10F9">
      <w:pPr>
        <w:pStyle w:val="Bibliography"/>
        <w:rPr>
          <w:rFonts w:ascii="Arial" w:hAnsi="Arial" w:cs="Arial"/>
        </w:rPr>
      </w:pPr>
      <w:r w:rsidRPr="00EF10F9">
        <w:rPr>
          <w:rFonts w:ascii="Arial" w:hAnsi="Arial" w:cs="Arial"/>
        </w:rPr>
        <w:t>151.</w:t>
      </w:r>
      <w:r w:rsidRPr="00EF10F9">
        <w:rPr>
          <w:rFonts w:ascii="Arial" w:hAnsi="Arial" w:cs="Arial"/>
        </w:rPr>
        <w:tab/>
        <w:t xml:space="preserve">Ogunniyi AI, Mavrotas G, Olagunju KO, Fadare O, Adedoyin R. Governance quality, remittances and their implications for food and nutrition security in Sub-Saharan Africa. WORLD DEVELOPMENT. 2020;127. </w:t>
      </w:r>
    </w:p>
    <w:p w14:paraId="600D2718" w14:textId="77777777" w:rsidR="00EF10F9" w:rsidRPr="00EF10F9" w:rsidRDefault="00EF10F9" w:rsidP="00EF10F9">
      <w:pPr>
        <w:pStyle w:val="Bibliography"/>
        <w:rPr>
          <w:rFonts w:ascii="Arial" w:hAnsi="Arial" w:cs="Arial"/>
        </w:rPr>
      </w:pPr>
      <w:r w:rsidRPr="00EF10F9">
        <w:rPr>
          <w:rFonts w:ascii="Arial" w:hAnsi="Arial" w:cs="Arial"/>
        </w:rPr>
        <w:t>152.</w:t>
      </w:r>
      <w:r w:rsidRPr="00EF10F9">
        <w:rPr>
          <w:rFonts w:ascii="Arial" w:hAnsi="Arial" w:cs="Arial"/>
        </w:rPr>
        <w:tab/>
        <w:t>Oliva M. Money laundering, food activities and mafia: evidences from the Italian provinces. Journal of Money Laundering Control [Internet]. 2021; Available from: https://www.scopus.com/inward/record.uri?eid=2-s2.0-85115057111&amp;doi=10.1108%2fJMLC-08-2021-0085&amp;partnerID=40&amp;md5=14348edd52d9b3333798b663d67b0398</w:t>
      </w:r>
    </w:p>
    <w:p w14:paraId="73A19AC8" w14:textId="77777777" w:rsidR="00EF10F9" w:rsidRPr="00EF10F9" w:rsidRDefault="00EF10F9" w:rsidP="00EF10F9">
      <w:pPr>
        <w:pStyle w:val="Bibliography"/>
        <w:rPr>
          <w:rFonts w:ascii="Arial" w:hAnsi="Arial" w:cs="Arial"/>
        </w:rPr>
      </w:pPr>
      <w:r w:rsidRPr="00EF10F9">
        <w:rPr>
          <w:rFonts w:ascii="Arial" w:hAnsi="Arial" w:cs="Arial"/>
        </w:rPr>
        <w:t>153.</w:t>
      </w:r>
      <w:r w:rsidRPr="00EF10F9">
        <w:rPr>
          <w:rFonts w:ascii="Arial" w:hAnsi="Arial" w:cs="Arial"/>
        </w:rPr>
        <w:tab/>
        <w:t>öNDER H. The impact of corruption on food security from a macro perspective. Future of Food: Journal on Food, Agriculture and Society [Internet]. 2021;9(1):1–11. Available from: https://www.scopus.com/inward/record.uri?eid=2-s2.0-85104740851&amp;doi=10.17170%2fkobra-202011192215&amp;partnerID=40&amp;md5=22baee488b454b44486143b854a19283</w:t>
      </w:r>
    </w:p>
    <w:p w14:paraId="19BBED69" w14:textId="77777777" w:rsidR="00EF10F9" w:rsidRPr="00EF10F9" w:rsidRDefault="00EF10F9" w:rsidP="00EF10F9">
      <w:pPr>
        <w:pStyle w:val="Bibliography"/>
        <w:rPr>
          <w:rFonts w:ascii="Arial" w:hAnsi="Arial" w:cs="Arial"/>
        </w:rPr>
      </w:pPr>
      <w:r w:rsidRPr="00EF10F9">
        <w:rPr>
          <w:rFonts w:ascii="Arial" w:hAnsi="Arial" w:cs="Arial"/>
        </w:rPr>
        <w:t>154.</w:t>
      </w:r>
      <w:r w:rsidRPr="00EF10F9">
        <w:rPr>
          <w:rFonts w:ascii="Arial" w:hAnsi="Arial" w:cs="Arial"/>
        </w:rPr>
        <w:tab/>
        <w:t xml:space="preserve">Osabohien R, Osabuohien E, Ohalete P. Agricultural sector performance, institutional framework and food security in Nigeria. Bio-based and Applied Economics [Internet]. </w:t>
      </w:r>
      <w:r w:rsidRPr="00EF10F9">
        <w:rPr>
          <w:rFonts w:ascii="Arial" w:hAnsi="Arial" w:cs="Arial"/>
        </w:rPr>
        <w:lastRenderedPageBreak/>
        <w:t>2019;8(2):161–78. Available from: https://www.scopus.com/inward/record.uri?eid=2-s2.0-85085337459&amp;doi=10.13128%2fbae-8929&amp;partnerID=40&amp;md5=a0f4eea31c345744d13cd46013099941</w:t>
      </w:r>
    </w:p>
    <w:p w14:paraId="598F8745" w14:textId="77777777" w:rsidR="00EF10F9" w:rsidRPr="00EF10F9" w:rsidRDefault="00EF10F9" w:rsidP="00EF10F9">
      <w:pPr>
        <w:pStyle w:val="Bibliography"/>
        <w:rPr>
          <w:rFonts w:ascii="Arial" w:hAnsi="Arial" w:cs="Arial"/>
        </w:rPr>
      </w:pPr>
      <w:r w:rsidRPr="00EF10F9">
        <w:rPr>
          <w:rFonts w:ascii="Arial" w:hAnsi="Arial" w:cs="Arial"/>
        </w:rPr>
        <w:t>155.</w:t>
      </w:r>
      <w:r w:rsidRPr="00EF10F9">
        <w:rPr>
          <w:rFonts w:ascii="Arial" w:hAnsi="Arial" w:cs="Arial"/>
        </w:rPr>
        <w:tab/>
        <w:t>Pailler S. Re-election incentives and deforestation cycles in the Brazilian Amazon. Journal of Environmental Economics and Management [Internet]. 2018;88:345–65. Available from: https://www.scopus.com/inward/record.uri?eid=2-s2.0-85041410667&amp;doi=10.1016%2fj.jeem.2018.01.008&amp;partnerID=40&amp;md5=f7747151bdaf1a44bb9dae87c2186fd9</w:t>
      </w:r>
    </w:p>
    <w:p w14:paraId="72454FC2" w14:textId="77777777" w:rsidR="00EF10F9" w:rsidRPr="00EF10F9" w:rsidRDefault="00EF10F9" w:rsidP="00EF10F9">
      <w:pPr>
        <w:pStyle w:val="Bibliography"/>
        <w:rPr>
          <w:rFonts w:ascii="Arial" w:hAnsi="Arial" w:cs="Arial"/>
        </w:rPr>
      </w:pPr>
      <w:r w:rsidRPr="00EF10F9">
        <w:rPr>
          <w:rFonts w:ascii="Arial" w:hAnsi="Arial" w:cs="Arial"/>
        </w:rPr>
        <w:t>156.</w:t>
      </w:r>
      <w:r w:rsidRPr="00EF10F9">
        <w:rPr>
          <w:rFonts w:ascii="Arial" w:hAnsi="Arial" w:cs="Arial"/>
        </w:rPr>
        <w:tab/>
        <w:t xml:space="preserve">Panigrati S, Pathak N. Securing Food Through the Public Distribution System: Evidence from Odisha. GLOBAL SOCIAL WELFARE. 2018;5(2):117–23. </w:t>
      </w:r>
    </w:p>
    <w:p w14:paraId="6811C2AE" w14:textId="77777777" w:rsidR="00EF10F9" w:rsidRPr="00EF10F9" w:rsidRDefault="00EF10F9" w:rsidP="00EF10F9">
      <w:pPr>
        <w:pStyle w:val="Bibliography"/>
        <w:rPr>
          <w:rFonts w:ascii="Arial" w:hAnsi="Arial" w:cs="Arial"/>
        </w:rPr>
      </w:pPr>
      <w:r w:rsidRPr="00EF10F9">
        <w:rPr>
          <w:rFonts w:ascii="Arial" w:hAnsi="Arial" w:cs="Arial"/>
        </w:rPr>
        <w:t>157.</w:t>
      </w:r>
      <w:r w:rsidRPr="00EF10F9">
        <w:rPr>
          <w:rFonts w:ascii="Arial" w:hAnsi="Arial" w:cs="Arial"/>
        </w:rPr>
        <w:tab/>
        <w:t>Parkinson S. Modes of influence: Participation in publicly administered development programmes. Public Administration and Development [Internet]. 2009;29(2):145–54. Available from: https://www.scopus.com/inward/record.uri?eid=2-s2.0-69949111676&amp;doi=10.1002%2fpad.525&amp;partnerID=40&amp;md5=ceed05e9694f1cfb9b782411498848f6</w:t>
      </w:r>
    </w:p>
    <w:p w14:paraId="0C667B22" w14:textId="77777777" w:rsidR="00EF10F9" w:rsidRPr="00EF10F9" w:rsidRDefault="00EF10F9" w:rsidP="00EF10F9">
      <w:pPr>
        <w:pStyle w:val="Bibliography"/>
        <w:rPr>
          <w:rFonts w:ascii="Arial" w:hAnsi="Arial" w:cs="Arial"/>
        </w:rPr>
      </w:pPr>
      <w:r w:rsidRPr="00EF10F9">
        <w:rPr>
          <w:rFonts w:ascii="Arial" w:hAnsi="Arial" w:cs="Arial"/>
        </w:rPr>
        <w:t>158.</w:t>
      </w:r>
      <w:r w:rsidRPr="00EF10F9">
        <w:rPr>
          <w:rFonts w:ascii="Arial" w:hAnsi="Arial" w:cs="Arial"/>
        </w:rPr>
        <w:tab/>
        <w:t>Pavez I, Codron JM, Lubello P, Florêncio MC. Biosecurity institutions and the choice of contracts in international fruit supply chains. Agricultural Systems [Internet]. 2019;176. Available from: https://www.scopus.com/inward/record.uri?eid=2-s2.0-85071883441&amp;doi=10.1016%2fj.agsy.2019.102668&amp;partnerID=40&amp;md5=62cf80696ccbaed1f38c1a290732efeb</w:t>
      </w:r>
    </w:p>
    <w:p w14:paraId="528E8CBC" w14:textId="77777777" w:rsidR="00EF10F9" w:rsidRPr="00EF10F9" w:rsidRDefault="00EF10F9" w:rsidP="00EF10F9">
      <w:pPr>
        <w:pStyle w:val="Bibliography"/>
        <w:rPr>
          <w:rFonts w:ascii="Arial" w:hAnsi="Arial" w:cs="Arial"/>
        </w:rPr>
      </w:pPr>
      <w:r w:rsidRPr="00EF10F9">
        <w:rPr>
          <w:rFonts w:ascii="Arial" w:hAnsi="Arial" w:cs="Arial"/>
        </w:rPr>
        <w:t>159.</w:t>
      </w:r>
      <w:r w:rsidRPr="00EF10F9">
        <w:rPr>
          <w:rFonts w:ascii="Arial" w:hAnsi="Arial" w:cs="Arial"/>
        </w:rPr>
        <w:tab/>
        <w:t>Perone G. The impact of agribusiness crimes on food prices: evidence from Italy. ECONOMIA POLITICA [Internet]. 2020;(37):877–909. Available from: https://link.springer.com/article/10.1007/s40888-019-00165-5</w:t>
      </w:r>
    </w:p>
    <w:p w14:paraId="41B9E9C7" w14:textId="77777777" w:rsidR="00EF10F9" w:rsidRPr="00EF10F9" w:rsidRDefault="00EF10F9" w:rsidP="00EF10F9">
      <w:pPr>
        <w:pStyle w:val="Bibliography"/>
        <w:rPr>
          <w:rFonts w:ascii="Arial" w:hAnsi="Arial" w:cs="Arial"/>
        </w:rPr>
      </w:pPr>
      <w:r w:rsidRPr="00EF10F9">
        <w:rPr>
          <w:rFonts w:ascii="Arial" w:hAnsi="Arial" w:cs="Arial"/>
        </w:rPr>
        <w:t>160.</w:t>
      </w:r>
      <w:r w:rsidRPr="00EF10F9">
        <w:rPr>
          <w:rFonts w:ascii="Arial" w:hAnsi="Arial" w:cs="Arial"/>
        </w:rPr>
        <w:tab/>
        <w:t xml:space="preserve">Pittman J, Wabnitz CCC, Blasiak R. A global assessment of structural change in development funding for fisheries. MARINE POLICY. 2019;109. </w:t>
      </w:r>
    </w:p>
    <w:p w14:paraId="144A5D33" w14:textId="77777777" w:rsidR="00EF10F9" w:rsidRPr="00EF10F9" w:rsidRDefault="00EF10F9" w:rsidP="00EF10F9">
      <w:pPr>
        <w:pStyle w:val="Bibliography"/>
        <w:rPr>
          <w:rFonts w:ascii="Arial" w:hAnsi="Arial" w:cs="Arial"/>
        </w:rPr>
      </w:pPr>
      <w:r w:rsidRPr="00EF10F9">
        <w:rPr>
          <w:rFonts w:ascii="Arial" w:hAnsi="Arial" w:cs="Arial"/>
        </w:rPr>
        <w:t>161.</w:t>
      </w:r>
      <w:r w:rsidRPr="00EF10F9">
        <w:rPr>
          <w:rFonts w:ascii="Arial" w:hAnsi="Arial" w:cs="Arial"/>
        </w:rPr>
        <w:tab/>
        <w:t>Prishchepov AV, Ponkina EV, Sun Z, Bavorova M, Yekimovskaja OA. Revealing the intentions of farmers to recultivate abandoned farmland: A case study of the Buryat Republic in Russia. Land Use Policy [Internet]. 2021;107. Available from: https://www.scopus.com/inward/record.uri?eid=2-s2.0-85107639626&amp;doi=10.1016%2fj.landusepol.2021.105513&amp;partnerID=40&amp;md5=2ed1c3f3267f923e3b2a361c738a1e86</w:t>
      </w:r>
    </w:p>
    <w:p w14:paraId="03E62235" w14:textId="77777777" w:rsidR="00EF10F9" w:rsidRPr="00EF10F9" w:rsidRDefault="00EF10F9" w:rsidP="00EF10F9">
      <w:pPr>
        <w:pStyle w:val="Bibliography"/>
        <w:rPr>
          <w:rFonts w:ascii="Arial" w:hAnsi="Arial" w:cs="Arial"/>
        </w:rPr>
      </w:pPr>
      <w:r w:rsidRPr="00EF10F9">
        <w:rPr>
          <w:rFonts w:ascii="Arial" w:hAnsi="Arial" w:cs="Arial"/>
        </w:rPr>
        <w:t>162.</w:t>
      </w:r>
      <w:r w:rsidRPr="00EF10F9">
        <w:rPr>
          <w:rFonts w:ascii="Arial" w:hAnsi="Arial" w:cs="Arial"/>
        </w:rPr>
        <w:tab/>
        <w:t xml:space="preserve">Quandt SA, Arnold TJ, Mora DC, Sandberg JC, Daniel SS, Arcury TA. Hired Latinx child farm labor in North Carolina: The demand-support-control model applied to a vulnerable worker population. AMERICAN JOURNAL OF INDUSTRIAL MEDICINE. 2019;62(12):1079–90. </w:t>
      </w:r>
    </w:p>
    <w:p w14:paraId="2EBAF2F8" w14:textId="77777777" w:rsidR="00EF10F9" w:rsidRPr="00EF10F9" w:rsidRDefault="00EF10F9" w:rsidP="00EF10F9">
      <w:pPr>
        <w:pStyle w:val="Bibliography"/>
        <w:rPr>
          <w:rFonts w:ascii="Arial" w:hAnsi="Arial" w:cs="Arial"/>
        </w:rPr>
      </w:pPr>
      <w:r w:rsidRPr="00EF10F9">
        <w:rPr>
          <w:rFonts w:ascii="Arial" w:hAnsi="Arial" w:cs="Arial"/>
        </w:rPr>
        <w:t>163.</w:t>
      </w:r>
      <w:r w:rsidRPr="00EF10F9">
        <w:rPr>
          <w:rFonts w:ascii="Arial" w:hAnsi="Arial" w:cs="Arial"/>
        </w:rPr>
        <w:tab/>
        <w:t>Raifu IA, Aminu A. Financial development and agricultural performance in Nigeria: what role do institutions play? Agricultural Finance Review [Internet]. 2020;80(2):231–54. Available from: https://www.scopus.com/inward/record.uri?eid=2-s2.0-85076530158&amp;doi=10.1108%2fAFR-06-2018-0045&amp;partnerID=40&amp;md5=6d5db46f05b42300f97f7398fccb00ad</w:t>
      </w:r>
    </w:p>
    <w:p w14:paraId="5507D1E9" w14:textId="77777777" w:rsidR="00EF10F9" w:rsidRPr="00EF10F9" w:rsidRDefault="00EF10F9" w:rsidP="00EF10F9">
      <w:pPr>
        <w:pStyle w:val="Bibliography"/>
        <w:rPr>
          <w:rFonts w:ascii="Arial" w:hAnsi="Arial" w:cs="Arial"/>
        </w:rPr>
      </w:pPr>
      <w:r w:rsidRPr="00EF10F9">
        <w:rPr>
          <w:rFonts w:ascii="Arial" w:hAnsi="Arial" w:cs="Arial"/>
        </w:rPr>
        <w:t>164.</w:t>
      </w:r>
      <w:r w:rsidRPr="00EF10F9">
        <w:rPr>
          <w:rFonts w:ascii="Arial" w:hAnsi="Arial" w:cs="Arial"/>
        </w:rPr>
        <w:tab/>
        <w:t>Rezazade F, Summers J, Lai Teik DO. A holistic approach to food fraud vulnerability assessment. Food Control [Internet]. 2021;131. Available from: https://www.scopus.com/inward/record.uri?eid=2-s2.0-85111113596&amp;doi=10.1016%2fj.foodcont.2021.108440&amp;partnerID=40&amp;md5=48769d808f8e7180cca150ab19e0023f</w:t>
      </w:r>
    </w:p>
    <w:p w14:paraId="280CABDE" w14:textId="77777777" w:rsidR="00EF10F9" w:rsidRPr="00EF10F9" w:rsidRDefault="00EF10F9" w:rsidP="00EF10F9">
      <w:pPr>
        <w:pStyle w:val="Bibliography"/>
        <w:rPr>
          <w:rFonts w:ascii="Arial" w:hAnsi="Arial" w:cs="Arial"/>
        </w:rPr>
      </w:pPr>
      <w:r w:rsidRPr="00EF10F9">
        <w:rPr>
          <w:rFonts w:ascii="Arial" w:hAnsi="Arial" w:cs="Arial"/>
        </w:rPr>
        <w:lastRenderedPageBreak/>
        <w:t>165.</w:t>
      </w:r>
      <w:r w:rsidRPr="00EF10F9">
        <w:rPr>
          <w:rFonts w:ascii="Arial" w:hAnsi="Arial" w:cs="Arial"/>
        </w:rPr>
        <w:tab/>
        <w:t xml:space="preserve">Riley L, Chilanga E. `Things are not working now’: poverty, food insecurity and perceptions of corruption in urban Malawi. JOURNAL OF CONTEMPORARY AFRICAN STUDIES. 2018;36(4, SI):484–98. </w:t>
      </w:r>
    </w:p>
    <w:p w14:paraId="092A1D6C" w14:textId="77777777" w:rsidR="00EF10F9" w:rsidRPr="00EF10F9" w:rsidRDefault="00EF10F9" w:rsidP="00EF10F9">
      <w:pPr>
        <w:pStyle w:val="Bibliography"/>
        <w:rPr>
          <w:rFonts w:ascii="Arial" w:hAnsi="Arial" w:cs="Arial"/>
        </w:rPr>
      </w:pPr>
      <w:r w:rsidRPr="00EF10F9">
        <w:rPr>
          <w:rFonts w:ascii="Arial" w:hAnsi="Arial" w:cs="Arial"/>
        </w:rPr>
        <w:t>166.</w:t>
      </w:r>
      <w:r w:rsidRPr="00EF10F9">
        <w:rPr>
          <w:rFonts w:ascii="Arial" w:hAnsi="Arial" w:cs="Arial"/>
        </w:rPr>
        <w:tab/>
        <w:t xml:space="preserve">Ringsberg HA. Implementation of global traceability standards: incentives and opportunities. BRITISH FOOD JOURNAL. 2015;117(7):1826–42. </w:t>
      </w:r>
    </w:p>
    <w:p w14:paraId="2FB76D6F" w14:textId="77777777" w:rsidR="00EF10F9" w:rsidRPr="00EF10F9" w:rsidRDefault="00EF10F9" w:rsidP="00EF10F9">
      <w:pPr>
        <w:pStyle w:val="Bibliography"/>
        <w:rPr>
          <w:rFonts w:ascii="Arial" w:hAnsi="Arial" w:cs="Arial"/>
        </w:rPr>
      </w:pPr>
      <w:r w:rsidRPr="00EF10F9">
        <w:rPr>
          <w:rFonts w:ascii="Arial" w:hAnsi="Arial" w:cs="Arial"/>
        </w:rPr>
        <w:t>167.</w:t>
      </w:r>
      <w:r w:rsidRPr="00EF10F9">
        <w:rPr>
          <w:rFonts w:ascii="Arial" w:hAnsi="Arial" w:cs="Arial"/>
        </w:rPr>
        <w:tab/>
        <w:t xml:space="preserve">Ritten C, Thunstrom L, Ehmke M, Beiermann J, McLeod D. International honey laundering and consumer willingness to pay a premium for local honey: an experimental study. AUSTRALIAN JOURNAL OF AGRICULTURAL AND RESOURCE ECONOMICS. 2019;63(4):726–41. </w:t>
      </w:r>
    </w:p>
    <w:p w14:paraId="2AEE13D1" w14:textId="77777777" w:rsidR="00EF10F9" w:rsidRPr="00EF10F9" w:rsidRDefault="00EF10F9" w:rsidP="00EF10F9">
      <w:pPr>
        <w:pStyle w:val="Bibliography"/>
        <w:rPr>
          <w:rFonts w:ascii="Arial" w:hAnsi="Arial" w:cs="Arial"/>
        </w:rPr>
      </w:pPr>
      <w:r w:rsidRPr="00EF10F9">
        <w:rPr>
          <w:rFonts w:ascii="Arial" w:hAnsi="Arial" w:cs="Arial"/>
        </w:rPr>
        <w:t>168.</w:t>
      </w:r>
      <w:r w:rsidRPr="00EF10F9">
        <w:rPr>
          <w:rFonts w:ascii="Arial" w:hAnsi="Arial" w:cs="Arial"/>
        </w:rPr>
        <w:tab/>
        <w:t>Rizzuti A. Organised food crime: an analysis of the involvements of organised crime groups in the food sector in England and Italy. Crime, Law and Social Change [Internet]. 2021; Available from: https://www.scopus.com/inward/record.uri?eid=2-s2.0-85110600716&amp;doi=10.1007%2fs10611-021-09975-w&amp;partnerID=40&amp;md5=536e9ba8138fce7a8638368642c0ea0d</w:t>
      </w:r>
    </w:p>
    <w:p w14:paraId="0A7B0043" w14:textId="77777777" w:rsidR="00EF10F9" w:rsidRPr="00EF10F9" w:rsidRDefault="00EF10F9" w:rsidP="00EF10F9">
      <w:pPr>
        <w:pStyle w:val="Bibliography"/>
        <w:rPr>
          <w:rFonts w:ascii="Arial" w:hAnsi="Arial" w:cs="Arial"/>
        </w:rPr>
      </w:pPr>
      <w:r w:rsidRPr="00EF10F9">
        <w:rPr>
          <w:rFonts w:ascii="Arial" w:hAnsi="Arial" w:cs="Arial"/>
        </w:rPr>
        <w:t>169.</w:t>
      </w:r>
      <w:r w:rsidRPr="00EF10F9">
        <w:rPr>
          <w:rFonts w:ascii="Arial" w:hAnsi="Arial" w:cs="Arial"/>
        </w:rPr>
        <w:tab/>
        <w:t>Robertson NM, Sacks G, Miller PG. The revolving door between government and the alcohol, food and gambling industries in Australia. Public Health Research and Practice [Internet]. 2019;29(3). Available from: https://www.scopus.com/inward/record.uri?eid=2-s2.0-85072774297&amp;doi=10.17061%2fphrp2931921&amp;partnerID=40&amp;md5=4f49b1c0e2f3a0647a28cc2aad53567a</w:t>
      </w:r>
    </w:p>
    <w:p w14:paraId="2BC5BAD2" w14:textId="77777777" w:rsidR="00EF10F9" w:rsidRPr="00EF10F9" w:rsidRDefault="00EF10F9" w:rsidP="00EF10F9">
      <w:pPr>
        <w:pStyle w:val="Bibliography"/>
        <w:rPr>
          <w:rFonts w:ascii="Arial" w:hAnsi="Arial" w:cs="Arial"/>
        </w:rPr>
      </w:pPr>
      <w:r w:rsidRPr="00EF10F9">
        <w:rPr>
          <w:rFonts w:ascii="Arial" w:hAnsi="Arial" w:cs="Arial"/>
        </w:rPr>
        <w:t>170.</w:t>
      </w:r>
      <w:r w:rsidRPr="00EF10F9">
        <w:rPr>
          <w:rFonts w:ascii="Arial" w:hAnsi="Arial" w:cs="Arial"/>
        </w:rPr>
        <w:tab/>
        <w:t>Robson K, Dean M, Brooks S, Haughey S, Elliott C. A 20-year analysis of reported food fraud in the global beef supply chain. Food Control [Internet]. 2020;116. Available from: https://www.scopus.com/inward/record.uri?eid=2-s2.0-85084356592&amp;doi=10.1016%2fj.foodcont.2020.107310&amp;partnerID=40&amp;md5=a1150fff8c25786fd298dab35764eddc</w:t>
      </w:r>
    </w:p>
    <w:p w14:paraId="5B9CD1C5" w14:textId="77777777" w:rsidR="00EF10F9" w:rsidRPr="00EF10F9" w:rsidRDefault="00EF10F9" w:rsidP="00EF10F9">
      <w:pPr>
        <w:pStyle w:val="Bibliography"/>
        <w:rPr>
          <w:rFonts w:ascii="Arial" w:hAnsi="Arial" w:cs="Arial"/>
        </w:rPr>
      </w:pPr>
      <w:r w:rsidRPr="00EF10F9">
        <w:rPr>
          <w:rFonts w:ascii="Arial" w:hAnsi="Arial" w:cs="Arial"/>
        </w:rPr>
        <w:t>171.</w:t>
      </w:r>
      <w:r w:rsidRPr="00EF10F9">
        <w:rPr>
          <w:rFonts w:ascii="Arial" w:hAnsi="Arial" w:cs="Arial"/>
        </w:rPr>
        <w:tab/>
        <w:t>Rocchi B, Romano D, Sadiddin A, Stefani G. Assessing the economy-wide impact of food fraud: A SAM-based counterfactual approach. Agribusiness [Internet]. 2020;36(2):167–91. Available from: https://www.scopus.com/inward/record.uri?eid=2-s2.0-85077846931&amp;doi=10.1002%2fagr.21633&amp;partnerID=40&amp;md5=cc8ff4c1bc479da624dfa3f22043e88a</w:t>
      </w:r>
    </w:p>
    <w:p w14:paraId="2A285759" w14:textId="77777777" w:rsidR="00EF10F9" w:rsidRPr="00EF10F9" w:rsidRDefault="00EF10F9" w:rsidP="00EF10F9">
      <w:pPr>
        <w:pStyle w:val="Bibliography"/>
        <w:rPr>
          <w:rFonts w:ascii="Arial" w:hAnsi="Arial" w:cs="Arial"/>
        </w:rPr>
      </w:pPr>
      <w:r w:rsidRPr="00EF10F9">
        <w:rPr>
          <w:rFonts w:ascii="Arial" w:hAnsi="Arial" w:cs="Arial"/>
        </w:rPr>
        <w:t>172.</w:t>
      </w:r>
      <w:r w:rsidRPr="00EF10F9">
        <w:rPr>
          <w:rFonts w:ascii="Arial" w:hAnsi="Arial" w:cs="Arial"/>
        </w:rPr>
        <w:tab/>
        <w:t>Ruslan AAA, Kamarulzaman NH, Sanny M. Muslim consumers’ awareness and perception of Halal food fraud. International Food Research Journal [Internet]. 2018;25:S87–96. Available from: https://www.scopus.com/inward/record.uri?eid=2-s2.0-85067253987&amp;partnerID=40&amp;md5=8f29c0243978555947cf3f0d7e053ae9</w:t>
      </w:r>
    </w:p>
    <w:p w14:paraId="68ABB092" w14:textId="77777777" w:rsidR="00EF10F9" w:rsidRPr="00EF10F9" w:rsidRDefault="00EF10F9" w:rsidP="00EF10F9">
      <w:pPr>
        <w:pStyle w:val="Bibliography"/>
        <w:rPr>
          <w:rFonts w:ascii="Arial" w:hAnsi="Arial" w:cs="Arial"/>
        </w:rPr>
      </w:pPr>
      <w:r w:rsidRPr="00EF10F9">
        <w:rPr>
          <w:rFonts w:ascii="Arial" w:hAnsi="Arial" w:cs="Arial"/>
        </w:rPr>
        <w:t>173.</w:t>
      </w:r>
      <w:r w:rsidRPr="00EF10F9">
        <w:rPr>
          <w:rFonts w:ascii="Arial" w:hAnsi="Arial" w:cs="Arial"/>
        </w:rPr>
        <w:tab/>
        <w:t xml:space="preserve">Sam K, Coulon F, Prpich G. Use of stakeholder engagement to support policy transfer: A case of contaminated land management in Nigeria. Environmental Development. 2017;24:50–62. </w:t>
      </w:r>
    </w:p>
    <w:p w14:paraId="1DA1B692" w14:textId="77777777" w:rsidR="00EF10F9" w:rsidRPr="00EF10F9" w:rsidRDefault="00EF10F9" w:rsidP="00EF10F9">
      <w:pPr>
        <w:pStyle w:val="Bibliography"/>
        <w:rPr>
          <w:rFonts w:ascii="Arial" w:hAnsi="Arial" w:cs="Arial"/>
        </w:rPr>
      </w:pPr>
      <w:r w:rsidRPr="00EF10F9">
        <w:rPr>
          <w:rFonts w:ascii="Arial" w:hAnsi="Arial" w:cs="Arial"/>
        </w:rPr>
        <w:t>174.</w:t>
      </w:r>
      <w:r w:rsidRPr="00EF10F9">
        <w:rPr>
          <w:rFonts w:ascii="Arial" w:hAnsi="Arial" w:cs="Arial"/>
        </w:rPr>
        <w:tab/>
        <w:t>Schaefer KA, Scheitrum D, Nes K. International sourcing decisions in the wake of a food scandal. Food Policy [Internet]. 2018;81:48–57. Available from: https://www.scopus.com/inward/record.uri?eid=2-s2.0-85054435511&amp;doi=10.1016%2fj.foodpol.2018.10.002&amp;partnerID=40&amp;md5=04e7b46271d851302ac4c20b406dbae3</w:t>
      </w:r>
    </w:p>
    <w:p w14:paraId="5FE5B73C" w14:textId="77777777" w:rsidR="00EF10F9" w:rsidRPr="00EF10F9" w:rsidRDefault="00EF10F9" w:rsidP="00EF10F9">
      <w:pPr>
        <w:pStyle w:val="Bibliography"/>
        <w:rPr>
          <w:rFonts w:ascii="Arial" w:hAnsi="Arial" w:cs="Arial"/>
        </w:rPr>
      </w:pPr>
      <w:r w:rsidRPr="00EF10F9">
        <w:rPr>
          <w:rFonts w:ascii="Arial" w:hAnsi="Arial" w:cs="Arial"/>
        </w:rPr>
        <w:t>175.</w:t>
      </w:r>
      <w:r w:rsidRPr="00EF10F9">
        <w:rPr>
          <w:rFonts w:ascii="Arial" w:hAnsi="Arial" w:cs="Arial"/>
        </w:rPr>
        <w:tab/>
        <w:t>Sebhatu KT, Gezahegn TW, Berhanu T, Maertens M, Van Passel S, D’Haese M. Conflict, fraud, and distrust in Ethiopian agricultural cooperatives. Journal of Co-</w:t>
      </w:r>
      <w:r w:rsidRPr="00EF10F9">
        <w:rPr>
          <w:rFonts w:ascii="Arial" w:hAnsi="Arial" w:cs="Arial"/>
        </w:rPr>
        <w:lastRenderedPageBreak/>
        <w:t>operative Organization and Management [Internet]. 2020;8(1). Available from: https://www.scopus.com/inward/record.uri?eid=2-s2.0-85083775610&amp;doi=10.1016%2fj.jcom.2020.100106&amp;partnerID=40&amp;md5=77557a7f67b12cbaa0bd1018414337ab</w:t>
      </w:r>
    </w:p>
    <w:p w14:paraId="0AB35B7B" w14:textId="77777777" w:rsidR="00EF10F9" w:rsidRPr="00EF10F9" w:rsidRDefault="00EF10F9" w:rsidP="00EF10F9">
      <w:pPr>
        <w:pStyle w:val="Bibliography"/>
        <w:rPr>
          <w:rFonts w:ascii="Arial" w:hAnsi="Arial" w:cs="Arial"/>
        </w:rPr>
      </w:pPr>
      <w:r w:rsidRPr="00EF10F9">
        <w:rPr>
          <w:rFonts w:ascii="Arial" w:hAnsi="Arial" w:cs="Arial"/>
        </w:rPr>
        <w:t>176.</w:t>
      </w:r>
      <w:r w:rsidRPr="00EF10F9">
        <w:rPr>
          <w:rFonts w:ascii="Arial" w:hAnsi="Arial" w:cs="Arial"/>
        </w:rPr>
        <w:tab/>
        <w:t xml:space="preserve">Shareef MA, Dwivedi YK, Kumar V, Mahmud R, Hughes DL, Rana NP, et al. The inherent tensions within sustainable supply chains: a case study from Bangladesh. PRODUCTION PLANNING &amp; CONTROL. </w:t>
      </w:r>
    </w:p>
    <w:p w14:paraId="1DC939A1" w14:textId="77777777" w:rsidR="00EF10F9" w:rsidRPr="00EF10F9" w:rsidRDefault="00EF10F9" w:rsidP="00EF10F9">
      <w:pPr>
        <w:pStyle w:val="Bibliography"/>
        <w:rPr>
          <w:rFonts w:ascii="Arial" w:hAnsi="Arial" w:cs="Arial"/>
        </w:rPr>
      </w:pPr>
      <w:r w:rsidRPr="00EF10F9">
        <w:rPr>
          <w:rFonts w:ascii="Arial" w:hAnsi="Arial" w:cs="Arial"/>
        </w:rPr>
        <w:t>177.</w:t>
      </w:r>
      <w:r w:rsidRPr="00EF10F9">
        <w:rPr>
          <w:rFonts w:ascii="Arial" w:hAnsi="Arial" w:cs="Arial"/>
        </w:rPr>
        <w:tab/>
        <w:t>Sheingate A, Scatterday A, Martin B, Nachman K. Post-exceptionalism and corporate interests in US agricultural policy. Journal of European Public Policy [Internet]. 2017;24(11):1641–57. Available from: https://www.scopus.com/inward/record.uri?eid=2-s2.0-85020735914&amp;doi=10.1080%2f13501763.2017.1334082&amp;partnerID=40&amp;md5=8e897464b92fb5a5e921536d389159df</w:t>
      </w:r>
    </w:p>
    <w:p w14:paraId="4BB494F4" w14:textId="77777777" w:rsidR="00EF10F9" w:rsidRPr="00EF10F9" w:rsidRDefault="00EF10F9" w:rsidP="00EF10F9">
      <w:pPr>
        <w:pStyle w:val="Bibliography"/>
        <w:rPr>
          <w:rFonts w:ascii="Arial" w:hAnsi="Arial" w:cs="Arial"/>
        </w:rPr>
      </w:pPr>
      <w:r w:rsidRPr="00EF10F9">
        <w:rPr>
          <w:rFonts w:ascii="Arial" w:hAnsi="Arial" w:cs="Arial"/>
        </w:rPr>
        <w:t>178.</w:t>
      </w:r>
      <w:r w:rsidRPr="00EF10F9">
        <w:rPr>
          <w:rFonts w:ascii="Arial" w:hAnsi="Arial" w:cs="Arial"/>
        </w:rPr>
        <w:tab/>
        <w:t>Shinn GC, Richard K, Rahmat F, Gary A, Briers E. Understanding afghan opinion leaders’ viewpoints about post-conflict foreign agricultural development: a case study in Herat Province, Afghanistan. Journal of international agricultural and extension education [Internet]. 2012;19(2). Available from: http://ezproxy.library.yorku.ca/login?url=https://search.proquest.com/docview/1124749266?accountid=15182</w:t>
      </w:r>
    </w:p>
    <w:p w14:paraId="69C328B5" w14:textId="77777777" w:rsidR="00EF10F9" w:rsidRPr="00EF10F9" w:rsidRDefault="00EF10F9" w:rsidP="00EF10F9">
      <w:pPr>
        <w:pStyle w:val="Bibliography"/>
        <w:rPr>
          <w:rFonts w:ascii="Arial" w:hAnsi="Arial" w:cs="Arial"/>
        </w:rPr>
      </w:pPr>
      <w:r w:rsidRPr="00EF10F9">
        <w:rPr>
          <w:rFonts w:ascii="Arial" w:hAnsi="Arial" w:cs="Arial"/>
        </w:rPr>
        <w:t>179.</w:t>
      </w:r>
      <w:r w:rsidRPr="00EF10F9">
        <w:rPr>
          <w:rFonts w:ascii="Arial" w:hAnsi="Arial" w:cs="Arial"/>
        </w:rPr>
        <w:tab/>
        <w:t>Shonhe T, Scoones I, Murimbarimba F. Medium-scale commercial agriculture in Zimbabwe: The experience of A2 resettlement farms. Journal of Modern African Studies [Internet]. 2020;58(4):601–26. Available from: https://www.scopus.com/inward/record.uri?eid=2-s2.0-85100597051&amp;doi=10.1017%2fS0022278X20000385&amp;partnerID=40&amp;md5=fe2c27ab4bac7d1b1282363f91254647</w:t>
      </w:r>
    </w:p>
    <w:p w14:paraId="7EFDA04F" w14:textId="77777777" w:rsidR="00EF10F9" w:rsidRPr="00EF10F9" w:rsidRDefault="00EF10F9" w:rsidP="00EF10F9">
      <w:pPr>
        <w:pStyle w:val="Bibliography"/>
        <w:rPr>
          <w:rFonts w:ascii="Arial" w:hAnsi="Arial" w:cs="Arial"/>
        </w:rPr>
      </w:pPr>
      <w:r w:rsidRPr="00EF10F9">
        <w:rPr>
          <w:rFonts w:ascii="Arial" w:hAnsi="Arial" w:cs="Arial"/>
        </w:rPr>
        <w:t>180.</w:t>
      </w:r>
      <w:r w:rsidRPr="00EF10F9">
        <w:rPr>
          <w:rFonts w:ascii="Arial" w:hAnsi="Arial" w:cs="Arial"/>
        </w:rPr>
        <w:tab/>
        <w:t>Silvis ICJ, van Ruth SM, van der Fels-Klerx HJ, Luning PA. Assessment of food fraud vulnerability in the spices chain: An explorative study. Food Control [Internet]. 2017;81:80–7. Available from: https://www.scopus.com/inward/record.uri?eid=2-s2.0-85019999880&amp;doi=10.1016%2fj.foodcont.2017.05.019&amp;partnerID=40&amp;md5=a3fd181ab5e94557d18a9602178bbfbf</w:t>
      </w:r>
    </w:p>
    <w:p w14:paraId="62FC00DD" w14:textId="77777777" w:rsidR="00EF10F9" w:rsidRPr="00EF10F9" w:rsidRDefault="00EF10F9" w:rsidP="00EF10F9">
      <w:pPr>
        <w:pStyle w:val="Bibliography"/>
        <w:rPr>
          <w:rFonts w:ascii="Arial" w:hAnsi="Arial" w:cs="Arial"/>
        </w:rPr>
      </w:pPr>
      <w:r w:rsidRPr="00EF10F9">
        <w:rPr>
          <w:rFonts w:ascii="Arial" w:hAnsi="Arial" w:cs="Arial"/>
        </w:rPr>
        <w:t>181.</w:t>
      </w:r>
      <w:r w:rsidRPr="00EF10F9">
        <w:rPr>
          <w:rFonts w:ascii="Arial" w:hAnsi="Arial" w:cs="Arial"/>
        </w:rPr>
        <w:tab/>
        <w:t>Singh DR, Sunuwar DR, Shah SK, Sah LK, Karki K, Sah RK. Food insecurity during COVID-19 pandemic: A genuine concern for people from disadvantaged community and low-income families in Province 2 of Nepal. PLoS ONE [Internet]. 2021;16(July). Available from: https://www.scopus.com/inward/record.uri?eid=2-s2.0-85110959477&amp;doi=10.1371%2fjournal.pone.0254954&amp;partnerID=40&amp;md5=ff6131590e853e568335ba79b9392351</w:t>
      </w:r>
    </w:p>
    <w:p w14:paraId="78BA1C63" w14:textId="77777777" w:rsidR="00EF10F9" w:rsidRPr="00EF10F9" w:rsidRDefault="00EF10F9" w:rsidP="00EF10F9">
      <w:pPr>
        <w:pStyle w:val="Bibliography"/>
        <w:rPr>
          <w:rFonts w:ascii="Arial" w:hAnsi="Arial" w:cs="Arial"/>
        </w:rPr>
      </w:pPr>
      <w:r w:rsidRPr="00EF10F9">
        <w:rPr>
          <w:rFonts w:ascii="Arial" w:hAnsi="Arial" w:cs="Arial"/>
        </w:rPr>
        <w:t>182.</w:t>
      </w:r>
      <w:r w:rsidRPr="00EF10F9">
        <w:rPr>
          <w:rFonts w:ascii="Arial" w:hAnsi="Arial" w:cs="Arial"/>
        </w:rPr>
        <w:tab/>
        <w:t>Slangen LHG, Suchanek P, van Kooten GC. Trust in countries in transition: Empirical evidence from agriculture. International Journal of Social Economics [Internet]. 2003;30(9/10):1095–109. Available from: http://ezproxy.library.yorku.ca/login?url=https://search.proquest.com/docview/274622579?accountid=15182</w:t>
      </w:r>
    </w:p>
    <w:p w14:paraId="16DFF6B5" w14:textId="77777777" w:rsidR="00EF10F9" w:rsidRPr="00EF10F9" w:rsidRDefault="00EF10F9" w:rsidP="00EF10F9">
      <w:pPr>
        <w:pStyle w:val="Bibliography"/>
        <w:rPr>
          <w:rFonts w:ascii="Arial" w:hAnsi="Arial" w:cs="Arial"/>
        </w:rPr>
      </w:pPr>
      <w:r w:rsidRPr="00EF10F9">
        <w:rPr>
          <w:rFonts w:ascii="Arial" w:hAnsi="Arial" w:cs="Arial"/>
        </w:rPr>
        <w:t>183.</w:t>
      </w:r>
      <w:r w:rsidRPr="00EF10F9">
        <w:rPr>
          <w:rFonts w:ascii="Arial" w:hAnsi="Arial" w:cs="Arial"/>
        </w:rPr>
        <w:tab/>
        <w:t>Smith LED, Khushk AM, Stockbridge M. Case studies of corruption in agricultural markets in sindh province, pakistan, and implications for market liberalization. Journal of International Food and Agribusiness Marketing [Internet]. 2000;11(1):19–42. Available from: https://www.scopus.com/inward/record.uri?eid=2-s2.0-0033275558&amp;doi=10.1300%2fJ047v11n01_02&amp;partnerID=40&amp;md5=8ffb01e52f0254f7790fc1cfaea34a76</w:t>
      </w:r>
    </w:p>
    <w:p w14:paraId="2908313B" w14:textId="77777777" w:rsidR="00EF10F9" w:rsidRPr="00EF10F9" w:rsidRDefault="00EF10F9" w:rsidP="00EF10F9">
      <w:pPr>
        <w:pStyle w:val="Bibliography"/>
        <w:rPr>
          <w:rFonts w:ascii="Arial" w:hAnsi="Arial" w:cs="Arial"/>
        </w:rPr>
      </w:pPr>
      <w:r w:rsidRPr="00EF10F9">
        <w:rPr>
          <w:rFonts w:ascii="Arial" w:hAnsi="Arial" w:cs="Arial"/>
        </w:rPr>
        <w:lastRenderedPageBreak/>
        <w:t>184.</w:t>
      </w:r>
      <w:r w:rsidRPr="00EF10F9">
        <w:rPr>
          <w:rFonts w:ascii="Arial" w:hAnsi="Arial" w:cs="Arial"/>
        </w:rPr>
        <w:tab/>
        <w:t xml:space="preserve">Smith R. Documenting entrepreneurial opportunism in action A case study of sheep theft in the UK from a food supply chain perspective. BRITISH FOOD JOURNAL. 2017;119(1):105–21. </w:t>
      </w:r>
    </w:p>
    <w:p w14:paraId="3A55761B" w14:textId="77777777" w:rsidR="00EF10F9" w:rsidRPr="00EF10F9" w:rsidRDefault="00EF10F9" w:rsidP="00EF10F9">
      <w:pPr>
        <w:pStyle w:val="Bibliography"/>
        <w:rPr>
          <w:rFonts w:ascii="Arial" w:hAnsi="Arial" w:cs="Arial"/>
        </w:rPr>
      </w:pPr>
      <w:r w:rsidRPr="00EF10F9">
        <w:rPr>
          <w:rFonts w:ascii="Arial" w:hAnsi="Arial" w:cs="Arial"/>
        </w:rPr>
        <w:t>185.</w:t>
      </w:r>
      <w:r w:rsidRPr="00EF10F9">
        <w:rPr>
          <w:rFonts w:ascii="Arial" w:hAnsi="Arial" w:cs="Arial"/>
        </w:rPr>
        <w:tab/>
        <w:t>Soon JM, Krzyzaniak SC, Shuttlewood Z, Smith M, Jack L. Food fraud vulnerability assessment tools used in food industry. Food Control [Internet]. 2019;101:225–32. Available from: https://www.scopus.com/inward/record.uri?eid=2-s2.0-85063331357&amp;doi=10.1016%2fj.foodcont.2019.03.002&amp;partnerID=40&amp;md5=05925becefbc416167d1c8b5f7227e62</w:t>
      </w:r>
    </w:p>
    <w:p w14:paraId="7BA0C332" w14:textId="77777777" w:rsidR="00EF10F9" w:rsidRPr="00EF10F9" w:rsidRDefault="00EF10F9" w:rsidP="00EF10F9">
      <w:pPr>
        <w:pStyle w:val="Bibliography"/>
        <w:rPr>
          <w:rFonts w:ascii="Arial" w:hAnsi="Arial" w:cs="Arial"/>
        </w:rPr>
      </w:pPr>
      <w:r w:rsidRPr="00EF10F9">
        <w:rPr>
          <w:rFonts w:ascii="Arial" w:hAnsi="Arial" w:cs="Arial"/>
        </w:rPr>
        <w:t>186.</w:t>
      </w:r>
      <w:r w:rsidRPr="00EF10F9">
        <w:rPr>
          <w:rFonts w:ascii="Arial" w:hAnsi="Arial" w:cs="Arial"/>
        </w:rPr>
        <w:tab/>
        <w:t xml:space="preserve">Soyer B, Leloudas G, Miller D. Tackling IUU Fishing: Developing a Holistic Legal Response. TRANSNATIONAL ENVIRONMENTAL LAW. 2018;7(1):139–63. </w:t>
      </w:r>
    </w:p>
    <w:p w14:paraId="616D49C0" w14:textId="77777777" w:rsidR="00EF10F9" w:rsidRPr="00EF10F9" w:rsidRDefault="00EF10F9" w:rsidP="00EF10F9">
      <w:pPr>
        <w:pStyle w:val="Bibliography"/>
        <w:rPr>
          <w:rFonts w:ascii="Arial" w:hAnsi="Arial" w:cs="Arial"/>
        </w:rPr>
      </w:pPr>
      <w:r w:rsidRPr="00EF10F9">
        <w:rPr>
          <w:rFonts w:ascii="Arial" w:hAnsi="Arial" w:cs="Arial"/>
        </w:rPr>
        <w:t>187.</w:t>
      </w:r>
      <w:r w:rsidRPr="00EF10F9">
        <w:rPr>
          <w:rFonts w:ascii="Arial" w:hAnsi="Arial" w:cs="Arial"/>
        </w:rPr>
        <w:tab/>
        <w:t xml:space="preserve">Spink J, Moyer DC, Speier-Pero C. Introducing the Food Fraud Initial Screening model (FFIS). FOOD CONTROL. 2016;69:306–14. </w:t>
      </w:r>
    </w:p>
    <w:p w14:paraId="38B33CDE" w14:textId="77777777" w:rsidR="00EF10F9" w:rsidRPr="00EF10F9" w:rsidRDefault="00EF10F9" w:rsidP="00EF10F9">
      <w:pPr>
        <w:pStyle w:val="Bibliography"/>
        <w:rPr>
          <w:rFonts w:ascii="Arial" w:hAnsi="Arial" w:cs="Arial"/>
        </w:rPr>
      </w:pPr>
      <w:r w:rsidRPr="00EF10F9">
        <w:rPr>
          <w:rFonts w:ascii="Arial" w:hAnsi="Arial" w:cs="Arial"/>
        </w:rPr>
        <w:t>188.</w:t>
      </w:r>
      <w:r w:rsidRPr="00EF10F9">
        <w:rPr>
          <w:rFonts w:ascii="Arial" w:hAnsi="Arial" w:cs="Arial"/>
        </w:rPr>
        <w:tab/>
        <w:t>Spink J, Embarek PB, Savelli CJ, Bradshaw A. Global perspectives on food fraud: results from a WHO survey of members of the International Food Safety Authorities Network (INFOSAN). npj Science of Food [Internet]. 2019;3(1). Available from: https://www.scopus.com/inward/record.uri?eid=2-s2.0-85073535442&amp;doi=10.1038%2fs41538-019-0044-x&amp;partnerID=40&amp;md5=f0f1ee0af6bf6f3ce6d49d142d08be0f</w:t>
      </w:r>
    </w:p>
    <w:p w14:paraId="4F32DCA0" w14:textId="77777777" w:rsidR="00EF10F9" w:rsidRPr="00EF10F9" w:rsidRDefault="00EF10F9" w:rsidP="00EF10F9">
      <w:pPr>
        <w:pStyle w:val="Bibliography"/>
        <w:rPr>
          <w:rFonts w:ascii="Arial" w:hAnsi="Arial" w:cs="Arial"/>
        </w:rPr>
      </w:pPr>
      <w:r w:rsidRPr="00EF10F9">
        <w:rPr>
          <w:rFonts w:ascii="Arial" w:hAnsi="Arial" w:cs="Arial"/>
        </w:rPr>
        <w:t>189.</w:t>
      </w:r>
      <w:r w:rsidRPr="00EF10F9">
        <w:rPr>
          <w:rFonts w:ascii="Arial" w:hAnsi="Arial" w:cs="Arial"/>
        </w:rPr>
        <w:tab/>
        <w:t xml:space="preserve">Spink J, Bedard B, Keogh J, Moyer DC, Scimeca J, Vasan A. International Survey of Food Fraud and Related Terminology: Preliminary Results and Discussion. JOURNAL OF FOOD SCIENCE. 2019;84(10):2705–18. </w:t>
      </w:r>
    </w:p>
    <w:p w14:paraId="6D46C701" w14:textId="77777777" w:rsidR="00EF10F9" w:rsidRPr="00EF10F9" w:rsidRDefault="00EF10F9" w:rsidP="00EF10F9">
      <w:pPr>
        <w:pStyle w:val="Bibliography"/>
        <w:rPr>
          <w:rFonts w:ascii="Arial" w:hAnsi="Arial" w:cs="Arial"/>
        </w:rPr>
      </w:pPr>
      <w:r w:rsidRPr="00EF10F9">
        <w:rPr>
          <w:rFonts w:ascii="Arial" w:hAnsi="Arial" w:cs="Arial"/>
        </w:rPr>
        <w:t>190.</w:t>
      </w:r>
      <w:r w:rsidRPr="00EF10F9">
        <w:rPr>
          <w:rFonts w:ascii="Arial" w:hAnsi="Arial" w:cs="Arial"/>
        </w:rPr>
        <w:tab/>
        <w:t>Stamatis C, Sarri CA, Moutou KA, Argyrakoulis N, Galara I, Godosopoulos V, et al. What do we think we eat? Single tracing method across foodstuff of animal origin found in Greek market. Food Research International [Internet]. 2015;69:151–5. Available from: https://www.scopus.com/inward/record.uri?eid=2-s2.0-84920901683&amp;doi=10.1016%2fj.foodres.2014.12.033&amp;partnerID=40&amp;md5=2b8cf3a41b9b0e01aa8c771ede6ce232</w:t>
      </w:r>
    </w:p>
    <w:p w14:paraId="4F4D6C3F" w14:textId="77777777" w:rsidR="00EF10F9" w:rsidRPr="00EF10F9" w:rsidRDefault="00EF10F9" w:rsidP="00EF10F9">
      <w:pPr>
        <w:pStyle w:val="Bibliography"/>
        <w:rPr>
          <w:rFonts w:ascii="Arial" w:hAnsi="Arial" w:cs="Arial"/>
        </w:rPr>
      </w:pPr>
      <w:r w:rsidRPr="00EF10F9">
        <w:rPr>
          <w:rFonts w:ascii="Arial" w:hAnsi="Arial" w:cs="Arial"/>
        </w:rPr>
        <w:t>191.</w:t>
      </w:r>
      <w:r w:rsidRPr="00EF10F9">
        <w:rPr>
          <w:rFonts w:ascii="Arial" w:hAnsi="Arial" w:cs="Arial"/>
        </w:rPr>
        <w:tab/>
        <w:t xml:space="preserve">Standing A. MIRAGE OF PIRATES: STATE-CORPORATE CRIME IN WEST AFRICA’S FISHERIES. STATE CRIME. 2015;4(2):175–97. </w:t>
      </w:r>
    </w:p>
    <w:p w14:paraId="683E8287" w14:textId="77777777" w:rsidR="00EF10F9" w:rsidRPr="00EF10F9" w:rsidRDefault="00EF10F9" w:rsidP="00EF10F9">
      <w:pPr>
        <w:pStyle w:val="Bibliography"/>
        <w:rPr>
          <w:rFonts w:ascii="Arial" w:hAnsi="Arial" w:cs="Arial"/>
        </w:rPr>
      </w:pPr>
      <w:r w:rsidRPr="00EF10F9">
        <w:rPr>
          <w:rFonts w:ascii="Arial" w:hAnsi="Arial" w:cs="Arial"/>
        </w:rPr>
        <w:t>192.</w:t>
      </w:r>
      <w:r w:rsidRPr="00EF10F9">
        <w:rPr>
          <w:rFonts w:ascii="Arial" w:hAnsi="Arial" w:cs="Arial"/>
        </w:rPr>
        <w:tab/>
        <w:t>Stanikzai AN, Ali F, Kamarulzaman NH. Vulnerabilities of wheat crop farmers in war zone. Food Research [Internet]. 2021;5(2):427–39. Available from: https://www.scopus.com/inward/record.uri?eid=2-s2.0-85105679807&amp;doi=10.26656%2ffr.2017.5%282%29.506&amp;partnerID=40&amp;md5=2902436993652e29ff317ac74a2fd5ff</w:t>
      </w:r>
    </w:p>
    <w:p w14:paraId="4122667C" w14:textId="77777777" w:rsidR="00EF10F9" w:rsidRPr="00EF10F9" w:rsidRDefault="00EF10F9" w:rsidP="00EF10F9">
      <w:pPr>
        <w:pStyle w:val="Bibliography"/>
        <w:rPr>
          <w:rFonts w:ascii="Arial" w:hAnsi="Arial" w:cs="Arial"/>
        </w:rPr>
      </w:pPr>
      <w:r w:rsidRPr="00EF10F9">
        <w:rPr>
          <w:rFonts w:ascii="Arial" w:hAnsi="Arial" w:cs="Arial"/>
        </w:rPr>
        <w:t>193.</w:t>
      </w:r>
      <w:r w:rsidRPr="00EF10F9">
        <w:rPr>
          <w:rFonts w:ascii="Arial" w:hAnsi="Arial" w:cs="Arial"/>
        </w:rPr>
        <w:tab/>
        <w:t xml:space="preserve">Sugden G. Farm Crime: Out of Sight, Out of Mind: A Study of Crime on Farms in the County of Rutland, England. Crime Prevention and Community Safety. 1999;1(3):29–36. </w:t>
      </w:r>
    </w:p>
    <w:p w14:paraId="5FC27D09" w14:textId="77777777" w:rsidR="00EF10F9" w:rsidRPr="00EF10F9" w:rsidRDefault="00EF10F9" w:rsidP="00EF10F9">
      <w:pPr>
        <w:pStyle w:val="Bibliography"/>
        <w:rPr>
          <w:rFonts w:ascii="Arial" w:hAnsi="Arial" w:cs="Arial"/>
        </w:rPr>
      </w:pPr>
      <w:r w:rsidRPr="00EF10F9">
        <w:rPr>
          <w:rFonts w:ascii="Arial" w:hAnsi="Arial" w:cs="Arial"/>
        </w:rPr>
        <w:t>194.</w:t>
      </w:r>
      <w:r w:rsidRPr="00EF10F9">
        <w:rPr>
          <w:rFonts w:ascii="Arial" w:hAnsi="Arial" w:cs="Arial"/>
        </w:rPr>
        <w:tab/>
        <w:t>Sulle E. Social differentiation and the politics of land: Sugar cane outgrowing in Kilombero, Tanzania. Journal of Southern African Studies [Internet]. 2017;43(3):517–33. Available from: https://www.scopus.com/inward/record.uri?eid=2-s2.0-84987858721&amp;doi=10.1080%2f03057070.2016.1215171&amp;partnerID=40&amp;md5=3b78a98544161fc3fa1fad500723650f</w:t>
      </w:r>
    </w:p>
    <w:p w14:paraId="4343A1E1" w14:textId="77777777" w:rsidR="00EF10F9" w:rsidRPr="00EF10F9" w:rsidRDefault="00EF10F9" w:rsidP="00EF10F9">
      <w:pPr>
        <w:pStyle w:val="Bibliography"/>
        <w:rPr>
          <w:rFonts w:ascii="Arial" w:hAnsi="Arial" w:cs="Arial"/>
        </w:rPr>
      </w:pPr>
      <w:r w:rsidRPr="00EF10F9">
        <w:rPr>
          <w:rFonts w:ascii="Arial" w:hAnsi="Arial" w:cs="Arial"/>
        </w:rPr>
        <w:t>195.</w:t>
      </w:r>
      <w:r w:rsidRPr="00EF10F9">
        <w:rPr>
          <w:rFonts w:ascii="Arial" w:hAnsi="Arial" w:cs="Arial"/>
        </w:rPr>
        <w:tab/>
        <w:t xml:space="preserve">Sullivan L. Identity, Territory and Land Conflict in Brazil. Development and Change [Internet]. 2013;44(2):451–71. Available from: </w:t>
      </w:r>
      <w:r w:rsidRPr="00EF10F9">
        <w:rPr>
          <w:rFonts w:ascii="Arial" w:hAnsi="Arial" w:cs="Arial"/>
        </w:rPr>
        <w:lastRenderedPageBreak/>
        <w:t>https://www.scopus.com/inward/record.uri?eid=2-s2.0-84875080743&amp;doi=10.1111%2fdech.12010&amp;partnerID=40&amp;md5=ee6508178cb605c6a0f754d0c49bf1fc</w:t>
      </w:r>
    </w:p>
    <w:p w14:paraId="14A605E3" w14:textId="77777777" w:rsidR="00EF10F9" w:rsidRPr="00EF10F9" w:rsidRDefault="00EF10F9" w:rsidP="00EF10F9">
      <w:pPr>
        <w:pStyle w:val="Bibliography"/>
        <w:rPr>
          <w:rFonts w:ascii="Arial" w:hAnsi="Arial" w:cs="Arial"/>
        </w:rPr>
      </w:pPr>
      <w:r w:rsidRPr="00EF10F9">
        <w:rPr>
          <w:rFonts w:ascii="Arial" w:hAnsi="Arial" w:cs="Arial"/>
        </w:rPr>
        <w:t>196.</w:t>
      </w:r>
      <w:r w:rsidRPr="00EF10F9">
        <w:rPr>
          <w:rFonts w:ascii="Arial" w:hAnsi="Arial" w:cs="Arial"/>
        </w:rPr>
        <w:tab/>
        <w:t xml:space="preserve">Sundstrom A. Covenants with broken swords: Corruption and law enforcement in governance of the commons. GLOBAL ENVIRONMENTAL CHANGE-HUMAN AND POLICY DIMENSIONS. 2015;31:253–62. </w:t>
      </w:r>
    </w:p>
    <w:p w14:paraId="403CA471" w14:textId="77777777" w:rsidR="00EF10F9" w:rsidRPr="00EF10F9" w:rsidRDefault="00EF10F9" w:rsidP="00EF10F9">
      <w:pPr>
        <w:pStyle w:val="Bibliography"/>
        <w:rPr>
          <w:rFonts w:ascii="Arial" w:hAnsi="Arial" w:cs="Arial"/>
        </w:rPr>
      </w:pPr>
      <w:r w:rsidRPr="00EF10F9">
        <w:rPr>
          <w:rFonts w:ascii="Arial" w:hAnsi="Arial" w:cs="Arial"/>
        </w:rPr>
        <w:t>197.</w:t>
      </w:r>
      <w:r w:rsidRPr="00EF10F9">
        <w:rPr>
          <w:rFonts w:ascii="Arial" w:hAnsi="Arial" w:cs="Arial"/>
        </w:rPr>
        <w:tab/>
        <w:t xml:space="preserve">Sunge R, Ngepah N. Agricultural trade liberalization, regional trade agreements and agricultural technical efficiency in Africa. OUTLOOK ON AGRICULTURE. 2019; </w:t>
      </w:r>
    </w:p>
    <w:p w14:paraId="717D47C2" w14:textId="77777777" w:rsidR="00EF10F9" w:rsidRPr="00EF10F9" w:rsidRDefault="00EF10F9" w:rsidP="00EF10F9">
      <w:pPr>
        <w:pStyle w:val="Bibliography"/>
        <w:rPr>
          <w:rFonts w:ascii="Arial" w:hAnsi="Arial" w:cs="Arial"/>
        </w:rPr>
      </w:pPr>
      <w:r w:rsidRPr="00EF10F9">
        <w:rPr>
          <w:rFonts w:ascii="Arial" w:hAnsi="Arial" w:cs="Arial"/>
        </w:rPr>
        <w:t>198.</w:t>
      </w:r>
      <w:r w:rsidRPr="00EF10F9">
        <w:rPr>
          <w:rFonts w:ascii="Arial" w:hAnsi="Arial" w:cs="Arial"/>
        </w:rPr>
        <w:tab/>
        <w:t xml:space="preserve">Tagliarino NK, Bununu YA, Micheal MO, De Maria M, Olusanmi A. Compensation for Expropriated Community Farmland in Nigeria: An In-Depth Analysis of the Laws and Practices Related to Land Expropriation for the Lekki Free Trade Zone in Lagos. LAND. 2018;7(1). </w:t>
      </w:r>
    </w:p>
    <w:p w14:paraId="6E36CCF8" w14:textId="77777777" w:rsidR="00EF10F9" w:rsidRPr="00EF10F9" w:rsidRDefault="00EF10F9" w:rsidP="00EF10F9">
      <w:pPr>
        <w:pStyle w:val="Bibliography"/>
        <w:rPr>
          <w:rFonts w:ascii="Arial" w:hAnsi="Arial" w:cs="Arial"/>
        </w:rPr>
      </w:pPr>
      <w:r w:rsidRPr="00EF10F9">
        <w:rPr>
          <w:rFonts w:ascii="Arial" w:hAnsi="Arial" w:cs="Arial"/>
        </w:rPr>
        <w:t>199.</w:t>
      </w:r>
      <w:r w:rsidRPr="00EF10F9">
        <w:rPr>
          <w:rFonts w:ascii="Arial" w:hAnsi="Arial" w:cs="Arial"/>
        </w:rPr>
        <w:tab/>
        <w:t xml:space="preserve">Tahkapaa S, Maijala R, Korkeala H, Nevas M. Patterns of food frauds and adulterations reported in the EU rapid alert system for food and feed and in Finland. FOOD CONTROL. 2015;47:175–84. </w:t>
      </w:r>
    </w:p>
    <w:p w14:paraId="47622AB9" w14:textId="77777777" w:rsidR="00EF10F9" w:rsidRPr="00EF10F9" w:rsidRDefault="00EF10F9" w:rsidP="00EF10F9">
      <w:pPr>
        <w:pStyle w:val="Bibliography"/>
        <w:rPr>
          <w:rFonts w:ascii="Arial" w:hAnsi="Arial" w:cs="Arial"/>
        </w:rPr>
      </w:pPr>
      <w:r w:rsidRPr="00EF10F9">
        <w:rPr>
          <w:rFonts w:ascii="Arial" w:hAnsi="Arial" w:cs="Arial"/>
        </w:rPr>
        <w:t>200.</w:t>
      </w:r>
      <w:r w:rsidRPr="00EF10F9">
        <w:rPr>
          <w:rFonts w:ascii="Arial" w:hAnsi="Arial" w:cs="Arial"/>
        </w:rPr>
        <w:tab/>
        <w:t>Thomas J, Thomas LT. Computer fraud perpetrated against small independent food retailers during the direct store delivery process. Journal of Small Business Management [Internet]. 1992;30(4):54. Available from: http://ezproxy.library.yorku.ca/login?url=https://search.proquest.com/docview/220954564?accountid=15182</w:t>
      </w:r>
    </w:p>
    <w:p w14:paraId="1C0DD2F3" w14:textId="77777777" w:rsidR="00EF10F9" w:rsidRPr="00EF10F9" w:rsidRDefault="00EF10F9" w:rsidP="00EF10F9">
      <w:pPr>
        <w:pStyle w:val="Bibliography"/>
        <w:rPr>
          <w:rFonts w:ascii="Arial" w:hAnsi="Arial" w:cs="Arial"/>
        </w:rPr>
      </w:pPr>
      <w:r w:rsidRPr="00EF10F9">
        <w:rPr>
          <w:rFonts w:ascii="Arial" w:hAnsi="Arial" w:cs="Arial"/>
        </w:rPr>
        <w:t>201.</w:t>
      </w:r>
      <w:r w:rsidRPr="00EF10F9">
        <w:rPr>
          <w:rFonts w:ascii="Arial" w:hAnsi="Arial" w:cs="Arial"/>
        </w:rPr>
        <w:tab/>
        <w:t>Tibugari H, Chikasha T, Manyeruke N, Mathema N, Musara JP, Dlamini D, et al. Poor maize productivity in Zimbabwe: Can collusion in pricing by seed houses be the cause? Cogent Food and Agriculture [Internet]. 2019;5(1). Available from: https://www.scopus.com/inward/record.uri?eid=2-s2.0-85092662584&amp;doi=10.1080%2f23311932.2019.1682230&amp;partnerID=40&amp;md5=6dd4b2018e7703d78cd5ac11840db112</w:t>
      </w:r>
    </w:p>
    <w:p w14:paraId="596282A7" w14:textId="77777777" w:rsidR="00EF10F9" w:rsidRPr="00EF10F9" w:rsidRDefault="00EF10F9" w:rsidP="00EF10F9">
      <w:pPr>
        <w:pStyle w:val="Bibliography"/>
        <w:rPr>
          <w:rFonts w:ascii="Arial" w:hAnsi="Arial" w:cs="Arial"/>
        </w:rPr>
      </w:pPr>
      <w:r w:rsidRPr="00EF10F9">
        <w:rPr>
          <w:rFonts w:ascii="Arial" w:hAnsi="Arial" w:cs="Arial"/>
        </w:rPr>
        <w:t>202.</w:t>
      </w:r>
      <w:r w:rsidRPr="00EF10F9">
        <w:rPr>
          <w:rFonts w:ascii="Arial" w:hAnsi="Arial" w:cs="Arial"/>
        </w:rPr>
        <w:tab/>
        <w:t xml:space="preserve">Tracy M. Multimodality, Transparency, and Food Safety in China. POLAR-POLITICAL AND LEGAL ANTHROPOLOGY REVIEW. 2016;39(1):34–53. </w:t>
      </w:r>
    </w:p>
    <w:p w14:paraId="333B1A5C" w14:textId="77777777" w:rsidR="00EF10F9" w:rsidRPr="00EF10F9" w:rsidRDefault="00EF10F9" w:rsidP="00EF10F9">
      <w:pPr>
        <w:pStyle w:val="Bibliography"/>
        <w:rPr>
          <w:rFonts w:ascii="Arial" w:hAnsi="Arial" w:cs="Arial"/>
        </w:rPr>
      </w:pPr>
      <w:r w:rsidRPr="00EF10F9">
        <w:rPr>
          <w:rFonts w:ascii="Arial" w:hAnsi="Arial" w:cs="Arial"/>
        </w:rPr>
        <w:t>203.</w:t>
      </w:r>
      <w:r w:rsidRPr="00EF10F9">
        <w:rPr>
          <w:rFonts w:ascii="Arial" w:hAnsi="Arial" w:cs="Arial"/>
        </w:rPr>
        <w:tab/>
        <w:t xml:space="preserve">Traikova D, Moellers J, Petrick M. Go west? Emigration intentions of young Bulgarian agricultural specialists. JOURNAL OF RURAL STUDIES. 2018;62:134–45. </w:t>
      </w:r>
    </w:p>
    <w:p w14:paraId="7D6EFF27" w14:textId="77777777" w:rsidR="00EF10F9" w:rsidRPr="00EF10F9" w:rsidRDefault="00EF10F9" w:rsidP="00EF10F9">
      <w:pPr>
        <w:pStyle w:val="Bibliography"/>
        <w:rPr>
          <w:rFonts w:ascii="Arial" w:hAnsi="Arial" w:cs="Arial"/>
        </w:rPr>
      </w:pPr>
      <w:r w:rsidRPr="00EF10F9">
        <w:rPr>
          <w:rFonts w:ascii="Arial" w:hAnsi="Arial" w:cs="Arial"/>
        </w:rPr>
        <w:t>204.</w:t>
      </w:r>
      <w:r w:rsidRPr="00EF10F9">
        <w:rPr>
          <w:rFonts w:ascii="Arial" w:hAnsi="Arial" w:cs="Arial"/>
        </w:rPr>
        <w:tab/>
        <w:t>Tse YK, Zhang M, Doherty B, Chappell P, Garnett P. Insight from the horsemeat scandal Exploring the consumers’ opinion of tweets toward Tesco. Industrial Management and Data Systems [Internet]. 2016;116(6):1178–200. Available from: https://www.scopus.com/inward/record.uri?eid=2-s2.0-84976584147&amp;doi=10.1108%2fIMDS-10-2015-0417&amp;partnerID=40&amp;md5=5928f2b1ef2c9cd051c4bbcb98af0a9f</w:t>
      </w:r>
    </w:p>
    <w:p w14:paraId="263F832A" w14:textId="77777777" w:rsidR="00EF10F9" w:rsidRPr="00EF10F9" w:rsidRDefault="00EF10F9" w:rsidP="00EF10F9">
      <w:pPr>
        <w:pStyle w:val="Bibliography"/>
        <w:rPr>
          <w:rFonts w:ascii="Arial" w:hAnsi="Arial" w:cs="Arial"/>
        </w:rPr>
      </w:pPr>
      <w:r w:rsidRPr="00EF10F9">
        <w:rPr>
          <w:rFonts w:ascii="Arial" w:hAnsi="Arial" w:cs="Arial"/>
        </w:rPr>
        <w:t>205.</w:t>
      </w:r>
      <w:r w:rsidRPr="00EF10F9">
        <w:rPr>
          <w:rFonts w:ascii="Arial" w:hAnsi="Arial" w:cs="Arial"/>
        </w:rPr>
        <w:tab/>
        <w:t>Tselengidis A, Östergren PO. Lobbying against sugar taxation in the European Union: Analysing the lobbying arguments and tactics of stakeholders in the food and drink industries. Scandinavian Journal of Public Health [Internet]. 2019;47(5):565–75. Available from: https://www.scopus.com/inward/record.uri?eid=2-s2.0-85049776324&amp;doi=10.1177%2f1403494818787102&amp;partnerID=40&amp;md5=53a30347922f0b5d9b95d5f6856c5f7a</w:t>
      </w:r>
    </w:p>
    <w:p w14:paraId="6D97AFCE" w14:textId="77777777" w:rsidR="00EF10F9" w:rsidRPr="00EF10F9" w:rsidRDefault="00EF10F9" w:rsidP="00EF10F9">
      <w:pPr>
        <w:pStyle w:val="Bibliography"/>
        <w:rPr>
          <w:rFonts w:ascii="Arial" w:hAnsi="Arial" w:cs="Arial"/>
        </w:rPr>
      </w:pPr>
      <w:r w:rsidRPr="00EF10F9">
        <w:rPr>
          <w:rFonts w:ascii="Arial" w:hAnsi="Arial" w:cs="Arial"/>
        </w:rPr>
        <w:lastRenderedPageBreak/>
        <w:t>206.</w:t>
      </w:r>
      <w:r w:rsidRPr="00EF10F9">
        <w:rPr>
          <w:rFonts w:ascii="Arial" w:hAnsi="Arial" w:cs="Arial"/>
        </w:rPr>
        <w:tab/>
        <w:t xml:space="preserve">Uchendu FN, Abolarin TO. Corrupt practices negatively influenced food security and live expectancy in developing countries. The Pan African medical journal. 2015;20:110–110. </w:t>
      </w:r>
    </w:p>
    <w:p w14:paraId="6F4071F6" w14:textId="77777777" w:rsidR="00EF10F9" w:rsidRPr="00EF10F9" w:rsidRDefault="00EF10F9" w:rsidP="00EF10F9">
      <w:pPr>
        <w:pStyle w:val="Bibliography"/>
        <w:rPr>
          <w:rFonts w:ascii="Arial" w:hAnsi="Arial" w:cs="Arial"/>
        </w:rPr>
      </w:pPr>
      <w:r w:rsidRPr="00EF10F9">
        <w:rPr>
          <w:rFonts w:ascii="Arial" w:hAnsi="Arial" w:cs="Arial"/>
        </w:rPr>
        <w:t>207.</w:t>
      </w:r>
      <w:r w:rsidRPr="00EF10F9">
        <w:rPr>
          <w:rFonts w:ascii="Arial" w:hAnsi="Arial" w:cs="Arial"/>
        </w:rPr>
        <w:tab/>
        <w:t>Uchendu FN. Hunger influenced life expectancy in war-torn Sub-Saharan African countries. Journal of health, population, and nutrition [Internet]. 2018;37(1):11–11. Available from: http://www.pubmedcentral.nih.gov/articlerender.fcgi?artid=PMC5921790</w:t>
      </w:r>
    </w:p>
    <w:p w14:paraId="1660DB96" w14:textId="77777777" w:rsidR="00EF10F9" w:rsidRPr="00EF10F9" w:rsidRDefault="00EF10F9" w:rsidP="00EF10F9">
      <w:pPr>
        <w:pStyle w:val="Bibliography"/>
        <w:rPr>
          <w:rFonts w:ascii="Arial" w:hAnsi="Arial" w:cs="Arial"/>
        </w:rPr>
      </w:pPr>
      <w:r w:rsidRPr="00EF10F9">
        <w:rPr>
          <w:rFonts w:ascii="Arial" w:hAnsi="Arial" w:cs="Arial"/>
        </w:rPr>
        <w:t>208.</w:t>
      </w:r>
      <w:r w:rsidRPr="00EF10F9">
        <w:rPr>
          <w:rFonts w:ascii="Arial" w:hAnsi="Arial" w:cs="Arial"/>
        </w:rPr>
        <w:tab/>
        <w:t xml:space="preserve">Ujunwa A, Okoyeuzu C, Kalu EU. Armed Conflict and Food Security in West Africa: Socioeconomic Perspective. INTERNATIONAL JOURNAL OF SOCIAL ECONOMICS. 2019;46(2):182–98. </w:t>
      </w:r>
    </w:p>
    <w:p w14:paraId="1CD4CEA7" w14:textId="77777777" w:rsidR="00EF10F9" w:rsidRPr="00EF10F9" w:rsidRDefault="00EF10F9" w:rsidP="00EF10F9">
      <w:pPr>
        <w:pStyle w:val="Bibliography"/>
        <w:rPr>
          <w:rFonts w:ascii="Arial" w:hAnsi="Arial" w:cs="Arial"/>
        </w:rPr>
      </w:pPr>
      <w:r w:rsidRPr="00EF10F9">
        <w:rPr>
          <w:rFonts w:ascii="Arial" w:hAnsi="Arial" w:cs="Arial"/>
        </w:rPr>
        <w:t>209.</w:t>
      </w:r>
      <w:r w:rsidRPr="00EF10F9">
        <w:rPr>
          <w:rFonts w:ascii="Arial" w:hAnsi="Arial" w:cs="Arial"/>
        </w:rPr>
        <w:tab/>
        <w:t xml:space="preserve">Uzel G, Ndimballan A, Gurluk S. Impacts of Corruption to Agricultural Export Potential of the Gambia Competitive Neighbours. KSU TARIM VE DOGA DERGISI-KSU JOURNAL OF AGRICULTURE AND NATURE. 2021;24(4):886–94. </w:t>
      </w:r>
    </w:p>
    <w:p w14:paraId="2B08A93F" w14:textId="77777777" w:rsidR="00EF10F9" w:rsidRPr="00EF10F9" w:rsidRDefault="00EF10F9" w:rsidP="00EF10F9">
      <w:pPr>
        <w:pStyle w:val="Bibliography"/>
        <w:rPr>
          <w:rFonts w:ascii="Arial" w:hAnsi="Arial" w:cs="Arial"/>
        </w:rPr>
      </w:pPr>
      <w:r w:rsidRPr="00EF10F9">
        <w:rPr>
          <w:rFonts w:ascii="Arial" w:hAnsi="Arial" w:cs="Arial"/>
        </w:rPr>
        <w:t>210.</w:t>
      </w:r>
      <w:r w:rsidRPr="00EF10F9">
        <w:rPr>
          <w:rFonts w:ascii="Arial" w:hAnsi="Arial" w:cs="Arial"/>
        </w:rPr>
        <w:tab/>
        <w:t xml:space="preserve">Vaidya R. Corruption, re-corruption and what transpires in between: The case of a government officer in India. Journal of Business Ethics. 2019;156(3):605–20. </w:t>
      </w:r>
    </w:p>
    <w:p w14:paraId="0651A1CB" w14:textId="77777777" w:rsidR="00EF10F9" w:rsidRPr="00EF10F9" w:rsidRDefault="00EF10F9" w:rsidP="00EF10F9">
      <w:pPr>
        <w:pStyle w:val="Bibliography"/>
        <w:rPr>
          <w:rFonts w:ascii="Arial" w:hAnsi="Arial" w:cs="Arial"/>
        </w:rPr>
      </w:pPr>
      <w:r w:rsidRPr="00EF10F9">
        <w:rPr>
          <w:rFonts w:ascii="Arial" w:hAnsi="Arial" w:cs="Arial"/>
        </w:rPr>
        <w:t>211.</w:t>
      </w:r>
      <w:r w:rsidRPr="00EF10F9">
        <w:rPr>
          <w:rFonts w:ascii="Arial" w:hAnsi="Arial" w:cs="Arial"/>
        </w:rPr>
        <w:tab/>
        <w:t>Van Hoi P, Mol A, Oosterveer P. State governance of pesticide use and trade in Vietnam. NJAS - Wageningen Journal of Life Sciences [Internet]. 2013;67:19–26. Available from: https://www.scopus.com/inward/record.uri?eid=2-s2.0-84889880006&amp;doi=10.1016%2fj.njas.2013.09.001&amp;partnerID=40&amp;md5=ada09a8094abb1105e1a98f013184ab1</w:t>
      </w:r>
    </w:p>
    <w:p w14:paraId="04B89C4D" w14:textId="77777777" w:rsidR="00EF10F9" w:rsidRPr="00EF10F9" w:rsidRDefault="00EF10F9" w:rsidP="00EF10F9">
      <w:pPr>
        <w:pStyle w:val="Bibliography"/>
        <w:rPr>
          <w:rFonts w:ascii="Arial" w:hAnsi="Arial" w:cs="Arial"/>
        </w:rPr>
      </w:pPr>
      <w:r w:rsidRPr="00EF10F9">
        <w:rPr>
          <w:rFonts w:ascii="Arial" w:hAnsi="Arial" w:cs="Arial"/>
        </w:rPr>
        <w:t>212.</w:t>
      </w:r>
      <w:r w:rsidRPr="00EF10F9">
        <w:rPr>
          <w:rFonts w:ascii="Arial" w:hAnsi="Arial" w:cs="Arial"/>
        </w:rPr>
        <w:tab/>
        <w:t xml:space="preserve">Van Rijswijk W, Frewer LJ. Consumer needs and requirements for food and ingredient traceability information. International Journal of Consumer Studies. 2012;36(3):282–90. </w:t>
      </w:r>
    </w:p>
    <w:p w14:paraId="3950E840" w14:textId="77777777" w:rsidR="00EF10F9" w:rsidRPr="00EF10F9" w:rsidRDefault="00EF10F9" w:rsidP="00EF10F9">
      <w:pPr>
        <w:pStyle w:val="Bibliography"/>
        <w:rPr>
          <w:rFonts w:ascii="Arial" w:hAnsi="Arial" w:cs="Arial"/>
        </w:rPr>
      </w:pPr>
      <w:r w:rsidRPr="00EF10F9">
        <w:rPr>
          <w:rFonts w:ascii="Arial" w:hAnsi="Arial" w:cs="Arial"/>
        </w:rPr>
        <w:t>213.</w:t>
      </w:r>
      <w:r w:rsidRPr="00EF10F9">
        <w:rPr>
          <w:rFonts w:ascii="Arial" w:hAnsi="Arial" w:cs="Arial"/>
        </w:rPr>
        <w:tab/>
        <w:t>van Ruth SM, van der Veeken J, Dekker P, Luning PA, Huisman W. Feeding fiction: Fraud vulnerability in the food service industry. Food Research International [Internet]. 2020;133. Available from: https://www.scopus.com/inward/record.uri?eid=2-s2.0-85081153496&amp;doi=10.1016%2fj.foodres.2020.109158&amp;partnerID=40&amp;md5=3592ee3e9743474508db4db28f78bbce</w:t>
      </w:r>
    </w:p>
    <w:p w14:paraId="6FEAB484" w14:textId="77777777" w:rsidR="00EF10F9" w:rsidRPr="00EF10F9" w:rsidRDefault="00EF10F9" w:rsidP="00EF10F9">
      <w:pPr>
        <w:pStyle w:val="Bibliography"/>
        <w:rPr>
          <w:rFonts w:ascii="Arial" w:hAnsi="Arial" w:cs="Arial"/>
        </w:rPr>
      </w:pPr>
      <w:r w:rsidRPr="00EF10F9">
        <w:rPr>
          <w:rFonts w:ascii="Arial" w:hAnsi="Arial" w:cs="Arial"/>
        </w:rPr>
        <w:t>214.</w:t>
      </w:r>
      <w:r w:rsidRPr="00EF10F9">
        <w:rPr>
          <w:rFonts w:ascii="Arial" w:hAnsi="Arial" w:cs="Arial"/>
        </w:rPr>
        <w:tab/>
        <w:t>van Ruth SM, Nillesen O. Which company characteristics make a food business at risk for food fraud? Foods [Internet]. 2021;10(4). Available from: https://www.scopus.com/inward/record.uri?eid=2-s2.0-85104120931&amp;doi=10.3390%2ffoods10040842&amp;partnerID=40&amp;md5=c64c3318eae1b303c8a0510dbde62d48</w:t>
      </w:r>
    </w:p>
    <w:p w14:paraId="1A1C20EB" w14:textId="77777777" w:rsidR="00EF10F9" w:rsidRPr="00EF10F9" w:rsidRDefault="00EF10F9" w:rsidP="00EF10F9">
      <w:pPr>
        <w:pStyle w:val="Bibliography"/>
        <w:rPr>
          <w:rFonts w:ascii="Arial" w:hAnsi="Arial" w:cs="Arial"/>
        </w:rPr>
      </w:pPr>
      <w:r w:rsidRPr="00EF10F9">
        <w:rPr>
          <w:rFonts w:ascii="Arial" w:hAnsi="Arial" w:cs="Arial"/>
        </w:rPr>
        <w:t>215.</w:t>
      </w:r>
      <w:r w:rsidRPr="00EF10F9">
        <w:rPr>
          <w:rFonts w:ascii="Arial" w:hAnsi="Arial" w:cs="Arial"/>
        </w:rPr>
        <w:tab/>
        <w:t>van Velden JL, Travers H, Moyo BHZ, Biggs D. Using scenarios to understand community-based interventions for bushmeat hunting and consumption in African savannas. Biological Conservation [Internet]. 2020;248. Available from: https://www.scopus.com/inward/record.uri?eid=2-s2.0-85086937701&amp;doi=10.1016%2fj.biocon.2020.108676&amp;partnerID=40&amp;md5=ffd204abbdb16794078a3b15a801fa8a</w:t>
      </w:r>
    </w:p>
    <w:p w14:paraId="44279FAD" w14:textId="77777777" w:rsidR="00EF10F9" w:rsidRPr="00EF10F9" w:rsidRDefault="00EF10F9" w:rsidP="00EF10F9">
      <w:pPr>
        <w:pStyle w:val="Bibliography"/>
        <w:rPr>
          <w:rFonts w:ascii="Arial" w:hAnsi="Arial" w:cs="Arial"/>
        </w:rPr>
      </w:pPr>
      <w:r w:rsidRPr="00EF10F9">
        <w:rPr>
          <w:rFonts w:ascii="Arial" w:hAnsi="Arial" w:cs="Arial"/>
        </w:rPr>
        <w:t>216.</w:t>
      </w:r>
      <w:r w:rsidRPr="00EF10F9">
        <w:rPr>
          <w:rFonts w:ascii="Arial" w:hAnsi="Arial" w:cs="Arial"/>
        </w:rPr>
        <w:tab/>
        <w:t xml:space="preserve">Vandenbrink D, Pauzé E, Potvin Kent M. Strategies used by the Canadian food and beverage industry to influence food and nutrition policies. The International Journal of Behavioral Nutrition and Physical Activity. 2020;17. </w:t>
      </w:r>
    </w:p>
    <w:p w14:paraId="3F25948D" w14:textId="77777777" w:rsidR="00EF10F9" w:rsidRPr="00EF10F9" w:rsidRDefault="00EF10F9" w:rsidP="00EF10F9">
      <w:pPr>
        <w:pStyle w:val="Bibliography"/>
        <w:rPr>
          <w:rFonts w:ascii="Arial" w:hAnsi="Arial" w:cs="Arial"/>
        </w:rPr>
      </w:pPr>
      <w:r w:rsidRPr="00EF10F9">
        <w:rPr>
          <w:rFonts w:ascii="Arial" w:hAnsi="Arial" w:cs="Arial"/>
        </w:rPr>
        <w:t>217.</w:t>
      </w:r>
      <w:r w:rsidRPr="00EF10F9">
        <w:rPr>
          <w:rFonts w:ascii="Arial" w:hAnsi="Arial" w:cs="Arial"/>
        </w:rPr>
        <w:tab/>
        <w:t xml:space="preserve">Venot JP, Andreini M, Pinkstaff CB. Planning and corrupting water resources development: The case of small reservoirs in Ghana. Water Alternatives [Internet]. </w:t>
      </w:r>
      <w:r w:rsidRPr="00EF10F9">
        <w:rPr>
          <w:rFonts w:ascii="Arial" w:hAnsi="Arial" w:cs="Arial"/>
        </w:rPr>
        <w:lastRenderedPageBreak/>
        <w:t>2011;4(3):399–423. Available from: https://www.scopus.com/inward/record.uri?eid=2-s2.0-83755196052&amp;partnerID=40&amp;md5=09317337f4ceb758a9b15106c041759e</w:t>
      </w:r>
    </w:p>
    <w:p w14:paraId="1FC0C3DC" w14:textId="77777777" w:rsidR="00EF10F9" w:rsidRPr="00EF10F9" w:rsidRDefault="00EF10F9" w:rsidP="00EF10F9">
      <w:pPr>
        <w:pStyle w:val="Bibliography"/>
        <w:rPr>
          <w:rFonts w:ascii="Arial" w:hAnsi="Arial" w:cs="Arial"/>
        </w:rPr>
      </w:pPr>
      <w:r w:rsidRPr="00EF10F9">
        <w:rPr>
          <w:rFonts w:ascii="Arial" w:hAnsi="Arial" w:cs="Arial"/>
        </w:rPr>
        <w:t>218.</w:t>
      </w:r>
      <w:r w:rsidRPr="00EF10F9">
        <w:rPr>
          <w:rFonts w:ascii="Arial" w:hAnsi="Arial" w:cs="Arial"/>
        </w:rPr>
        <w:tab/>
        <w:t>Venter O, Sanderson EW, Magrach A, Allan JR, Beher J, Jones KR, et al. Sixteen years of change in the global terrestrial human footprint and implications for biodiversity conservation. Nature Communications [Internet]. 2016;7. Available from: https://www.scopus.com/inward/record.uri?eid=2-s2.0-84984638802&amp;doi=10.1038%2fncomms12558&amp;partnerID=40&amp;md5=32607402866bd6705338806697ac528c</w:t>
      </w:r>
    </w:p>
    <w:p w14:paraId="41269235" w14:textId="77777777" w:rsidR="00EF10F9" w:rsidRPr="00EF10F9" w:rsidRDefault="00EF10F9" w:rsidP="00EF10F9">
      <w:pPr>
        <w:pStyle w:val="Bibliography"/>
        <w:rPr>
          <w:rFonts w:ascii="Arial" w:hAnsi="Arial" w:cs="Arial"/>
        </w:rPr>
      </w:pPr>
      <w:r w:rsidRPr="00EF10F9">
        <w:rPr>
          <w:rFonts w:ascii="Arial" w:hAnsi="Arial" w:cs="Arial"/>
        </w:rPr>
        <w:t>219.</w:t>
      </w:r>
      <w:r w:rsidRPr="00EF10F9">
        <w:rPr>
          <w:rFonts w:ascii="Arial" w:hAnsi="Arial" w:cs="Arial"/>
        </w:rPr>
        <w:tab/>
        <w:t xml:space="preserve">Vercillo S, Hird-Younger M. Farmer resistance to agriculture commercialisation in northern Ghana. THIRD WORLD QUARTERLY. 2019;40(4):763–79. </w:t>
      </w:r>
    </w:p>
    <w:p w14:paraId="7FC3D96F" w14:textId="77777777" w:rsidR="00EF10F9" w:rsidRPr="00EF10F9" w:rsidRDefault="00EF10F9" w:rsidP="00EF10F9">
      <w:pPr>
        <w:pStyle w:val="Bibliography"/>
        <w:rPr>
          <w:rFonts w:ascii="Arial" w:hAnsi="Arial" w:cs="Arial"/>
        </w:rPr>
      </w:pPr>
      <w:r w:rsidRPr="00EF10F9">
        <w:rPr>
          <w:rFonts w:ascii="Arial" w:hAnsi="Arial" w:cs="Arial"/>
        </w:rPr>
        <w:t>220.</w:t>
      </w:r>
      <w:r w:rsidRPr="00EF10F9">
        <w:rPr>
          <w:rFonts w:ascii="Arial" w:hAnsi="Arial" w:cs="Arial"/>
        </w:rPr>
        <w:tab/>
        <w:t xml:space="preserve">Verter N. Food Security and Trade in Food Products in Nigeria. European Journal of Sustainable Development. 2019;8(3):527–527. </w:t>
      </w:r>
    </w:p>
    <w:p w14:paraId="177983E4" w14:textId="77777777" w:rsidR="00EF10F9" w:rsidRPr="00EF10F9" w:rsidRDefault="00EF10F9" w:rsidP="00EF10F9">
      <w:pPr>
        <w:pStyle w:val="Bibliography"/>
        <w:rPr>
          <w:rFonts w:ascii="Arial" w:hAnsi="Arial" w:cs="Arial"/>
        </w:rPr>
      </w:pPr>
      <w:r w:rsidRPr="00EF10F9">
        <w:rPr>
          <w:rFonts w:ascii="Arial" w:hAnsi="Arial" w:cs="Arial"/>
        </w:rPr>
        <w:t>221.</w:t>
      </w:r>
      <w:r w:rsidRPr="00EF10F9">
        <w:rPr>
          <w:rFonts w:ascii="Arial" w:hAnsi="Arial" w:cs="Arial"/>
        </w:rPr>
        <w:tab/>
        <w:t xml:space="preserve">Vollrath TL, Hallahan CB, Gehlhar MJ. Consumer demand and cost factors shape the global trade network in commodity and manufactured foods. Canadian Journal of Agricultural Economics. 2006;54(4):497–511. </w:t>
      </w:r>
    </w:p>
    <w:p w14:paraId="2BC59261" w14:textId="77777777" w:rsidR="00EF10F9" w:rsidRPr="00EF10F9" w:rsidRDefault="00EF10F9" w:rsidP="00EF10F9">
      <w:pPr>
        <w:pStyle w:val="Bibliography"/>
        <w:rPr>
          <w:rFonts w:ascii="Arial" w:hAnsi="Arial" w:cs="Arial"/>
        </w:rPr>
      </w:pPr>
      <w:r w:rsidRPr="00EF10F9">
        <w:rPr>
          <w:rFonts w:ascii="Arial" w:hAnsi="Arial" w:cs="Arial"/>
        </w:rPr>
        <w:t>222.</w:t>
      </w:r>
      <w:r w:rsidRPr="00EF10F9">
        <w:rPr>
          <w:rFonts w:ascii="Arial" w:hAnsi="Arial" w:cs="Arial"/>
        </w:rPr>
        <w:tab/>
        <w:t xml:space="preserve">Weber SA, Anders SM. Price rigidity and market power in German retailing. Managerial &amp; Decision Economics. 2007;28(7):737–49. </w:t>
      </w:r>
    </w:p>
    <w:p w14:paraId="558D50D4" w14:textId="77777777" w:rsidR="00EF10F9" w:rsidRPr="00EF10F9" w:rsidRDefault="00EF10F9" w:rsidP="00EF10F9">
      <w:pPr>
        <w:pStyle w:val="Bibliography"/>
        <w:rPr>
          <w:rFonts w:ascii="Arial" w:hAnsi="Arial" w:cs="Arial"/>
        </w:rPr>
      </w:pPr>
      <w:r w:rsidRPr="00EF10F9">
        <w:rPr>
          <w:rFonts w:ascii="Arial" w:hAnsi="Arial" w:cs="Arial"/>
        </w:rPr>
        <w:t>223.</w:t>
      </w:r>
      <w:r w:rsidRPr="00EF10F9">
        <w:rPr>
          <w:rFonts w:ascii="Arial" w:hAnsi="Arial" w:cs="Arial"/>
        </w:rPr>
        <w:tab/>
        <w:t>Weesie R, García AK. From herding to farming under adaptation interventions in southern Kenya: A critical perspective. Sustainability (Switzerland) [Internet]. 2018;10(12). Available from: https://www.scopus.com/inward/record.uri?eid=2-s2.0-85057241251&amp;doi=10.3390%2fsu10124386&amp;partnerID=40&amp;md5=629b5eda6379e313d555987ad0c49628</w:t>
      </w:r>
    </w:p>
    <w:p w14:paraId="2962BAB2" w14:textId="77777777" w:rsidR="00EF10F9" w:rsidRPr="00EF10F9" w:rsidRDefault="00EF10F9" w:rsidP="00EF10F9">
      <w:pPr>
        <w:pStyle w:val="Bibliography"/>
        <w:rPr>
          <w:rFonts w:ascii="Arial" w:hAnsi="Arial" w:cs="Arial"/>
        </w:rPr>
      </w:pPr>
      <w:r w:rsidRPr="00EF10F9">
        <w:rPr>
          <w:rFonts w:ascii="Arial" w:hAnsi="Arial" w:cs="Arial"/>
        </w:rPr>
        <w:t>224.</w:t>
      </w:r>
      <w:r w:rsidRPr="00EF10F9">
        <w:rPr>
          <w:rFonts w:ascii="Arial" w:hAnsi="Arial" w:cs="Arial"/>
        </w:rPr>
        <w:tab/>
        <w:t>Wisniewski A, Buschulte A. How to tackle food fraud in official food control authorities in Germany. Journal fur Verbraucherschutz und Lebensmittelsicherheit [Internet]. 2019;14(4):319–28. Available from: https://www.scopus.com/inward/record.uri?eid=2-s2.0-85067290019&amp;doi=10.1007%2fs00003-019-01228-2&amp;partnerID=40&amp;md5=a9a525efd015fe71ec5c0a4b6980e681</w:t>
      </w:r>
    </w:p>
    <w:p w14:paraId="4BA104CC" w14:textId="77777777" w:rsidR="00EF10F9" w:rsidRPr="00EF10F9" w:rsidRDefault="00EF10F9" w:rsidP="00EF10F9">
      <w:pPr>
        <w:pStyle w:val="Bibliography"/>
        <w:rPr>
          <w:rFonts w:ascii="Arial" w:hAnsi="Arial" w:cs="Arial"/>
        </w:rPr>
      </w:pPr>
      <w:r w:rsidRPr="00EF10F9">
        <w:rPr>
          <w:rFonts w:ascii="Arial" w:hAnsi="Arial" w:cs="Arial"/>
        </w:rPr>
        <w:t>225.</w:t>
      </w:r>
      <w:r w:rsidRPr="00EF10F9">
        <w:rPr>
          <w:rFonts w:ascii="Arial" w:hAnsi="Arial" w:cs="Arial"/>
        </w:rPr>
        <w:tab/>
        <w:t>Wolfersberger J, Delacote P, Garcia S. An empirical analysis of forest transition and land-use change in developing countries. Ecological Economics [Internet]. 2015 Nov 1 [cited 2022 May 20];119:241–51. Available from: https://www.sciencedirect.com/science/article/pii/S0921800915003663</w:t>
      </w:r>
    </w:p>
    <w:p w14:paraId="7B41E08B" w14:textId="77777777" w:rsidR="00EF10F9" w:rsidRPr="00EF10F9" w:rsidRDefault="00EF10F9" w:rsidP="00EF10F9">
      <w:pPr>
        <w:pStyle w:val="Bibliography"/>
        <w:rPr>
          <w:rFonts w:ascii="Arial" w:hAnsi="Arial" w:cs="Arial"/>
        </w:rPr>
      </w:pPr>
      <w:r w:rsidRPr="00EF10F9">
        <w:rPr>
          <w:rFonts w:ascii="Arial" w:hAnsi="Arial" w:cs="Arial"/>
        </w:rPr>
        <w:t>226.</w:t>
      </w:r>
      <w:r w:rsidRPr="00EF10F9">
        <w:rPr>
          <w:rFonts w:ascii="Arial" w:hAnsi="Arial" w:cs="Arial"/>
        </w:rPr>
        <w:tab/>
        <w:t>Yami M, van Asten P, Hauser M, Schut M, Pali P. Participation without Negotiating: Influence of Stakeholder Power Imbalances and Engagement Models on Agricultural Policy Development in Uganda. Rural Sociology [Internet]. 2019;84(2):390–415. Available from: https://www.scopus.com/inward/record.uri?eid=2-s2.0-85048919626&amp;doi=10.1111%2fruso.12229&amp;partnerID=40&amp;md5=ba5bb36b214ab8d75073f9dc063c0489</w:t>
      </w:r>
    </w:p>
    <w:p w14:paraId="29503DEB" w14:textId="77777777" w:rsidR="00EF10F9" w:rsidRPr="00EF10F9" w:rsidRDefault="00EF10F9" w:rsidP="00EF10F9">
      <w:pPr>
        <w:pStyle w:val="Bibliography"/>
        <w:rPr>
          <w:rFonts w:ascii="Arial" w:hAnsi="Arial" w:cs="Arial"/>
        </w:rPr>
      </w:pPr>
      <w:r w:rsidRPr="00EF10F9">
        <w:rPr>
          <w:rFonts w:ascii="Arial" w:hAnsi="Arial" w:cs="Arial"/>
        </w:rPr>
        <w:t>227.</w:t>
      </w:r>
      <w:r w:rsidRPr="00EF10F9">
        <w:rPr>
          <w:rFonts w:ascii="Arial" w:hAnsi="Arial" w:cs="Arial"/>
        </w:rPr>
        <w:tab/>
        <w:t>Yan J, Erasmus SW, Aguilera Toro M, Huang H, van Ruth SM. Food fraud: Assessing fraud vulnerability in the extra virgin olive oil supply chain. Food Control [Internet]. 2020;111. Available from: https://www.scopus.com/inward/record.uri?eid=2-s2.0-85078725092&amp;doi=10.1016%2fj.foodcont.2019.107081&amp;partnerID=40&amp;md5=ab863e6269b894cd107f23e3111cfbec</w:t>
      </w:r>
    </w:p>
    <w:p w14:paraId="066418F2" w14:textId="77777777" w:rsidR="00EF10F9" w:rsidRPr="00EF10F9" w:rsidRDefault="00EF10F9" w:rsidP="00EF10F9">
      <w:pPr>
        <w:pStyle w:val="Bibliography"/>
        <w:rPr>
          <w:rFonts w:ascii="Arial" w:hAnsi="Arial" w:cs="Arial"/>
        </w:rPr>
      </w:pPr>
      <w:r w:rsidRPr="00EF10F9">
        <w:rPr>
          <w:rFonts w:ascii="Arial" w:hAnsi="Arial" w:cs="Arial"/>
        </w:rPr>
        <w:t>228.</w:t>
      </w:r>
      <w:r w:rsidRPr="00EF10F9">
        <w:rPr>
          <w:rFonts w:ascii="Arial" w:hAnsi="Arial" w:cs="Arial"/>
        </w:rPr>
        <w:tab/>
        <w:t xml:space="preserve">Yang Y, Huisman W, Hettinga KA, Zhang L, van Ruth SM. The Chinese milk supply chain: A fraud perspective. Food Control [Internet]. 2020;113. Available from: </w:t>
      </w:r>
      <w:r w:rsidRPr="00EF10F9">
        <w:rPr>
          <w:rFonts w:ascii="Arial" w:hAnsi="Arial" w:cs="Arial"/>
        </w:rPr>
        <w:lastRenderedPageBreak/>
        <w:t>https://www.scopus.com/inward/record.uri?eid=2-s2.0-85081039321&amp;doi=10.1016%2fj.foodcont.2020.107211&amp;partnerID=40&amp;md5=682cafeb09bdfb38c9e47084034efd77</w:t>
      </w:r>
    </w:p>
    <w:p w14:paraId="491DB4B6" w14:textId="77777777" w:rsidR="00EF10F9" w:rsidRPr="00EF10F9" w:rsidRDefault="00EF10F9" w:rsidP="00EF10F9">
      <w:pPr>
        <w:pStyle w:val="Bibliography"/>
        <w:rPr>
          <w:rFonts w:ascii="Arial" w:hAnsi="Arial" w:cs="Arial"/>
        </w:rPr>
      </w:pPr>
      <w:r w:rsidRPr="00EF10F9">
        <w:rPr>
          <w:rFonts w:ascii="Arial" w:hAnsi="Arial" w:cs="Arial"/>
        </w:rPr>
        <w:t>229.</w:t>
      </w:r>
      <w:r w:rsidRPr="00EF10F9">
        <w:rPr>
          <w:rFonts w:ascii="Arial" w:hAnsi="Arial" w:cs="Arial"/>
        </w:rPr>
        <w:tab/>
        <w:t>Yankson PWK, Owusu AB, Frimpong S. Challenges and Strategies for Improving the Agricultural Marketing Environment in Developing Countries: Evidence From Ghana. Journal of Agricultural and Food Information [Internet]. 2016;17(1):49–61. Available from: https://www.scopus.com/inward/record.uri?eid=2-s2.0-84957800353&amp;doi=10.1080%2f10496505.2015.1110030&amp;partnerID=40&amp;md5=1faa6bad620ce70029ab3aa51e782a86</w:t>
      </w:r>
    </w:p>
    <w:p w14:paraId="13AA77D2" w14:textId="77777777" w:rsidR="00EF10F9" w:rsidRPr="00EF10F9" w:rsidRDefault="00EF10F9" w:rsidP="00EF10F9">
      <w:pPr>
        <w:pStyle w:val="Bibliography"/>
        <w:rPr>
          <w:rFonts w:ascii="Arial" w:hAnsi="Arial" w:cs="Arial"/>
        </w:rPr>
      </w:pPr>
      <w:r w:rsidRPr="00EF10F9">
        <w:rPr>
          <w:rFonts w:ascii="Arial" w:hAnsi="Arial" w:cs="Arial"/>
        </w:rPr>
        <w:t>230.</w:t>
      </w:r>
      <w:r w:rsidRPr="00EF10F9">
        <w:rPr>
          <w:rFonts w:ascii="Arial" w:hAnsi="Arial" w:cs="Arial"/>
        </w:rPr>
        <w:tab/>
        <w:t xml:space="preserve">Yasuda JK. Why Food Safety Fails in China: The Politics of Scale. CHINA QUARTERLY. 2015;223:745–69. </w:t>
      </w:r>
    </w:p>
    <w:p w14:paraId="0DC374A1" w14:textId="77777777" w:rsidR="00EF10F9" w:rsidRPr="00EF10F9" w:rsidRDefault="00EF10F9" w:rsidP="00EF10F9">
      <w:pPr>
        <w:pStyle w:val="Bibliography"/>
        <w:rPr>
          <w:rFonts w:ascii="Arial" w:hAnsi="Arial" w:cs="Arial"/>
        </w:rPr>
      </w:pPr>
      <w:r w:rsidRPr="00EF10F9">
        <w:rPr>
          <w:rFonts w:ascii="Arial" w:hAnsi="Arial" w:cs="Arial"/>
        </w:rPr>
        <w:t>231.</w:t>
      </w:r>
      <w:r w:rsidRPr="00EF10F9">
        <w:rPr>
          <w:rFonts w:ascii="Arial" w:hAnsi="Arial" w:cs="Arial"/>
        </w:rPr>
        <w:tab/>
        <w:t xml:space="preserve">Yee WH, Liu P. Control, Coordination, and Capacity: Deficits in China?s Frontline Regulatory System for Food Safety. JOURNAL OF CONTEMPORARY CHINA. </w:t>
      </w:r>
    </w:p>
    <w:p w14:paraId="1E5E06F4" w14:textId="77777777" w:rsidR="00EF10F9" w:rsidRPr="00EF10F9" w:rsidRDefault="00EF10F9" w:rsidP="00EF10F9">
      <w:pPr>
        <w:pStyle w:val="Bibliography"/>
        <w:rPr>
          <w:rFonts w:ascii="Arial" w:hAnsi="Arial" w:cs="Arial"/>
        </w:rPr>
      </w:pPr>
      <w:r w:rsidRPr="00EF10F9">
        <w:rPr>
          <w:rFonts w:ascii="Arial" w:hAnsi="Arial" w:cs="Arial"/>
        </w:rPr>
        <w:t>232.</w:t>
      </w:r>
      <w:r w:rsidRPr="00EF10F9">
        <w:rPr>
          <w:rFonts w:ascii="Arial" w:hAnsi="Arial" w:cs="Arial"/>
        </w:rPr>
        <w:tab/>
        <w:t xml:space="preserve">Yengoh GT, Steen K, Armah FA, Ness B. Factors of vulnerability: How large-scale land acquisitions take advantage of local and national weaknesses in Sierra Leone. LAND USE POLICY. 2016;50:328–40. </w:t>
      </w:r>
    </w:p>
    <w:p w14:paraId="183D768A" w14:textId="77777777" w:rsidR="00EF10F9" w:rsidRPr="00EF10F9" w:rsidRDefault="00EF10F9" w:rsidP="00EF10F9">
      <w:pPr>
        <w:pStyle w:val="Bibliography"/>
        <w:rPr>
          <w:rFonts w:ascii="Arial" w:hAnsi="Arial" w:cs="Arial"/>
        </w:rPr>
      </w:pPr>
      <w:r w:rsidRPr="00EF10F9">
        <w:rPr>
          <w:rFonts w:ascii="Arial" w:hAnsi="Arial" w:cs="Arial"/>
        </w:rPr>
        <w:t>233.</w:t>
      </w:r>
      <w:r w:rsidRPr="00EF10F9">
        <w:rPr>
          <w:rFonts w:ascii="Arial" w:hAnsi="Arial" w:cs="Arial"/>
        </w:rPr>
        <w:tab/>
        <w:t>Yu HH, Edmunds M, Lora-Wainwright A, Thomas D. Governance of the irrigation commons under integrated water resources management - A comparative study in contemporary rural China. Environmental Science and Policy [Internet]. 2016;55(P1):65–74. Available from: https://www.scopus.com/inward/record.uri?eid=2-s2.0-84941889631&amp;doi=10.1016%2fj.envsci.2015.08.001&amp;partnerID=40&amp;md5=41a3e94a1d943c4eba23f5c52bd55b4d</w:t>
      </w:r>
    </w:p>
    <w:p w14:paraId="08F952F2" w14:textId="77777777" w:rsidR="00EF10F9" w:rsidRPr="00EF10F9" w:rsidRDefault="00EF10F9" w:rsidP="00EF10F9">
      <w:pPr>
        <w:pStyle w:val="Bibliography"/>
        <w:rPr>
          <w:rFonts w:ascii="Arial" w:hAnsi="Arial" w:cs="Arial"/>
        </w:rPr>
      </w:pPr>
      <w:r w:rsidRPr="00EF10F9">
        <w:rPr>
          <w:rFonts w:ascii="Arial" w:hAnsi="Arial" w:cs="Arial"/>
        </w:rPr>
        <w:t>234.</w:t>
      </w:r>
      <w:r w:rsidRPr="00EF10F9">
        <w:rPr>
          <w:rFonts w:ascii="Arial" w:hAnsi="Arial" w:cs="Arial"/>
        </w:rPr>
        <w:tab/>
        <w:t>Yunusa IA, Zerihun A, Gibberd MR. Analysis of the nexus between population, water resources and Global Food Security highlights significance of governance and research investments and policy priorities. Journal of the science of food and agriculture [Internet]. 2018;98(15):5764–75. Available from: http://www.ncbi.nlm.nih.gov/pubmed/29749117</w:t>
      </w:r>
    </w:p>
    <w:p w14:paraId="5FEFB3FA" w14:textId="77777777" w:rsidR="00EF10F9" w:rsidRPr="00EF10F9" w:rsidRDefault="00EF10F9" w:rsidP="00EF10F9">
      <w:pPr>
        <w:pStyle w:val="Bibliography"/>
        <w:rPr>
          <w:rFonts w:ascii="Arial" w:hAnsi="Arial" w:cs="Arial"/>
        </w:rPr>
      </w:pPr>
      <w:r w:rsidRPr="00EF10F9">
        <w:rPr>
          <w:rFonts w:ascii="Arial" w:hAnsi="Arial" w:cs="Arial"/>
        </w:rPr>
        <w:t>235.</w:t>
      </w:r>
      <w:r w:rsidRPr="00EF10F9">
        <w:rPr>
          <w:rFonts w:ascii="Arial" w:hAnsi="Arial" w:cs="Arial"/>
        </w:rPr>
        <w:tab/>
        <w:t>Zhang W, Xue J. Economically motivated food fraud and adulteration in China: An analysis based on 1553 media reports. Food Control [Internet]. 2016;67:192–8. Available from: https://www.scopus.com/inward/record.uri?eid=2-s2.0-84959932120&amp;doi=10.1016%2fj.foodcont.2016.03.004&amp;partnerID=40&amp;md5=fd0ad70c34a879c3685e29f579408657</w:t>
      </w:r>
    </w:p>
    <w:p w14:paraId="09D86227" w14:textId="77777777" w:rsidR="00EF10F9" w:rsidRPr="00EF10F9" w:rsidRDefault="00EF10F9" w:rsidP="00EF10F9">
      <w:pPr>
        <w:pStyle w:val="Bibliography"/>
        <w:rPr>
          <w:rFonts w:ascii="Arial" w:hAnsi="Arial" w:cs="Arial"/>
        </w:rPr>
      </w:pPr>
      <w:r w:rsidRPr="00EF10F9">
        <w:rPr>
          <w:rFonts w:ascii="Arial" w:hAnsi="Arial" w:cs="Arial"/>
        </w:rPr>
        <w:t>236.</w:t>
      </w:r>
      <w:r w:rsidRPr="00EF10F9">
        <w:rPr>
          <w:rFonts w:ascii="Arial" w:hAnsi="Arial" w:cs="Arial"/>
        </w:rPr>
        <w:tab/>
        <w:t>Zhang Y, Pang M, Dickens BL, Edwards DP, Carrasco LR. Global hotspots of conversion risk from multiple crop expansion. Biological Conservation [Internet]. 2021;254. Available from: https://www.scopus.com/inward/record.uri?eid=2-s2.0-85099635768&amp;doi=10.1016%2fj.biocon.2021.108963&amp;partnerID=40&amp;md5=71b27cc1390b6769f69726b242cf5467</w:t>
      </w:r>
    </w:p>
    <w:p w14:paraId="4D3A2DF6" w14:textId="77777777" w:rsidR="00EF10F9" w:rsidRPr="00EF10F9" w:rsidRDefault="00EF10F9" w:rsidP="00EF10F9">
      <w:pPr>
        <w:pStyle w:val="Bibliography"/>
        <w:rPr>
          <w:rFonts w:ascii="Arial" w:hAnsi="Arial" w:cs="Arial"/>
        </w:rPr>
      </w:pPr>
      <w:r w:rsidRPr="00EF10F9">
        <w:rPr>
          <w:rFonts w:ascii="Arial" w:hAnsi="Arial" w:cs="Arial"/>
        </w:rPr>
        <w:t>237.</w:t>
      </w:r>
      <w:r w:rsidRPr="00EF10F9">
        <w:rPr>
          <w:rFonts w:ascii="Arial" w:hAnsi="Arial" w:cs="Arial"/>
        </w:rPr>
        <w:tab/>
        <w:t>Zhuang W, Liu M, Gao Z. A new method for quantifying the value of ecological environment damage caused by illegal fishing: A case study. Marine Pollution Bulletin [Internet]. 2021;172. Available from: https://www.scopus.com/inward/record.uri?eid=2-s2.0-85112474006&amp;doi=10.1016%2fj.marpolbul.2021.112819&amp;partnerID=40&amp;md5=a746ce497124a20ca56814e9bb58018b</w:t>
      </w:r>
    </w:p>
    <w:p w14:paraId="4C020E42" w14:textId="77777777" w:rsidR="00EF10F9" w:rsidRPr="00EF10F9" w:rsidRDefault="00EF10F9" w:rsidP="00EF10F9">
      <w:pPr>
        <w:pStyle w:val="Bibliography"/>
        <w:rPr>
          <w:rFonts w:ascii="Arial" w:hAnsi="Arial" w:cs="Arial"/>
        </w:rPr>
      </w:pPr>
      <w:r w:rsidRPr="00EF10F9">
        <w:rPr>
          <w:rFonts w:ascii="Arial" w:hAnsi="Arial" w:cs="Arial"/>
        </w:rPr>
        <w:lastRenderedPageBreak/>
        <w:t>238.</w:t>
      </w:r>
      <w:r w:rsidRPr="00EF10F9">
        <w:rPr>
          <w:rFonts w:ascii="Arial" w:hAnsi="Arial" w:cs="Arial"/>
        </w:rPr>
        <w:tab/>
        <w:t xml:space="preserve">Kassem HS, Alotaibi BA. Do farmers perceive risks of fraudulent pesticides? Evidence from Saudi Arabia. PLoS ONE. 2020;15(9). </w:t>
      </w:r>
    </w:p>
    <w:p w14:paraId="05E9D64B" w14:textId="77777777" w:rsidR="00EF10F9" w:rsidRPr="00EF10F9" w:rsidRDefault="00EF10F9" w:rsidP="00EF10F9">
      <w:pPr>
        <w:pStyle w:val="Bibliography"/>
        <w:rPr>
          <w:rFonts w:ascii="Arial" w:hAnsi="Arial" w:cs="Arial"/>
        </w:rPr>
      </w:pPr>
      <w:r w:rsidRPr="00EF10F9">
        <w:rPr>
          <w:rFonts w:ascii="Arial" w:hAnsi="Arial" w:cs="Arial"/>
        </w:rPr>
        <w:t>239.</w:t>
      </w:r>
      <w:r w:rsidRPr="00EF10F9">
        <w:rPr>
          <w:rFonts w:ascii="Arial" w:hAnsi="Arial" w:cs="Arial"/>
        </w:rPr>
        <w:tab/>
        <w:t xml:space="preserve">Perone G. The impact of agribusiness crimes on food prices: evidence from Italy. ECONOMIA POLITICA. </w:t>
      </w:r>
    </w:p>
    <w:p w14:paraId="76CEA654" w14:textId="77777777" w:rsidR="00EF10F9" w:rsidRPr="00EF10F9" w:rsidRDefault="00EF10F9" w:rsidP="00EF10F9">
      <w:pPr>
        <w:pStyle w:val="Bibliography"/>
        <w:rPr>
          <w:rFonts w:ascii="Arial" w:hAnsi="Arial" w:cs="Arial"/>
        </w:rPr>
      </w:pPr>
      <w:r w:rsidRPr="00EF10F9">
        <w:rPr>
          <w:rFonts w:ascii="Arial" w:hAnsi="Arial" w:cs="Arial"/>
        </w:rPr>
        <w:t>240.</w:t>
      </w:r>
      <w:r w:rsidRPr="00EF10F9">
        <w:rPr>
          <w:rFonts w:ascii="Arial" w:hAnsi="Arial" w:cs="Arial"/>
        </w:rPr>
        <w:tab/>
        <w:t>Rezazade F, Summers J, Lai Teik DO. A holistic approach to food fraud vulnerability assessment. Food Control [Internet]. 2022;131. Available from: https://www.scopus.com/inward/record.uri?eid=2-s2.0-85111113596&amp;doi=10.1016%2fj.foodcont.2021.108440&amp;partnerID=40&amp;md5=48769d808f8e7180cca150ab19e0023f</w:t>
      </w:r>
    </w:p>
    <w:p w14:paraId="27CEEE00" w14:textId="5DD4D652" w:rsidR="00673013" w:rsidRPr="00673013" w:rsidRDefault="00EF10F9" w:rsidP="00773B1E">
      <w:pPr>
        <w:rPr>
          <w:rFonts w:ascii="Arial" w:hAnsi="Arial" w:cs="Arial"/>
        </w:rPr>
      </w:pPr>
      <w:r>
        <w:rPr>
          <w:rFonts w:ascii="Arial" w:hAnsi="Arial" w:cs="Arial"/>
        </w:rPr>
        <w:fldChar w:fldCharType="end"/>
      </w:r>
    </w:p>
    <w:sectPr w:rsidR="00673013" w:rsidRPr="00673013" w:rsidSect="00E455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5EEA5" w14:textId="77777777" w:rsidR="00253494" w:rsidRDefault="00253494" w:rsidP="00D91F0D">
      <w:pPr>
        <w:spacing w:after="0" w:line="240" w:lineRule="auto"/>
      </w:pPr>
      <w:r>
        <w:separator/>
      </w:r>
    </w:p>
  </w:endnote>
  <w:endnote w:type="continuationSeparator" w:id="0">
    <w:p w14:paraId="24838DC7" w14:textId="77777777" w:rsidR="00253494" w:rsidRDefault="00253494" w:rsidP="00D91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000854737"/>
      <w:docPartObj>
        <w:docPartGallery w:val="Page Numbers (Bottom of Page)"/>
        <w:docPartUnique/>
      </w:docPartObj>
    </w:sdtPr>
    <w:sdtEndPr>
      <w:rPr>
        <w:noProof/>
      </w:rPr>
    </w:sdtEndPr>
    <w:sdtContent>
      <w:p w14:paraId="62150EDF" w14:textId="5E5FD750" w:rsidR="00D91F0D" w:rsidRPr="00D91F0D" w:rsidRDefault="00D91F0D">
        <w:pPr>
          <w:pStyle w:val="Footer"/>
          <w:jc w:val="right"/>
          <w:rPr>
            <w:rFonts w:ascii="Arial" w:hAnsi="Arial" w:cs="Arial"/>
          </w:rPr>
        </w:pPr>
        <w:r w:rsidRPr="00D91F0D">
          <w:rPr>
            <w:rFonts w:ascii="Arial" w:hAnsi="Arial" w:cs="Arial"/>
          </w:rPr>
          <w:fldChar w:fldCharType="begin"/>
        </w:r>
        <w:r w:rsidRPr="00D91F0D">
          <w:rPr>
            <w:rFonts w:ascii="Arial" w:hAnsi="Arial" w:cs="Arial"/>
          </w:rPr>
          <w:instrText xml:space="preserve"> PAGE   \* MERGEFORMAT </w:instrText>
        </w:r>
        <w:r w:rsidRPr="00D91F0D">
          <w:rPr>
            <w:rFonts w:ascii="Arial" w:hAnsi="Arial" w:cs="Arial"/>
          </w:rPr>
          <w:fldChar w:fldCharType="separate"/>
        </w:r>
        <w:r w:rsidRPr="00D91F0D">
          <w:rPr>
            <w:rFonts w:ascii="Arial" w:hAnsi="Arial" w:cs="Arial"/>
            <w:noProof/>
          </w:rPr>
          <w:t>2</w:t>
        </w:r>
        <w:r w:rsidRPr="00D91F0D">
          <w:rPr>
            <w:rFonts w:ascii="Arial" w:hAnsi="Arial" w:cs="Arial"/>
            <w:noProof/>
          </w:rPr>
          <w:fldChar w:fldCharType="end"/>
        </w:r>
      </w:p>
    </w:sdtContent>
  </w:sdt>
  <w:p w14:paraId="4040DC8C" w14:textId="77777777" w:rsidR="00D91F0D" w:rsidRDefault="00D91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47467" w14:textId="77777777" w:rsidR="00253494" w:rsidRDefault="00253494" w:rsidP="00D91F0D">
      <w:pPr>
        <w:spacing w:after="0" w:line="240" w:lineRule="auto"/>
      </w:pPr>
      <w:r>
        <w:separator/>
      </w:r>
    </w:p>
  </w:footnote>
  <w:footnote w:type="continuationSeparator" w:id="0">
    <w:p w14:paraId="1C688CC9" w14:textId="77777777" w:rsidR="00253494" w:rsidRDefault="00253494" w:rsidP="00D91F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F7E"/>
    <w:multiLevelType w:val="hybridMultilevel"/>
    <w:tmpl w:val="29C6F286"/>
    <w:lvl w:ilvl="0" w:tplc="0D863A34">
      <w:numFmt w:val="bullet"/>
      <w:lvlText w:val="-"/>
      <w:lvlJc w:val="left"/>
      <w:pPr>
        <w:ind w:left="720" w:hanging="360"/>
      </w:pPr>
      <w:rPr>
        <w:rFonts w:ascii="Arial" w:eastAsiaTheme="minorHAnsi" w:hAnsi="Arial" w:cs="Arial" w:hint="default"/>
        <w:color w:val="FF000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947ADA"/>
    <w:multiLevelType w:val="hybridMultilevel"/>
    <w:tmpl w:val="11B23D0C"/>
    <w:lvl w:ilvl="0" w:tplc="91084EE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CF5F1D"/>
    <w:multiLevelType w:val="hybridMultilevel"/>
    <w:tmpl w:val="6594665A"/>
    <w:lvl w:ilvl="0" w:tplc="395AAA1E">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C706FD"/>
    <w:multiLevelType w:val="hybridMultilevel"/>
    <w:tmpl w:val="9E0CD5DA"/>
    <w:lvl w:ilvl="0" w:tplc="395AAA1E">
      <w:start w:val="1"/>
      <w:numFmt w:val="bullet"/>
      <w:lvlText w:val="•"/>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8933B57"/>
    <w:multiLevelType w:val="hybridMultilevel"/>
    <w:tmpl w:val="48D4804C"/>
    <w:lvl w:ilvl="0" w:tplc="29D434FE">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224AEF"/>
    <w:multiLevelType w:val="hybridMultilevel"/>
    <w:tmpl w:val="E1643AB4"/>
    <w:lvl w:ilvl="0" w:tplc="395AAA1E">
      <w:start w:val="1"/>
      <w:numFmt w:val="bullet"/>
      <w:lvlText w:val="•"/>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F7E20AC"/>
    <w:multiLevelType w:val="hybridMultilevel"/>
    <w:tmpl w:val="534E3D12"/>
    <w:lvl w:ilvl="0" w:tplc="8EEEB3EE">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9A35B83"/>
    <w:multiLevelType w:val="hybridMultilevel"/>
    <w:tmpl w:val="668ED00E"/>
    <w:lvl w:ilvl="0" w:tplc="0512D8B0">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386062"/>
    <w:multiLevelType w:val="hybridMultilevel"/>
    <w:tmpl w:val="C00C39D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59AC9C2"/>
    <w:multiLevelType w:val="hybridMultilevel"/>
    <w:tmpl w:val="FFFFFFFF"/>
    <w:lvl w:ilvl="0" w:tplc="2924B1E2">
      <w:start w:val="1"/>
      <w:numFmt w:val="bullet"/>
      <w:lvlText w:val="-"/>
      <w:lvlJc w:val="left"/>
      <w:pPr>
        <w:ind w:left="720" w:hanging="360"/>
      </w:pPr>
      <w:rPr>
        <w:rFonts w:ascii="Calibri" w:hAnsi="Calibri" w:hint="default"/>
      </w:rPr>
    </w:lvl>
    <w:lvl w:ilvl="1" w:tplc="B07E7E8C">
      <w:start w:val="1"/>
      <w:numFmt w:val="bullet"/>
      <w:lvlText w:val="o"/>
      <w:lvlJc w:val="left"/>
      <w:pPr>
        <w:ind w:left="1440" w:hanging="360"/>
      </w:pPr>
      <w:rPr>
        <w:rFonts w:ascii="Courier New" w:hAnsi="Courier New" w:hint="default"/>
      </w:rPr>
    </w:lvl>
    <w:lvl w:ilvl="2" w:tplc="3F364D00">
      <w:start w:val="1"/>
      <w:numFmt w:val="bullet"/>
      <w:lvlText w:val=""/>
      <w:lvlJc w:val="left"/>
      <w:pPr>
        <w:ind w:left="2160" w:hanging="360"/>
      </w:pPr>
      <w:rPr>
        <w:rFonts w:ascii="Wingdings" w:hAnsi="Wingdings" w:hint="default"/>
      </w:rPr>
    </w:lvl>
    <w:lvl w:ilvl="3" w:tplc="7012E90E">
      <w:start w:val="1"/>
      <w:numFmt w:val="bullet"/>
      <w:lvlText w:val=""/>
      <w:lvlJc w:val="left"/>
      <w:pPr>
        <w:ind w:left="2880" w:hanging="360"/>
      </w:pPr>
      <w:rPr>
        <w:rFonts w:ascii="Symbol" w:hAnsi="Symbol" w:hint="default"/>
      </w:rPr>
    </w:lvl>
    <w:lvl w:ilvl="4" w:tplc="44E0BED2">
      <w:start w:val="1"/>
      <w:numFmt w:val="bullet"/>
      <w:lvlText w:val="o"/>
      <w:lvlJc w:val="left"/>
      <w:pPr>
        <w:ind w:left="3600" w:hanging="360"/>
      </w:pPr>
      <w:rPr>
        <w:rFonts w:ascii="Courier New" w:hAnsi="Courier New" w:hint="default"/>
      </w:rPr>
    </w:lvl>
    <w:lvl w:ilvl="5" w:tplc="1F4626C6">
      <w:start w:val="1"/>
      <w:numFmt w:val="bullet"/>
      <w:lvlText w:val=""/>
      <w:lvlJc w:val="left"/>
      <w:pPr>
        <w:ind w:left="4320" w:hanging="360"/>
      </w:pPr>
      <w:rPr>
        <w:rFonts w:ascii="Wingdings" w:hAnsi="Wingdings" w:hint="default"/>
      </w:rPr>
    </w:lvl>
    <w:lvl w:ilvl="6" w:tplc="C7DCDD30">
      <w:start w:val="1"/>
      <w:numFmt w:val="bullet"/>
      <w:lvlText w:val=""/>
      <w:lvlJc w:val="left"/>
      <w:pPr>
        <w:ind w:left="5040" w:hanging="360"/>
      </w:pPr>
      <w:rPr>
        <w:rFonts w:ascii="Symbol" w:hAnsi="Symbol" w:hint="default"/>
      </w:rPr>
    </w:lvl>
    <w:lvl w:ilvl="7" w:tplc="F9548D84">
      <w:start w:val="1"/>
      <w:numFmt w:val="bullet"/>
      <w:lvlText w:val="o"/>
      <w:lvlJc w:val="left"/>
      <w:pPr>
        <w:ind w:left="5760" w:hanging="360"/>
      </w:pPr>
      <w:rPr>
        <w:rFonts w:ascii="Courier New" w:hAnsi="Courier New" w:hint="default"/>
      </w:rPr>
    </w:lvl>
    <w:lvl w:ilvl="8" w:tplc="A4F4D534">
      <w:start w:val="1"/>
      <w:numFmt w:val="bullet"/>
      <w:lvlText w:val=""/>
      <w:lvlJc w:val="left"/>
      <w:pPr>
        <w:ind w:left="6480" w:hanging="360"/>
      </w:pPr>
      <w:rPr>
        <w:rFonts w:ascii="Wingdings" w:hAnsi="Wingdings" w:hint="default"/>
      </w:rPr>
    </w:lvl>
  </w:abstractNum>
  <w:abstractNum w:abstractNumId="10" w15:restartNumberingAfterBreak="0">
    <w:nsid w:val="485646E6"/>
    <w:multiLevelType w:val="hybridMultilevel"/>
    <w:tmpl w:val="C8CCB5F0"/>
    <w:lvl w:ilvl="0" w:tplc="88AA4670">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1D7B52"/>
    <w:multiLevelType w:val="hybridMultilevel"/>
    <w:tmpl w:val="F500B6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68F06A4"/>
    <w:multiLevelType w:val="hybridMultilevel"/>
    <w:tmpl w:val="331034D6"/>
    <w:lvl w:ilvl="0" w:tplc="7472B6EC">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66C1587C"/>
    <w:multiLevelType w:val="hybridMultilevel"/>
    <w:tmpl w:val="8D64A968"/>
    <w:lvl w:ilvl="0" w:tplc="0C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71AA5BE9"/>
    <w:multiLevelType w:val="hybridMultilevel"/>
    <w:tmpl w:val="82AC9B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32514E0"/>
    <w:multiLevelType w:val="hybridMultilevel"/>
    <w:tmpl w:val="F0B62734"/>
    <w:lvl w:ilvl="0" w:tplc="67BE6374">
      <w:numFmt w:val="bullet"/>
      <w:lvlText w:val="-"/>
      <w:lvlJc w:val="left"/>
      <w:pPr>
        <w:ind w:left="720" w:hanging="360"/>
      </w:pPr>
      <w:rPr>
        <w:rFonts w:ascii="Times New Roman" w:eastAsiaTheme="minorHAns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AD0598A"/>
    <w:multiLevelType w:val="hybridMultilevel"/>
    <w:tmpl w:val="C316C44E"/>
    <w:lvl w:ilvl="0" w:tplc="7D9C5BEC">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CB7B35"/>
    <w:multiLevelType w:val="hybridMultilevel"/>
    <w:tmpl w:val="DCCE5596"/>
    <w:lvl w:ilvl="0" w:tplc="395AAA1E">
      <w:start w:val="1"/>
      <w:numFmt w:val="bullet"/>
      <w:lvlText w:val="•"/>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9B209A"/>
    <w:multiLevelType w:val="hybridMultilevel"/>
    <w:tmpl w:val="3C085B66"/>
    <w:lvl w:ilvl="0" w:tplc="33408D90">
      <w:start w:val="1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4249566">
    <w:abstractNumId w:val="15"/>
  </w:num>
  <w:num w:numId="2" w16cid:durableId="538906388">
    <w:abstractNumId w:val="11"/>
  </w:num>
  <w:num w:numId="3" w16cid:durableId="2016807605">
    <w:abstractNumId w:val="2"/>
  </w:num>
  <w:num w:numId="4" w16cid:durableId="1235122213">
    <w:abstractNumId w:val="3"/>
  </w:num>
  <w:num w:numId="5" w16cid:durableId="821198648">
    <w:abstractNumId w:val="5"/>
  </w:num>
  <w:num w:numId="6" w16cid:durableId="873421410">
    <w:abstractNumId w:val="17"/>
  </w:num>
  <w:num w:numId="7" w16cid:durableId="1259220846">
    <w:abstractNumId w:val="8"/>
  </w:num>
  <w:num w:numId="8" w16cid:durableId="1823891980">
    <w:abstractNumId w:val="7"/>
  </w:num>
  <w:num w:numId="9" w16cid:durableId="204219206">
    <w:abstractNumId w:val="6"/>
  </w:num>
  <w:num w:numId="10" w16cid:durableId="916864532">
    <w:abstractNumId w:val="12"/>
  </w:num>
  <w:num w:numId="11" w16cid:durableId="1519662195">
    <w:abstractNumId w:val="1"/>
  </w:num>
  <w:num w:numId="12" w16cid:durableId="91047013">
    <w:abstractNumId w:val="0"/>
  </w:num>
  <w:num w:numId="13" w16cid:durableId="1110781917">
    <w:abstractNumId w:val="4"/>
  </w:num>
  <w:num w:numId="14" w16cid:durableId="1332489645">
    <w:abstractNumId w:val="14"/>
  </w:num>
  <w:num w:numId="15" w16cid:durableId="1699889131">
    <w:abstractNumId w:val="13"/>
  </w:num>
  <w:num w:numId="16" w16cid:durableId="1261372373">
    <w:abstractNumId w:val="18"/>
  </w:num>
  <w:num w:numId="17" w16cid:durableId="1276865999">
    <w:abstractNumId w:val="16"/>
  </w:num>
  <w:num w:numId="18" w16cid:durableId="30960687">
    <w:abstractNumId w:val="10"/>
  </w:num>
  <w:num w:numId="19" w16cid:durableId="845443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035"/>
    <w:rsid w:val="00004AC0"/>
    <w:rsid w:val="00015BBC"/>
    <w:rsid w:val="00024001"/>
    <w:rsid w:val="00051667"/>
    <w:rsid w:val="000845B9"/>
    <w:rsid w:val="000B21B4"/>
    <w:rsid w:val="000E2265"/>
    <w:rsid w:val="000F7D4D"/>
    <w:rsid w:val="001137CA"/>
    <w:rsid w:val="001516A2"/>
    <w:rsid w:val="00173403"/>
    <w:rsid w:val="00182318"/>
    <w:rsid w:val="00193E11"/>
    <w:rsid w:val="00253494"/>
    <w:rsid w:val="002A44BB"/>
    <w:rsid w:val="002B6D86"/>
    <w:rsid w:val="002D3566"/>
    <w:rsid w:val="003341C9"/>
    <w:rsid w:val="003505C7"/>
    <w:rsid w:val="00362BF4"/>
    <w:rsid w:val="00380533"/>
    <w:rsid w:val="003A37EC"/>
    <w:rsid w:val="003F0428"/>
    <w:rsid w:val="00420DDE"/>
    <w:rsid w:val="004651BF"/>
    <w:rsid w:val="00485337"/>
    <w:rsid w:val="004B138C"/>
    <w:rsid w:val="004B2360"/>
    <w:rsid w:val="004B2B05"/>
    <w:rsid w:val="004D0245"/>
    <w:rsid w:val="004E209D"/>
    <w:rsid w:val="004F2D47"/>
    <w:rsid w:val="00512126"/>
    <w:rsid w:val="005264A4"/>
    <w:rsid w:val="0059063F"/>
    <w:rsid w:val="005C196D"/>
    <w:rsid w:val="005D25F7"/>
    <w:rsid w:val="0061353E"/>
    <w:rsid w:val="00620750"/>
    <w:rsid w:val="00627818"/>
    <w:rsid w:val="0063242D"/>
    <w:rsid w:val="00655C40"/>
    <w:rsid w:val="00673013"/>
    <w:rsid w:val="00677773"/>
    <w:rsid w:val="00680B5F"/>
    <w:rsid w:val="00684F27"/>
    <w:rsid w:val="00686A49"/>
    <w:rsid w:val="007025D9"/>
    <w:rsid w:val="00765401"/>
    <w:rsid w:val="00773B1E"/>
    <w:rsid w:val="007C24C6"/>
    <w:rsid w:val="007D5F26"/>
    <w:rsid w:val="007E14C1"/>
    <w:rsid w:val="00880BA3"/>
    <w:rsid w:val="00884BB9"/>
    <w:rsid w:val="008B3449"/>
    <w:rsid w:val="008E6035"/>
    <w:rsid w:val="00963864"/>
    <w:rsid w:val="00995375"/>
    <w:rsid w:val="009B7521"/>
    <w:rsid w:val="009D3277"/>
    <w:rsid w:val="009D6243"/>
    <w:rsid w:val="009E45B8"/>
    <w:rsid w:val="009E687B"/>
    <w:rsid w:val="009E78A8"/>
    <w:rsid w:val="00A54E1A"/>
    <w:rsid w:val="00A61595"/>
    <w:rsid w:val="00A644CA"/>
    <w:rsid w:val="00AA5301"/>
    <w:rsid w:val="00AC73E4"/>
    <w:rsid w:val="00AD1D2B"/>
    <w:rsid w:val="00B11782"/>
    <w:rsid w:val="00B24FD0"/>
    <w:rsid w:val="00B25EB3"/>
    <w:rsid w:val="00B66FC4"/>
    <w:rsid w:val="00C00050"/>
    <w:rsid w:val="00C347DD"/>
    <w:rsid w:val="00C42557"/>
    <w:rsid w:val="00C5181F"/>
    <w:rsid w:val="00CA08BF"/>
    <w:rsid w:val="00CD780A"/>
    <w:rsid w:val="00D35CB3"/>
    <w:rsid w:val="00D91F0D"/>
    <w:rsid w:val="00DC234D"/>
    <w:rsid w:val="00DC2D9E"/>
    <w:rsid w:val="00E45548"/>
    <w:rsid w:val="00E46244"/>
    <w:rsid w:val="00EB64C5"/>
    <w:rsid w:val="00EC5681"/>
    <w:rsid w:val="00EF10F9"/>
    <w:rsid w:val="00F031BA"/>
    <w:rsid w:val="00F267B0"/>
    <w:rsid w:val="00F27206"/>
    <w:rsid w:val="00F42121"/>
    <w:rsid w:val="00F51CCA"/>
    <w:rsid w:val="00FC3EF4"/>
    <w:rsid w:val="00FE5EB2"/>
    <w:rsid w:val="00FF1218"/>
    <w:rsid w:val="408C62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348CF"/>
  <w15:chartTrackingRefBased/>
  <w15:docId w15:val="{4B793071-5556-4D96-92BF-8B22A1B2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035"/>
    <w:rPr>
      <w:lang w:val="en-US"/>
    </w:rPr>
  </w:style>
  <w:style w:type="paragraph" w:styleId="Heading1">
    <w:name w:val="heading 1"/>
    <w:basedOn w:val="Normal"/>
    <w:next w:val="Normal"/>
    <w:link w:val="Heading1Char"/>
    <w:uiPriority w:val="9"/>
    <w:qFormat/>
    <w:rsid w:val="008E6035"/>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6035"/>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6035"/>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008E6035"/>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E6035"/>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E6035"/>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008E6035"/>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008E6035"/>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8E6035"/>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035"/>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8E6035"/>
    <w:rPr>
      <w:sz w:val="16"/>
      <w:szCs w:val="16"/>
    </w:rPr>
  </w:style>
  <w:style w:type="paragraph" w:styleId="CommentText">
    <w:name w:val="annotation text"/>
    <w:basedOn w:val="Normal"/>
    <w:link w:val="CommentTextChar"/>
    <w:uiPriority w:val="99"/>
    <w:semiHidden/>
    <w:unhideWhenUsed/>
    <w:rsid w:val="008E6035"/>
    <w:rPr>
      <w:sz w:val="20"/>
      <w:szCs w:val="20"/>
    </w:rPr>
  </w:style>
  <w:style w:type="character" w:customStyle="1" w:styleId="CommentTextChar">
    <w:name w:val="Comment Text Char"/>
    <w:basedOn w:val="DefaultParagraphFont"/>
    <w:link w:val="CommentText"/>
    <w:uiPriority w:val="99"/>
    <w:semiHidden/>
    <w:rsid w:val="008E6035"/>
    <w:rPr>
      <w:sz w:val="20"/>
      <w:szCs w:val="20"/>
      <w:lang w:val="en-US"/>
    </w:rPr>
  </w:style>
  <w:style w:type="character" w:customStyle="1" w:styleId="Heading2Char">
    <w:name w:val="Heading 2 Char"/>
    <w:basedOn w:val="DefaultParagraphFont"/>
    <w:link w:val="Heading2"/>
    <w:uiPriority w:val="9"/>
    <w:rsid w:val="008E6035"/>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8E6035"/>
    <w:rPr>
      <w:rFonts w:asciiTheme="majorHAnsi" w:eastAsiaTheme="majorEastAsia" w:hAnsiTheme="majorHAnsi" w:cstheme="majorBidi"/>
      <w:color w:val="1F3763"/>
      <w:sz w:val="24"/>
      <w:szCs w:val="24"/>
      <w:lang w:val="en-US"/>
    </w:rPr>
  </w:style>
  <w:style w:type="character" w:customStyle="1" w:styleId="Heading4Char">
    <w:name w:val="Heading 4 Char"/>
    <w:basedOn w:val="DefaultParagraphFont"/>
    <w:link w:val="Heading4"/>
    <w:uiPriority w:val="9"/>
    <w:rsid w:val="008E6035"/>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rsid w:val="008E6035"/>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rsid w:val="008E6035"/>
    <w:rPr>
      <w:rFonts w:asciiTheme="majorHAnsi" w:eastAsiaTheme="majorEastAsia" w:hAnsiTheme="majorHAnsi" w:cstheme="majorBidi"/>
      <w:color w:val="1F3763"/>
      <w:lang w:val="en-US"/>
    </w:rPr>
  </w:style>
  <w:style w:type="character" w:customStyle="1" w:styleId="Heading7Char">
    <w:name w:val="Heading 7 Char"/>
    <w:basedOn w:val="DefaultParagraphFont"/>
    <w:link w:val="Heading7"/>
    <w:uiPriority w:val="9"/>
    <w:rsid w:val="008E6035"/>
    <w:rPr>
      <w:rFonts w:asciiTheme="majorHAnsi" w:eastAsiaTheme="majorEastAsia" w:hAnsiTheme="majorHAnsi" w:cstheme="majorBidi"/>
      <w:i/>
      <w:iCs/>
      <w:color w:val="1F3763"/>
      <w:lang w:val="en-US"/>
    </w:rPr>
  </w:style>
  <w:style w:type="character" w:customStyle="1" w:styleId="Heading8Char">
    <w:name w:val="Heading 8 Char"/>
    <w:basedOn w:val="DefaultParagraphFont"/>
    <w:link w:val="Heading8"/>
    <w:uiPriority w:val="9"/>
    <w:rsid w:val="008E6035"/>
    <w:rPr>
      <w:rFonts w:asciiTheme="majorHAnsi" w:eastAsiaTheme="majorEastAsia" w:hAnsiTheme="majorHAnsi" w:cstheme="majorBidi"/>
      <w:color w:val="272727"/>
      <w:sz w:val="21"/>
      <w:szCs w:val="21"/>
      <w:lang w:val="en-US"/>
    </w:rPr>
  </w:style>
  <w:style w:type="character" w:customStyle="1" w:styleId="Heading9Char">
    <w:name w:val="Heading 9 Char"/>
    <w:basedOn w:val="DefaultParagraphFont"/>
    <w:link w:val="Heading9"/>
    <w:uiPriority w:val="9"/>
    <w:rsid w:val="008E6035"/>
    <w:rPr>
      <w:rFonts w:asciiTheme="majorHAnsi" w:eastAsiaTheme="majorEastAsia" w:hAnsiTheme="majorHAnsi" w:cstheme="majorBidi"/>
      <w:i/>
      <w:iCs/>
      <w:color w:val="272727"/>
      <w:sz w:val="21"/>
      <w:szCs w:val="21"/>
      <w:lang w:val="en-US"/>
    </w:rPr>
  </w:style>
  <w:style w:type="table" w:styleId="TableGrid">
    <w:name w:val="Table Grid"/>
    <w:basedOn w:val="TableNormal"/>
    <w:uiPriority w:val="39"/>
    <w:rsid w:val="008E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6035"/>
    <w:pPr>
      <w:ind w:left="720"/>
      <w:contextualSpacing/>
    </w:pPr>
    <w:rPr>
      <w:rFonts w:ascii="Times New Roman" w:eastAsia="Calibri"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E6035"/>
    <w:rPr>
      <w:b/>
      <w:bCs/>
    </w:rPr>
  </w:style>
  <w:style w:type="character" w:customStyle="1" w:styleId="CommentSubjectChar">
    <w:name w:val="Comment Subject Char"/>
    <w:basedOn w:val="CommentTextChar"/>
    <w:link w:val="CommentSubject"/>
    <w:uiPriority w:val="99"/>
    <w:semiHidden/>
    <w:rsid w:val="008E6035"/>
    <w:rPr>
      <w:b/>
      <w:bCs/>
      <w:sz w:val="20"/>
      <w:szCs w:val="20"/>
      <w:lang w:val="en-US"/>
    </w:rPr>
  </w:style>
  <w:style w:type="character" w:styleId="Hyperlink">
    <w:name w:val="Hyperlink"/>
    <w:basedOn w:val="DefaultParagraphFont"/>
    <w:uiPriority w:val="99"/>
    <w:unhideWhenUsed/>
    <w:rsid w:val="008E6035"/>
    <w:rPr>
      <w:color w:val="0563C1" w:themeColor="hyperlink"/>
      <w:u w:val="single"/>
    </w:rPr>
  </w:style>
  <w:style w:type="paragraph" w:styleId="Bibliography">
    <w:name w:val="Bibliography"/>
    <w:basedOn w:val="Normal"/>
    <w:next w:val="Normal"/>
    <w:uiPriority w:val="37"/>
    <w:unhideWhenUsed/>
    <w:rsid w:val="008E6035"/>
    <w:pPr>
      <w:tabs>
        <w:tab w:val="left" w:pos="504"/>
      </w:tabs>
      <w:spacing w:after="240" w:line="240" w:lineRule="auto"/>
      <w:ind w:left="504" w:hanging="504"/>
    </w:pPr>
  </w:style>
  <w:style w:type="character" w:styleId="Strong">
    <w:name w:val="Strong"/>
    <w:basedOn w:val="DefaultParagraphFont"/>
    <w:uiPriority w:val="22"/>
    <w:qFormat/>
    <w:rsid w:val="008E6035"/>
    <w:rPr>
      <w:b/>
      <w:bCs/>
    </w:rPr>
  </w:style>
  <w:style w:type="character" w:styleId="UnresolvedMention">
    <w:name w:val="Unresolved Mention"/>
    <w:basedOn w:val="DefaultParagraphFont"/>
    <w:uiPriority w:val="99"/>
    <w:semiHidden/>
    <w:unhideWhenUsed/>
    <w:rsid w:val="008E6035"/>
    <w:rPr>
      <w:color w:val="605E5C"/>
      <w:shd w:val="clear" w:color="auto" w:fill="E1DFDD"/>
    </w:rPr>
  </w:style>
  <w:style w:type="character" w:styleId="FollowedHyperlink">
    <w:name w:val="FollowedHyperlink"/>
    <w:basedOn w:val="DefaultParagraphFont"/>
    <w:uiPriority w:val="99"/>
    <w:semiHidden/>
    <w:unhideWhenUsed/>
    <w:rsid w:val="008E6035"/>
    <w:rPr>
      <w:color w:val="954F72" w:themeColor="followedHyperlink"/>
      <w:u w:val="single"/>
    </w:rPr>
  </w:style>
  <w:style w:type="paragraph" w:customStyle="1" w:styleId="msonormal0">
    <w:name w:val="msonormal"/>
    <w:basedOn w:val="Normal"/>
    <w:rsid w:val="008E6035"/>
    <w:pPr>
      <w:spacing w:beforeAutospacing="1" w:afterAutospacing="1"/>
    </w:pPr>
    <w:rPr>
      <w:rFonts w:ascii="Times New Roman" w:eastAsia="Times New Roman" w:hAnsi="Times New Roman" w:cs="Times New Roman"/>
      <w:sz w:val="24"/>
      <w:szCs w:val="24"/>
      <w:lang w:eastAsia="en-AU"/>
    </w:rPr>
  </w:style>
  <w:style w:type="paragraph" w:customStyle="1" w:styleId="xl65">
    <w:name w:val="xl65"/>
    <w:basedOn w:val="Normal"/>
    <w:rsid w:val="008E6035"/>
    <w:pPr>
      <w:spacing w:beforeAutospacing="1" w:afterAutospacing="1"/>
    </w:pPr>
    <w:rPr>
      <w:rFonts w:ascii="Times New Roman" w:eastAsia="Times New Roman" w:hAnsi="Times New Roman" w:cs="Times New Roman"/>
      <w:color w:val="0563C1"/>
      <w:sz w:val="24"/>
      <w:szCs w:val="24"/>
      <w:u w:val="single"/>
      <w:lang w:eastAsia="en-AU"/>
    </w:rPr>
  </w:style>
  <w:style w:type="paragraph" w:customStyle="1" w:styleId="xl66">
    <w:name w:val="xl66"/>
    <w:basedOn w:val="Normal"/>
    <w:rsid w:val="008E6035"/>
    <w:pPr>
      <w:spacing w:beforeAutospacing="1" w:afterAutospacing="1"/>
    </w:pPr>
    <w:rPr>
      <w:rFonts w:ascii="Times New Roman" w:eastAsia="Times New Roman" w:hAnsi="Times New Roman" w:cs="Times New Roman"/>
      <w:color w:val="000000" w:themeColor="text1"/>
      <w:sz w:val="24"/>
      <w:szCs w:val="24"/>
      <w:lang w:eastAsia="en-AU"/>
    </w:rPr>
  </w:style>
  <w:style w:type="paragraph" w:customStyle="1" w:styleId="xl67">
    <w:name w:val="xl67"/>
    <w:basedOn w:val="Normal"/>
    <w:rsid w:val="008E6035"/>
    <w:pPr>
      <w:spacing w:beforeAutospacing="1" w:afterAutospacing="1"/>
    </w:pPr>
    <w:rPr>
      <w:rFonts w:ascii="Calibri" w:eastAsia="Times New Roman" w:hAnsi="Calibri" w:cs="Calibri"/>
      <w:color w:val="000000" w:themeColor="text1"/>
      <w:sz w:val="24"/>
      <w:szCs w:val="24"/>
      <w:lang w:eastAsia="en-AU"/>
    </w:rPr>
  </w:style>
  <w:style w:type="paragraph" w:customStyle="1" w:styleId="xl68">
    <w:name w:val="xl68"/>
    <w:basedOn w:val="Normal"/>
    <w:rsid w:val="008E6035"/>
    <w:pPr>
      <w:spacing w:beforeAutospacing="1" w:afterAutospacing="1"/>
    </w:pPr>
    <w:rPr>
      <w:rFonts w:ascii="Times New Roman" w:eastAsia="Times New Roman" w:hAnsi="Times New Roman" w:cs="Times New Roman"/>
      <w:sz w:val="24"/>
      <w:szCs w:val="24"/>
      <w:lang w:eastAsia="en-AU"/>
    </w:rPr>
  </w:style>
  <w:style w:type="paragraph" w:customStyle="1" w:styleId="xl69">
    <w:name w:val="xl69"/>
    <w:basedOn w:val="Normal"/>
    <w:rsid w:val="008E6035"/>
    <w:pPr>
      <w:spacing w:beforeAutospacing="1" w:afterAutospacing="1"/>
    </w:pPr>
    <w:rPr>
      <w:rFonts w:ascii="Times New Roman" w:eastAsia="Times New Roman" w:hAnsi="Times New Roman" w:cs="Times New Roman"/>
      <w:color w:val="000000" w:themeColor="text1"/>
      <w:sz w:val="24"/>
      <w:szCs w:val="24"/>
      <w:lang w:eastAsia="en-AU"/>
    </w:rPr>
  </w:style>
  <w:style w:type="paragraph" w:customStyle="1" w:styleId="xl70">
    <w:name w:val="xl70"/>
    <w:basedOn w:val="Normal"/>
    <w:uiPriority w:val="1"/>
    <w:rsid w:val="008E6035"/>
    <w:pPr>
      <w:spacing w:beforeAutospacing="1" w:afterAutospacing="1"/>
    </w:pPr>
    <w:rPr>
      <w:rFonts w:ascii="Times New Roman" w:eastAsia="Times New Roman" w:hAnsi="Times New Roman" w:cs="Times New Roman"/>
      <w:color w:val="FF0000"/>
      <w:sz w:val="24"/>
      <w:szCs w:val="24"/>
      <w:lang w:eastAsia="en-AU"/>
    </w:rPr>
  </w:style>
  <w:style w:type="paragraph" w:customStyle="1" w:styleId="xl71">
    <w:name w:val="xl71"/>
    <w:basedOn w:val="Normal"/>
    <w:uiPriority w:val="1"/>
    <w:rsid w:val="008E6035"/>
    <w:pPr>
      <w:spacing w:beforeAutospacing="1" w:afterAutospacing="1"/>
    </w:pPr>
    <w:rPr>
      <w:rFonts w:ascii="Times New Roman" w:eastAsia="Times New Roman" w:hAnsi="Times New Roman" w:cs="Times New Roman"/>
      <w:sz w:val="24"/>
      <w:szCs w:val="24"/>
      <w:lang w:eastAsia="en-AU"/>
    </w:rPr>
  </w:style>
  <w:style w:type="paragraph" w:customStyle="1" w:styleId="xl72">
    <w:name w:val="xl72"/>
    <w:basedOn w:val="Normal"/>
    <w:uiPriority w:val="1"/>
    <w:rsid w:val="008E6035"/>
    <w:pPr>
      <w:spacing w:beforeAutospacing="1" w:afterAutospacing="1"/>
    </w:pPr>
    <w:rPr>
      <w:rFonts w:ascii="Times New Roman" w:eastAsia="Times New Roman" w:hAnsi="Times New Roman" w:cs="Times New Roman"/>
      <w:color w:val="000000" w:themeColor="text1"/>
      <w:sz w:val="24"/>
      <w:szCs w:val="24"/>
      <w:lang w:eastAsia="en-AU"/>
    </w:rPr>
  </w:style>
  <w:style w:type="paragraph" w:customStyle="1" w:styleId="xl73">
    <w:name w:val="xl73"/>
    <w:basedOn w:val="Normal"/>
    <w:uiPriority w:val="1"/>
    <w:rsid w:val="008E6035"/>
    <w:pPr>
      <w:spacing w:beforeAutospacing="1" w:afterAutospacing="1"/>
    </w:pPr>
    <w:rPr>
      <w:rFonts w:ascii="Times New Roman" w:eastAsia="Times New Roman" w:hAnsi="Times New Roman" w:cs="Times New Roman"/>
      <w:sz w:val="24"/>
      <w:szCs w:val="24"/>
      <w:lang w:eastAsia="en-AU"/>
    </w:rPr>
  </w:style>
  <w:style w:type="paragraph" w:customStyle="1" w:styleId="xl74">
    <w:name w:val="xl74"/>
    <w:basedOn w:val="Normal"/>
    <w:uiPriority w:val="1"/>
    <w:rsid w:val="008E6035"/>
    <w:pPr>
      <w:spacing w:beforeAutospacing="1" w:afterAutospacing="1"/>
    </w:pPr>
    <w:rPr>
      <w:rFonts w:ascii="Times New Roman" w:eastAsia="Times New Roman" w:hAnsi="Times New Roman" w:cs="Times New Roman"/>
      <w:color w:val="000000" w:themeColor="text1"/>
      <w:sz w:val="24"/>
      <w:szCs w:val="24"/>
      <w:lang w:eastAsia="en-AU"/>
    </w:rPr>
  </w:style>
  <w:style w:type="paragraph" w:customStyle="1" w:styleId="xl75">
    <w:name w:val="xl75"/>
    <w:basedOn w:val="Normal"/>
    <w:uiPriority w:val="1"/>
    <w:rsid w:val="008E6035"/>
    <w:pPr>
      <w:spacing w:beforeAutospacing="1" w:afterAutospacing="1"/>
      <w:jc w:val="center"/>
    </w:pPr>
    <w:rPr>
      <w:rFonts w:ascii="Times New Roman" w:eastAsia="Times New Roman" w:hAnsi="Times New Roman" w:cs="Times New Roman"/>
      <w:sz w:val="24"/>
      <w:szCs w:val="24"/>
      <w:lang w:eastAsia="en-AU"/>
    </w:rPr>
  </w:style>
  <w:style w:type="paragraph" w:styleId="Revision">
    <w:name w:val="Revision"/>
    <w:hidden/>
    <w:uiPriority w:val="99"/>
    <w:semiHidden/>
    <w:rsid w:val="008E6035"/>
    <w:pPr>
      <w:spacing w:after="0" w:line="240" w:lineRule="auto"/>
    </w:pPr>
  </w:style>
  <w:style w:type="paragraph" w:styleId="NormalWeb">
    <w:name w:val="Normal (Web)"/>
    <w:basedOn w:val="Normal"/>
    <w:uiPriority w:val="99"/>
    <w:semiHidden/>
    <w:unhideWhenUsed/>
    <w:rsid w:val="008E6035"/>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8E6035"/>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8E6035"/>
    <w:rPr>
      <w:rFonts w:asciiTheme="majorHAnsi" w:eastAsiaTheme="majorEastAsia" w:hAnsiTheme="majorHAnsi" w:cstheme="majorBidi"/>
      <w:sz w:val="56"/>
      <w:szCs w:val="56"/>
      <w:lang w:val="en-US"/>
    </w:rPr>
  </w:style>
  <w:style w:type="paragraph" w:styleId="Subtitle">
    <w:name w:val="Subtitle"/>
    <w:basedOn w:val="Normal"/>
    <w:next w:val="Normal"/>
    <w:link w:val="SubtitleChar"/>
    <w:uiPriority w:val="11"/>
    <w:qFormat/>
    <w:rsid w:val="008E6035"/>
    <w:rPr>
      <w:rFonts w:eastAsiaTheme="minorEastAsia"/>
      <w:color w:val="5A5A5A"/>
    </w:rPr>
  </w:style>
  <w:style w:type="character" w:customStyle="1" w:styleId="SubtitleChar">
    <w:name w:val="Subtitle Char"/>
    <w:basedOn w:val="DefaultParagraphFont"/>
    <w:link w:val="Subtitle"/>
    <w:uiPriority w:val="11"/>
    <w:rsid w:val="008E6035"/>
    <w:rPr>
      <w:rFonts w:eastAsiaTheme="minorEastAsia"/>
      <w:color w:val="5A5A5A"/>
      <w:lang w:val="en-US"/>
    </w:rPr>
  </w:style>
  <w:style w:type="paragraph" w:styleId="Quote">
    <w:name w:val="Quote"/>
    <w:basedOn w:val="Normal"/>
    <w:next w:val="Normal"/>
    <w:link w:val="QuoteChar"/>
    <w:uiPriority w:val="29"/>
    <w:qFormat/>
    <w:rsid w:val="008E603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E6035"/>
    <w:rPr>
      <w:i/>
      <w:iCs/>
      <w:color w:val="404040" w:themeColor="text1" w:themeTint="BF"/>
      <w:lang w:val="en-US"/>
    </w:rPr>
  </w:style>
  <w:style w:type="paragraph" w:styleId="IntenseQuote">
    <w:name w:val="Intense Quote"/>
    <w:basedOn w:val="Normal"/>
    <w:next w:val="Normal"/>
    <w:link w:val="IntenseQuoteChar"/>
    <w:uiPriority w:val="30"/>
    <w:qFormat/>
    <w:rsid w:val="008E6035"/>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E6035"/>
    <w:rPr>
      <w:i/>
      <w:iCs/>
      <w:color w:val="4472C4" w:themeColor="accent1"/>
      <w:lang w:val="en-US"/>
    </w:rPr>
  </w:style>
  <w:style w:type="paragraph" w:styleId="TOC1">
    <w:name w:val="toc 1"/>
    <w:basedOn w:val="Normal"/>
    <w:next w:val="Normal"/>
    <w:uiPriority w:val="39"/>
    <w:unhideWhenUsed/>
    <w:rsid w:val="008E6035"/>
    <w:pPr>
      <w:spacing w:after="100"/>
    </w:pPr>
  </w:style>
  <w:style w:type="paragraph" w:styleId="TOC2">
    <w:name w:val="toc 2"/>
    <w:basedOn w:val="Normal"/>
    <w:next w:val="Normal"/>
    <w:uiPriority w:val="39"/>
    <w:unhideWhenUsed/>
    <w:rsid w:val="008E6035"/>
    <w:pPr>
      <w:spacing w:after="100"/>
      <w:ind w:left="220"/>
    </w:pPr>
  </w:style>
  <w:style w:type="paragraph" w:styleId="TOC3">
    <w:name w:val="toc 3"/>
    <w:basedOn w:val="Normal"/>
    <w:next w:val="Normal"/>
    <w:uiPriority w:val="39"/>
    <w:unhideWhenUsed/>
    <w:rsid w:val="008E6035"/>
    <w:pPr>
      <w:spacing w:after="100"/>
      <w:ind w:left="440"/>
    </w:pPr>
  </w:style>
  <w:style w:type="paragraph" w:styleId="TOC4">
    <w:name w:val="toc 4"/>
    <w:basedOn w:val="Normal"/>
    <w:next w:val="Normal"/>
    <w:uiPriority w:val="39"/>
    <w:unhideWhenUsed/>
    <w:rsid w:val="008E6035"/>
    <w:pPr>
      <w:spacing w:after="100"/>
      <w:ind w:left="660"/>
    </w:pPr>
  </w:style>
  <w:style w:type="paragraph" w:styleId="TOC5">
    <w:name w:val="toc 5"/>
    <w:basedOn w:val="Normal"/>
    <w:next w:val="Normal"/>
    <w:uiPriority w:val="39"/>
    <w:unhideWhenUsed/>
    <w:rsid w:val="008E6035"/>
    <w:pPr>
      <w:spacing w:after="100"/>
      <w:ind w:left="880"/>
    </w:pPr>
  </w:style>
  <w:style w:type="paragraph" w:styleId="TOC6">
    <w:name w:val="toc 6"/>
    <w:basedOn w:val="Normal"/>
    <w:next w:val="Normal"/>
    <w:uiPriority w:val="39"/>
    <w:unhideWhenUsed/>
    <w:rsid w:val="008E6035"/>
    <w:pPr>
      <w:spacing w:after="100"/>
      <w:ind w:left="1100"/>
    </w:pPr>
  </w:style>
  <w:style w:type="paragraph" w:styleId="TOC7">
    <w:name w:val="toc 7"/>
    <w:basedOn w:val="Normal"/>
    <w:next w:val="Normal"/>
    <w:uiPriority w:val="39"/>
    <w:unhideWhenUsed/>
    <w:rsid w:val="008E6035"/>
    <w:pPr>
      <w:spacing w:after="100"/>
      <w:ind w:left="1320"/>
    </w:pPr>
  </w:style>
  <w:style w:type="paragraph" w:styleId="TOC8">
    <w:name w:val="toc 8"/>
    <w:basedOn w:val="Normal"/>
    <w:next w:val="Normal"/>
    <w:uiPriority w:val="39"/>
    <w:unhideWhenUsed/>
    <w:rsid w:val="008E6035"/>
    <w:pPr>
      <w:spacing w:after="100"/>
      <w:ind w:left="1540"/>
    </w:pPr>
  </w:style>
  <w:style w:type="paragraph" w:styleId="TOC9">
    <w:name w:val="toc 9"/>
    <w:basedOn w:val="Normal"/>
    <w:next w:val="Normal"/>
    <w:uiPriority w:val="39"/>
    <w:unhideWhenUsed/>
    <w:rsid w:val="008E6035"/>
    <w:pPr>
      <w:spacing w:after="100"/>
      <w:ind w:left="1760"/>
    </w:pPr>
  </w:style>
  <w:style w:type="paragraph" w:styleId="EndnoteText">
    <w:name w:val="endnote text"/>
    <w:basedOn w:val="Normal"/>
    <w:link w:val="EndnoteTextChar"/>
    <w:uiPriority w:val="99"/>
    <w:semiHidden/>
    <w:unhideWhenUsed/>
    <w:rsid w:val="008E6035"/>
    <w:pPr>
      <w:spacing w:after="0"/>
    </w:pPr>
    <w:rPr>
      <w:sz w:val="20"/>
      <w:szCs w:val="20"/>
    </w:rPr>
  </w:style>
  <w:style w:type="character" w:customStyle="1" w:styleId="EndnoteTextChar">
    <w:name w:val="Endnote Text Char"/>
    <w:basedOn w:val="DefaultParagraphFont"/>
    <w:link w:val="EndnoteText"/>
    <w:uiPriority w:val="99"/>
    <w:semiHidden/>
    <w:rsid w:val="008E6035"/>
    <w:rPr>
      <w:sz w:val="20"/>
      <w:szCs w:val="20"/>
      <w:lang w:val="en-US"/>
    </w:rPr>
  </w:style>
  <w:style w:type="paragraph" w:styleId="Footer">
    <w:name w:val="footer"/>
    <w:basedOn w:val="Normal"/>
    <w:link w:val="FooterChar"/>
    <w:uiPriority w:val="99"/>
    <w:unhideWhenUsed/>
    <w:rsid w:val="008E6035"/>
    <w:pPr>
      <w:tabs>
        <w:tab w:val="center" w:pos="4680"/>
        <w:tab w:val="right" w:pos="9360"/>
      </w:tabs>
      <w:spacing w:after="0"/>
    </w:pPr>
  </w:style>
  <w:style w:type="character" w:customStyle="1" w:styleId="FooterChar">
    <w:name w:val="Footer Char"/>
    <w:basedOn w:val="DefaultParagraphFont"/>
    <w:link w:val="Footer"/>
    <w:uiPriority w:val="99"/>
    <w:rsid w:val="008E6035"/>
    <w:rPr>
      <w:lang w:val="en-US"/>
    </w:rPr>
  </w:style>
  <w:style w:type="paragraph" w:styleId="FootnoteText">
    <w:name w:val="footnote text"/>
    <w:basedOn w:val="Normal"/>
    <w:link w:val="FootnoteTextChar"/>
    <w:uiPriority w:val="99"/>
    <w:semiHidden/>
    <w:unhideWhenUsed/>
    <w:rsid w:val="008E6035"/>
    <w:pPr>
      <w:spacing w:after="0"/>
    </w:pPr>
    <w:rPr>
      <w:sz w:val="20"/>
      <w:szCs w:val="20"/>
    </w:rPr>
  </w:style>
  <w:style w:type="character" w:customStyle="1" w:styleId="FootnoteTextChar">
    <w:name w:val="Footnote Text Char"/>
    <w:basedOn w:val="DefaultParagraphFont"/>
    <w:link w:val="FootnoteText"/>
    <w:uiPriority w:val="99"/>
    <w:semiHidden/>
    <w:rsid w:val="008E6035"/>
    <w:rPr>
      <w:sz w:val="20"/>
      <w:szCs w:val="20"/>
      <w:lang w:val="en-US"/>
    </w:rPr>
  </w:style>
  <w:style w:type="paragraph" w:styleId="Header">
    <w:name w:val="header"/>
    <w:basedOn w:val="Normal"/>
    <w:link w:val="HeaderChar"/>
    <w:uiPriority w:val="99"/>
    <w:unhideWhenUsed/>
    <w:rsid w:val="008E6035"/>
    <w:pPr>
      <w:tabs>
        <w:tab w:val="center" w:pos="4680"/>
        <w:tab w:val="right" w:pos="9360"/>
      </w:tabs>
      <w:spacing w:after="0"/>
    </w:pPr>
  </w:style>
  <w:style w:type="character" w:customStyle="1" w:styleId="HeaderChar">
    <w:name w:val="Header Char"/>
    <w:basedOn w:val="DefaultParagraphFont"/>
    <w:link w:val="Header"/>
    <w:uiPriority w:val="99"/>
    <w:rsid w:val="008E603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986706">
      <w:bodyDiv w:val="1"/>
      <w:marLeft w:val="0"/>
      <w:marRight w:val="0"/>
      <w:marTop w:val="0"/>
      <w:marBottom w:val="0"/>
      <w:divBdr>
        <w:top w:val="none" w:sz="0" w:space="0" w:color="auto"/>
        <w:left w:val="none" w:sz="0" w:space="0" w:color="auto"/>
        <w:bottom w:val="none" w:sz="0" w:space="0" w:color="auto"/>
        <w:right w:val="none" w:sz="0" w:space="0" w:color="auto"/>
      </w:divBdr>
    </w:div>
    <w:div w:id="133156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30D7F5A97EFB4BA75F6E0803A7E1C9" ma:contentTypeVersion="14" ma:contentTypeDescription="Create a new document." ma:contentTypeScope="" ma:versionID="fee7b2b591e163631e2fd0b84c090af5">
  <xsd:schema xmlns:xsd="http://www.w3.org/2001/XMLSchema" xmlns:xs="http://www.w3.org/2001/XMLSchema" xmlns:p="http://schemas.microsoft.com/office/2006/metadata/properties" xmlns:ns2="9fc5e6df-9c71-4c8d-8480-ec1d332806d9" xmlns:ns3="10c5b2fd-937e-441e-9ece-c455db6c897c" targetNamespace="http://schemas.microsoft.com/office/2006/metadata/properties" ma:root="true" ma:fieldsID="dcaef32b920e487ace45e7c27e39b7ee" ns2:_="" ns3:_="">
    <xsd:import namespace="9fc5e6df-9c71-4c8d-8480-ec1d332806d9"/>
    <xsd:import namespace="10c5b2fd-937e-441e-9ece-c455db6c89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5e6df-9c71-4c8d-8480-ec1d33280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c5b2fd-937e-441e-9ece-c455db6c897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D94CE3-5674-4A0F-8DD4-14A9615F747A}">
  <ds:schemaRefs>
    <ds:schemaRef ds:uri="http://schemas.openxmlformats.org/officeDocument/2006/bibliography"/>
  </ds:schemaRefs>
</ds:datastoreItem>
</file>

<file path=customXml/itemProps2.xml><?xml version="1.0" encoding="utf-8"?>
<ds:datastoreItem xmlns:ds="http://schemas.openxmlformats.org/officeDocument/2006/customXml" ds:itemID="{06C76F4C-E8B3-44D7-94AA-3BA196C0F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5e6df-9c71-4c8d-8480-ec1d332806d9"/>
    <ds:schemaRef ds:uri="10c5b2fd-937e-441e-9ece-c455db6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D70991-041A-4694-810E-09E68CDF1A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542F4B-BA10-4179-9065-BB9883F480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108550</Words>
  <Characters>618736</Characters>
  <Application>Microsoft Office Word</Application>
  <DocSecurity>0</DocSecurity>
  <Lines>5156</Lines>
  <Paragraphs>1451</Paragraphs>
  <ScaleCrop>false</ScaleCrop>
  <Company/>
  <LinksUpToDate>false</LinksUpToDate>
  <CharactersWithSpaces>725835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Anastassia Demeshko</dc:creator>
  <cp:keywords/>
  <dc:description/>
  <cp:lastModifiedBy>Chloe Clifford Astbury</cp:lastModifiedBy>
  <cp:revision>2</cp:revision>
  <dcterms:created xsi:type="dcterms:W3CDTF">2024-02-16T15:47:00Z</dcterms:created>
  <dcterms:modified xsi:type="dcterms:W3CDTF">2024-02-16T15:47:00Z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id="2PfkScrC"/&gt;&lt;style id="http://www.zotero.org/styles/vancouver" locale="en-GB" hasBibliography="1" bibliographyStyleHasBeenSet="1"/&gt;&lt;prefs&gt;&lt;pref name="fieldType" value="Field"/&gt;&lt;pref name="delayCit</vt:lpwstr>
  </property>
  <property fmtid="{D5CDD505-2E9C-101B-9397-08002B2CF9AE}" pid="3" name="ZOTERO_PREF_2">
    <vt:lpwstr>ationUpdates" value="true"/&gt;&lt;pref name="dontAskDelayCitationUpdates" value="true"/&gt;&lt;/prefs&gt;&lt;/data&gt;</vt:lpwstr>
  </property>
  <property fmtid="{D5CDD505-2E9C-101B-9397-08002B2CF9AE}" pid="4" name="ContentTypeId">
    <vt:lpwstr>0x0101008730D7F5A97EFB4BA75F6E0803A7E1C9</vt:lpwstr>
  </property>
</Properties>
</file>