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2885E" w14:textId="1FC1E8C5" w:rsidR="003511C6" w:rsidRPr="000D6B6F" w:rsidRDefault="003511C6" w:rsidP="000D6B6F">
      <w:pPr>
        <w:snapToGrid w:val="0"/>
        <w:spacing w:after="0" w:line="240" w:lineRule="auto"/>
        <w:contextualSpacing/>
        <w:rPr>
          <w:rFonts w:ascii="Times New Roman" w:eastAsiaTheme="majorEastAsia" w:hAnsi="Times New Roman" w:cs="Times New Roman"/>
          <w:b/>
          <w:sz w:val="34"/>
          <w:szCs w:val="34"/>
          <w:lang w:val="es-GT"/>
        </w:rPr>
      </w:pPr>
      <w:r w:rsidRPr="000D6B6F">
        <w:rPr>
          <w:rFonts w:ascii="Times New Roman" w:eastAsiaTheme="majorEastAsia" w:hAnsi="Times New Roman" w:cs="Times New Roman"/>
          <w:b/>
          <w:sz w:val="34"/>
          <w:szCs w:val="34"/>
          <w:lang w:val="es-GT"/>
        </w:rPr>
        <w:t>“Favoreciendo a</w:t>
      </w:r>
      <w:r w:rsidR="007510D4" w:rsidRPr="000D6B6F">
        <w:rPr>
          <w:rFonts w:ascii="Times New Roman" w:eastAsiaTheme="majorEastAsia" w:hAnsi="Times New Roman" w:cs="Times New Roman"/>
          <w:b/>
          <w:sz w:val="34"/>
          <w:szCs w:val="34"/>
          <w:lang w:val="es-MX"/>
        </w:rPr>
        <w:t xml:space="preserve"> quienes</w:t>
      </w:r>
      <w:r w:rsidRPr="000D6B6F">
        <w:rPr>
          <w:rFonts w:ascii="Times New Roman" w:eastAsiaTheme="majorEastAsia" w:hAnsi="Times New Roman" w:cs="Times New Roman"/>
          <w:b/>
          <w:sz w:val="34"/>
          <w:szCs w:val="34"/>
          <w:lang w:val="es-GT"/>
        </w:rPr>
        <w:t xml:space="preserve"> contribuyeron a sus campañas políticas”: un análisis de los incentivos recibidos por la industria alimentaria en Colombia en el período de</w:t>
      </w:r>
      <w:r w:rsidR="00B24E2A" w:rsidRPr="000D6B6F">
        <w:rPr>
          <w:rFonts w:ascii="Times New Roman" w:eastAsiaTheme="majorEastAsia" w:hAnsi="Times New Roman" w:cs="Times New Roman"/>
          <w:b/>
          <w:sz w:val="34"/>
          <w:szCs w:val="34"/>
          <w:lang w:val="es-GT"/>
        </w:rPr>
        <w:t xml:space="preserve"> los años</w:t>
      </w:r>
      <w:r w:rsidRPr="000D6B6F">
        <w:rPr>
          <w:rFonts w:ascii="Times New Roman" w:eastAsiaTheme="majorEastAsia" w:hAnsi="Times New Roman" w:cs="Times New Roman"/>
          <w:b/>
          <w:sz w:val="34"/>
          <w:szCs w:val="34"/>
          <w:lang w:val="es-GT"/>
        </w:rPr>
        <w:t xml:space="preserve"> 2018-2020</w:t>
      </w:r>
    </w:p>
    <w:p w14:paraId="46678325" w14:textId="77777777" w:rsidR="000D6B6F" w:rsidRPr="000D6B6F" w:rsidRDefault="000D6B6F" w:rsidP="000D6B6F">
      <w:pPr>
        <w:snapToGrid w:val="0"/>
        <w:spacing w:after="0" w:line="240" w:lineRule="auto"/>
        <w:contextualSpacing/>
        <w:rPr>
          <w:rStyle w:val="Ttulo1Car"/>
          <w:rFonts w:ascii="Times New Roman" w:hAnsi="Times New Roman" w:cs="Times New Roman"/>
          <w:lang w:val="es-MX"/>
        </w:rPr>
      </w:pPr>
    </w:p>
    <w:p w14:paraId="24C5E491" w14:textId="62D2C27E" w:rsidR="009B5BC1" w:rsidRPr="000D6B6F" w:rsidRDefault="002C0847" w:rsidP="000D6B6F">
      <w:pPr>
        <w:snapToGrid w:val="0"/>
        <w:spacing w:after="0" w:line="240" w:lineRule="auto"/>
        <w:contextualSpacing/>
        <w:rPr>
          <w:rFonts w:ascii="Times New Roman" w:hAnsi="Times New Roman" w:cs="Times New Roman"/>
          <w:szCs w:val="24"/>
          <w:lang w:val="es-MX"/>
        </w:rPr>
      </w:pPr>
      <w:r w:rsidRPr="000D6B6F">
        <w:rPr>
          <w:rFonts w:ascii="Times New Roman" w:hAnsi="Times New Roman" w:cs="Times New Roman"/>
          <w:szCs w:val="24"/>
          <w:lang w:val="es-MX"/>
        </w:rPr>
        <w:t xml:space="preserve">María Alejandra Niño Duque </w:t>
      </w:r>
      <w:r w:rsidR="00C147B9" w:rsidRPr="000D6B6F">
        <w:rPr>
          <w:rFonts w:ascii="Times New Roman" w:hAnsi="Times New Roman" w:cs="Times New Roman"/>
          <w:szCs w:val="24"/>
          <w:vertAlign w:val="superscript"/>
          <w:lang w:val="es-MX"/>
        </w:rPr>
        <w:t>a</w:t>
      </w:r>
      <w:r w:rsidRPr="000D6B6F">
        <w:rPr>
          <w:rFonts w:ascii="Times New Roman" w:hAnsi="Times New Roman" w:cs="Times New Roman"/>
          <w:szCs w:val="24"/>
          <w:lang w:val="es-MX"/>
        </w:rPr>
        <w:t xml:space="preserve">, Emanuel Orozco Núñez </w:t>
      </w:r>
      <w:r w:rsidR="00C147B9" w:rsidRPr="000D6B6F">
        <w:rPr>
          <w:rFonts w:ascii="Times New Roman" w:hAnsi="Times New Roman" w:cs="Times New Roman"/>
          <w:szCs w:val="24"/>
          <w:vertAlign w:val="superscript"/>
          <w:lang w:val="es-MX"/>
        </w:rPr>
        <w:t>b</w:t>
      </w:r>
      <w:r w:rsidRPr="000D6B6F">
        <w:rPr>
          <w:rFonts w:ascii="Times New Roman" w:hAnsi="Times New Roman" w:cs="Times New Roman"/>
          <w:szCs w:val="24"/>
          <w:lang w:val="es-MX"/>
        </w:rPr>
        <w:t xml:space="preserve">, Eliana María Pérez Tamayo </w:t>
      </w:r>
      <w:r w:rsidR="00C147B9" w:rsidRPr="000D6B6F">
        <w:rPr>
          <w:rFonts w:ascii="Times New Roman" w:hAnsi="Times New Roman" w:cs="Times New Roman"/>
          <w:szCs w:val="24"/>
          <w:vertAlign w:val="superscript"/>
          <w:lang w:val="es-MX"/>
        </w:rPr>
        <w:t>c</w:t>
      </w:r>
      <w:r w:rsidRPr="000D6B6F">
        <w:rPr>
          <w:rFonts w:ascii="Times New Roman" w:hAnsi="Times New Roman" w:cs="Times New Roman"/>
          <w:szCs w:val="24"/>
          <w:lang w:val="es-MX"/>
        </w:rPr>
        <w:t xml:space="preserve">, Mélissa Mialon </w:t>
      </w:r>
      <w:r w:rsidR="00C147B9" w:rsidRPr="000D6B6F">
        <w:rPr>
          <w:rFonts w:ascii="Times New Roman" w:hAnsi="Times New Roman" w:cs="Times New Roman"/>
          <w:szCs w:val="24"/>
          <w:vertAlign w:val="superscript"/>
          <w:lang w:val="es-MX"/>
        </w:rPr>
        <w:t>d</w:t>
      </w:r>
      <w:r w:rsidRPr="000D6B6F">
        <w:rPr>
          <w:rFonts w:ascii="Times New Roman" w:hAnsi="Times New Roman" w:cs="Times New Roman"/>
          <w:szCs w:val="24"/>
          <w:lang w:val="es-MX"/>
        </w:rPr>
        <w:t xml:space="preserve">, Eric Crosbie </w:t>
      </w:r>
      <w:r w:rsidR="00C147B9" w:rsidRPr="000D6B6F">
        <w:rPr>
          <w:rFonts w:ascii="Times New Roman" w:hAnsi="Times New Roman" w:cs="Times New Roman"/>
          <w:szCs w:val="24"/>
          <w:vertAlign w:val="superscript"/>
          <w:lang w:val="es-MX"/>
        </w:rPr>
        <w:t>e</w:t>
      </w:r>
      <w:r w:rsidRPr="000D6B6F">
        <w:rPr>
          <w:rFonts w:ascii="Times New Roman" w:hAnsi="Times New Roman" w:cs="Times New Roman"/>
          <w:szCs w:val="24"/>
          <w:lang w:val="es-MX"/>
        </w:rPr>
        <w:t xml:space="preserve">, Christian Paul Torres de la Rosa </w:t>
      </w:r>
      <w:r w:rsidRPr="000D6B6F">
        <w:rPr>
          <w:rFonts w:ascii="Times New Roman" w:hAnsi="Times New Roman" w:cs="Times New Roman"/>
          <w:szCs w:val="24"/>
          <w:vertAlign w:val="superscript"/>
          <w:lang w:val="es-MX"/>
        </w:rPr>
        <w:t xml:space="preserve">f </w:t>
      </w:r>
      <w:r w:rsidRPr="000D6B6F">
        <w:rPr>
          <w:rFonts w:ascii="Times New Roman" w:hAnsi="Times New Roman" w:cs="Times New Roman"/>
          <w:szCs w:val="24"/>
          <w:lang w:val="es-MX"/>
        </w:rPr>
        <w:t>*.</w:t>
      </w:r>
    </w:p>
    <w:p w14:paraId="440D63FA" w14:textId="77777777" w:rsidR="000D6B6F" w:rsidRPr="000D6B6F" w:rsidRDefault="000D6B6F" w:rsidP="000D6B6F">
      <w:pPr>
        <w:snapToGrid w:val="0"/>
        <w:spacing w:after="0" w:line="240" w:lineRule="auto"/>
        <w:contextualSpacing/>
        <w:rPr>
          <w:rFonts w:ascii="Times New Roman" w:hAnsi="Times New Roman" w:cs="Times New Roman"/>
          <w:szCs w:val="24"/>
          <w:lang w:val="es-MX"/>
        </w:rPr>
      </w:pPr>
    </w:p>
    <w:p w14:paraId="70F108CF" w14:textId="34CAEB25" w:rsidR="000D6B6F" w:rsidRPr="000D6B6F" w:rsidRDefault="002C0847" w:rsidP="000D6B6F">
      <w:pPr>
        <w:snapToGrid w:val="0"/>
        <w:spacing w:after="0" w:line="240" w:lineRule="auto"/>
        <w:contextualSpacing/>
        <w:rPr>
          <w:rFonts w:ascii="Times New Roman" w:hAnsi="Times New Roman" w:cs="Times New Roman"/>
          <w:sz w:val="20"/>
          <w:szCs w:val="20"/>
          <w:lang w:val="es-MX"/>
        </w:rPr>
      </w:pPr>
      <w:r w:rsidRPr="000D6B6F">
        <w:rPr>
          <w:rFonts w:ascii="Times New Roman" w:hAnsi="Times New Roman" w:cs="Times New Roman"/>
          <w:sz w:val="20"/>
          <w:szCs w:val="20"/>
          <w:lang w:val="es-MX"/>
        </w:rPr>
        <w:t xml:space="preserve">a </w:t>
      </w:r>
      <w:proofErr w:type="spellStart"/>
      <w:r w:rsidRPr="000D6B6F">
        <w:rPr>
          <w:rFonts w:ascii="Times New Roman" w:hAnsi="Times New Roman" w:cs="Times New Roman"/>
          <w:sz w:val="20"/>
          <w:szCs w:val="20"/>
          <w:lang w:val="es-MX"/>
        </w:rPr>
        <w:t>Fian</w:t>
      </w:r>
      <w:proofErr w:type="spellEnd"/>
      <w:r w:rsidRPr="000D6B6F">
        <w:rPr>
          <w:rFonts w:ascii="Times New Roman" w:hAnsi="Times New Roman" w:cs="Times New Roman"/>
          <w:sz w:val="20"/>
          <w:szCs w:val="20"/>
          <w:lang w:val="es-MX"/>
        </w:rPr>
        <w:t xml:space="preserve"> Colombia, Colombia</w:t>
      </w:r>
      <w:r w:rsidR="000D6B6F">
        <w:rPr>
          <w:rFonts w:ascii="Times New Roman" w:hAnsi="Times New Roman" w:cs="Times New Roman"/>
          <w:sz w:val="20"/>
          <w:szCs w:val="20"/>
          <w:lang w:val="es-MX"/>
        </w:rPr>
        <w:t xml:space="preserve">, </w:t>
      </w:r>
      <w:r w:rsidRPr="000D6B6F">
        <w:rPr>
          <w:rFonts w:ascii="Times New Roman" w:hAnsi="Times New Roman" w:cs="Times New Roman"/>
          <w:sz w:val="20"/>
          <w:szCs w:val="20"/>
          <w:lang w:val="es-GT"/>
        </w:rPr>
        <w:t xml:space="preserve">b </w:t>
      </w:r>
      <w:r w:rsidR="0002256E" w:rsidRPr="000D6B6F">
        <w:rPr>
          <w:rFonts w:ascii="Times New Roman" w:hAnsi="Times New Roman" w:cs="Times New Roman"/>
          <w:sz w:val="20"/>
          <w:szCs w:val="20"/>
          <w:lang w:val="es-GT"/>
        </w:rPr>
        <w:t>Centro de Investigación en Sistemas de Salud, Instituto Nacional de Salud Pública, México</w:t>
      </w:r>
      <w:r w:rsidR="000D6B6F">
        <w:rPr>
          <w:rFonts w:ascii="Times New Roman" w:hAnsi="Times New Roman" w:cs="Times New Roman"/>
          <w:sz w:val="20"/>
          <w:szCs w:val="20"/>
          <w:lang w:val="es-GT"/>
        </w:rPr>
        <w:t xml:space="preserve">, </w:t>
      </w:r>
      <w:r w:rsidRPr="000D6B6F">
        <w:rPr>
          <w:rFonts w:ascii="Times New Roman" w:hAnsi="Times New Roman" w:cs="Times New Roman"/>
          <w:sz w:val="20"/>
          <w:szCs w:val="20"/>
          <w:lang w:val="es-GT"/>
        </w:rPr>
        <w:t xml:space="preserve">c </w:t>
      </w:r>
      <w:r w:rsidR="0002256E" w:rsidRPr="000D6B6F">
        <w:rPr>
          <w:rFonts w:ascii="Times New Roman" w:hAnsi="Times New Roman" w:cs="Times New Roman"/>
          <w:sz w:val="20"/>
          <w:szCs w:val="20"/>
          <w:lang w:val="es-GT"/>
        </w:rPr>
        <w:t>Facultad Nacional de Salud Pública, Universidad de Antioquia, Medellín, Colombia</w:t>
      </w:r>
      <w:r w:rsidR="000D6B6F">
        <w:rPr>
          <w:rFonts w:ascii="Times New Roman" w:hAnsi="Times New Roman" w:cs="Times New Roman"/>
          <w:sz w:val="20"/>
          <w:szCs w:val="20"/>
          <w:lang w:val="es-GT"/>
        </w:rPr>
        <w:t xml:space="preserve">, </w:t>
      </w:r>
      <w:r w:rsidRPr="005A0654">
        <w:rPr>
          <w:rFonts w:ascii="Times New Roman" w:hAnsi="Times New Roman" w:cs="Times New Roman"/>
          <w:sz w:val="20"/>
          <w:szCs w:val="20"/>
          <w:lang w:val="es-MX"/>
        </w:rPr>
        <w:t xml:space="preserve">d </w:t>
      </w:r>
      <w:proofErr w:type="spellStart"/>
      <w:r w:rsidR="00546923" w:rsidRPr="005A0654">
        <w:rPr>
          <w:rFonts w:ascii="Times New Roman" w:hAnsi="Times New Roman" w:cs="Times New Roman"/>
          <w:sz w:val="20"/>
          <w:szCs w:val="20"/>
          <w:lang w:val="es-MX"/>
        </w:rPr>
        <w:t>Université</w:t>
      </w:r>
      <w:proofErr w:type="spellEnd"/>
      <w:r w:rsidR="00546923" w:rsidRPr="005A0654">
        <w:rPr>
          <w:rFonts w:ascii="Times New Roman" w:hAnsi="Times New Roman" w:cs="Times New Roman"/>
          <w:sz w:val="20"/>
          <w:szCs w:val="20"/>
          <w:lang w:val="es-MX"/>
        </w:rPr>
        <w:t xml:space="preserve"> Paris Cité, </w:t>
      </w:r>
      <w:proofErr w:type="spellStart"/>
      <w:r w:rsidR="00546923" w:rsidRPr="005A0654">
        <w:rPr>
          <w:rFonts w:ascii="Times New Roman" w:hAnsi="Times New Roman" w:cs="Times New Roman"/>
          <w:sz w:val="20"/>
          <w:szCs w:val="20"/>
          <w:lang w:val="es-MX"/>
        </w:rPr>
        <w:t>Inserm</w:t>
      </w:r>
      <w:proofErr w:type="spellEnd"/>
      <w:r w:rsidR="00546923" w:rsidRPr="005A0654">
        <w:rPr>
          <w:rFonts w:ascii="Times New Roman" w:hAnsi="Times New Roman" w:cs="Times New Roman"/>
          <w:sz w:val="20"/>
          <w:szCs w:val="20"/>
          <w:lang w:val="es-MX"/>
        </w:rPr>
        <w:t>, ECEVE UMR1123, France</w:t>
      </w:r>
      <w:r w:rsidR="000D6B6F" w:rsidRPr="005A0654">
        <w:rPr>
          <w:rFonts w:ascii="Times New Roman" w:hAnsi="Times New Roman" w:cs="Times New Roman"/>
          <w:sz w:val="20"/>
          <w:szCs w:val="20"/>
          <w:lang w:val="es-MX"/>
        </w:rPr>
        <w:t xml:space="preserve">, </w:t>
      </w:r>
      <w:r w:rsidRPr="005A0654">
        <w:rPr>
          <w:rFonts w:ascii="Times New Roman" w:hAnsi="Times New Roman" w:cs="Times New Roman"/>
          <w:sz w:val="20"/>
          <w:szCs w:val="20"/>
          <w:lang w:val="es-MX"/>
        </w:rPr>
        <w:t xml:space="preserve">e </w:t>
      </w:r>
      <w:proofErr w:type="spellStart"/>
      <w:r w:rsidRPr="005A0654">
        <w:rPr>
          <w:rFonts w:ascii="Times New Roman" w:hAnsi="Times New Roman" w:cs="Times New Roman"/>
          <w:sz w:val="20"/>
          <w:szCs w:val="20"/>
          <w:lang w:val="es-MX"/>
        </w:rPr>
        <w:t>School</w:t>
      </w:r>
      <w:proofErr w:type="spellEnd"/>
      <w:r w:rsidRPr="005A0654">
        <w:rPr>
          <w:rFonts w:ascii="Times New Roman" w:hAnsi="Times New Roman" w:cs="Times New Roman"/>
          <w:sz w:val="20"/>
          <w:szCs w:val="20"/>
          <w:lang w:val="es-MX"/>
        </w:rPr>
        <w:t xml:space="preserve"> of </w:t>
      </w:r>
      <w:proofErr w:type="spellStart"/>
      <w:r w:rsidRPr="005A0654">
        <w:rPr>
          <w:rFonts w:ascii="Times New Roman" w:hAnsi="Times New Roman" w:cs="Times New Roman"/>
          <w:sz w:val="20"/>
          <w:szCs w:val="20"/>
          <w:lang w:val="es-MX"/>
        </w:rPr>
        <w:t>Public</w:t>
      </w:r>
      <w:proofErr w:type="spellEnd"/>
      <w:r w:rsidRPr="005A0654">
        <w:rPr>
          <w:rFonts w:ascii="Times New Roman" w:hAnsi="Times New Roman" w:cs="Times New Roman"/>
          <w:sz w:val="20"/>
          <w:szCs w:val="20"/>
          <w:lang w:val="es-MX"/>
        </w:rPr>
        <w:t xml:space="preserve"> </w:t>
      </w:r>
      <w:proofErr w:type="spellStart"/>
      <w:r w:rsidRPr="005A0654">
        <w:rPr>
          <w:rFonts w:ascii="Times New Roman" w:hAnsi="Times New Roman" w:cs="Times New Roman"/>
          <w:sz w:val="20"/>
          <w:szCs w:val="20"/>
          <w:lang w:val="es-MX"/>
        </w:rPr>
        <w:t>Health</w:t>
      </w:r>
      <w:proofErr w:type="spellEnd"/>
      <w:r w:rsidRPr="005A0654">
        <w:rPr>
          <w:rFonts w:ascii="Times New Roman" w:hAnsi="Times New Roman" w:cs="Times New Roman"/>
          <w:sz w:val="20"/>
          <w:szCs w:val="20"/>
          <w:lang w:val="es-MX"/>
        </w:rPr>
        <w:t xml:space="preserve">, </w:t>
      </w:r>
      <w:proofErr w:type="spellStart"/>
      <w:r w:rsidRPr="005A0654">
        <w:rPr>
          <w:rFonts w:ascii="Times New Roman" w:hAnsi="Times New Roman" w:cs="Times New Roman"/>
          <w:sz w:val="20"/>
          <w:szCs w:val="20"/>
          <w:lang w:val="es-MX"/>
        </w:rPr>
        <w:t>University</w:t>
      </w:r>
      <w:proofErr w:type="spellEnd"/>
      <w:r w:rsidRPr="005A0654">
        <w:rPr>
          <w:rFonts w:ascii="Times New Roman" w:hAnsi="Times New Roman" w:cs="Times New Roman"/>
          <w:sz w:val="20"/>
          <w:szCs w:val="20"/>
          <w:lang w:val="es-MX"/>
        </w:rPr>
        <w:t xml:space="preserve"> of Nevada, Reno</w:t>
      </w:r>
      <w:r w:rsidR="000D6B6F" w:rsidRPr="005A0654">
        <w:rPr>
          <w:rFonts w:ascii="Times New Roman" w:hAnsi="Times New Roman" w:cs="Times New Roman"/>
          <w:sz w:val="20"/>
          <w:szCs w:val="20"/>
          <w:lang w:val="es-MX"/>
        </w:rPr>
        <w:t xml:space="preserve">, </w:t>
      </w:r>
      <w:r w:rsidRPr="000D6B6F">
        <w:rPr>
          <w:rFonts w:ascii="Times New Roman" w:hAnsi="Times New Roman" w:cs="Times New Roman"/>
          <w:sz w:val="20"/>
          <w:szCs w:val="20"/>
          <w:lang w:val="es-MX"/>
        </w:rPr>
        <w:t xml:space="preserve">f El Poder del Consumidor, </w:t>
      </w:r>
      <w:r w:rsidR="001F521D" w:rsidRPr="000D6B6F">
        <w:rPr>
          <w:rFonts w:ascii="Times New Roman" w:hAnsi="Times New Roman" w:cs="Times New Roman"/>
          <w:sz w:val="20"/>
          <w:szCs w:val="20"/>
          <w:lang w:val="es-MX"/>
        </w:rPr>
        <w:t>México</w:t>
      </w:r>
      <w:r w:rsidRPr="000D6B6F">
        <w:rPr>
          <w:rFonts w:ascii="Times New Roman" w:hAnsi="Times New Roman" w:cs="Times New Roman"/>
          <w:sz w:val="20"/>
          <w:szCs w:val="20"/>
          <w:lang w:val="es-MX"/>
        </w:rPr>
        <w:t>.</w:t>
      </w:r>
      <w:r w:rsidR="000D6B6F">
        <w:rPr>
          <w:rFonts w:ascii="Times New Roman" w:hAnsi="Times New Roman" w:cs="Times New Roman"/>
          <w:sz w:val="20"/>
          <w:szCs w:val="20"/>
          <w:lang w:val="es-MX"/>
        </w:rPr>
        <w:t xml:space="preserve"> </w:t>
      </w:r>
      <w:r w:rsidRPr="000D6B6F">
        <w:rPr>
          <w:rFonts w:ascii="Times New Roman" w:hAnsi="Times New Roman" w:cs="Times New Roman"/>
          <w:b/>
          <w:bCs/>
          <w:sz w:val="20"/>
          <w:szCs w:val="20"/>
          <w:lang w:val="es-MX"/>
        </w:rPr>
        <w:t>*</w:t>
      </w:r>
      <w:r w:rsidR="001F521D" w:rsidRPr="000D6B6F">
        <w:rPr>
          <w:rFonts w:ascii="Times New Roman" w:hAnsi="Times New Roman" w:cs="Times New Roman"/>
          <w:b/>
          <w:bCs/>
          <w:sz w:val="20"/>
          <w:szCs w:val="20"/>
          <w:lang w:val="es-GT"/>
        </w:rPr>
        <w:t>Autor</w:t>
      </w:r>
      <w:r w:rsidR="00EF632F" w:rsidRPr="000D6B6F">
        <w:rPr>
          <w:rFonts w:ascii="Times New Roman" w:hAnsi="Times New Roman" w:cs="Times New Roman"/>
          <w:b/>
          <w:bCs/>
          <w:sz w:val="20"/>
          <w:szCs w:val="20"/>
          <w:lang w:val="es-GT"/>
        </w:rPr>
        <w:t xml:space="preserve"> de</w:t>
      </w:r>
      <w:r w:rsidR="001F521D" w:rsidRPr="000D6B6F">
        <w:rPr>
          <w:rFonts w:ascii="Times New Roman" w:hAnsi="Times New Roman" w:cs="Times New Roman"/>
          <w:b/>
          <w:bCs/>
          <w:sz w:val="20"/>
          <w:szCs w:val="20"/>
          <w:lang w:val="es-GT"/>
        </w:rPr>
        <w:t xml:space="preserve"> </w:t>
      </w:r>
      <w:r w:rsidR="00EF632F" w:rsidRPr="000D6B6F">
        <w:rPr>
          <w:rFonts w:ascii="Times New Roman" w:hAnsi="Times New Roman" w:cs="Times New Roman"/>
          <w:b/>
          <w:bCs/>
          <w:sz w:val="20"/>
          <w:szCs w:val="20"/>
          <w:lang w:val="es-GT"/>
        </w:rPr>
        <w:t>correspondencia</w:t>
      </w:r>
      <w:r w:rsidR="001F521D" w:rsidRPr="000D6B6F">
        <w:rPr>
          <w:rFonts w:ascii="Times New Roman" w:hAnsi="Times New Roman" w:cs="Times New Roman"/>
          <w:b/>
          <w:bCs/>
          <w:sz w:val="20"/>
          <w:szCs w:val="20"/>
          <w:lang w:val="es-GT"/>
        </w:rPr>
        <w:t>:</w:t>
      </w:r>
      <w:r w:rsidR="001F521D" w:rsidRPr="000D6B6F">
        <w:rPr>
          <w:rFonts w:ascii="Times New Roman" w:hAnsi="Times New Roman" w:cs="Times New Roman"/>
          <w:sz w:val="20"/>
          <w:szCs w:val="20"/>
          <w:lang w:val="es-GT"/>
        </w:rPr>
        <w:t xml:space="preserve"> Christian Paul Torres de la Rosa, </w:t>
      </w:r>
      <w:hyperlink r:id="rId8" w:tgtFrame="_blank" w:history="1">
        <w:r w:rsidR="001F521D" w:rsidRPr="000D6B6F">
          <w:rPr>
            <w:rStyle w:val="Hipervnculo"/>
            <w:rFonts w:ascii="Times New Roman" w:hAnsi="Times New Roman" w:cs="Times New Roman"/>
            <w:b/>
            <w:bCs/>
            <w:color w:val="auto"/>
            <w:sz w:val="20"/>
            <w:szCs w:val="20"/>
            <w:lang w:val="es-GT"/>
          </w:rPr>
          <w:t>ctorres@elpoderdelconsumidor.org</w:t>
        </w:r>
      </w:hyperlink>
      <w:r w:rsidR="00B24E2A" w:rsidRPr="000D6B6F">
        <w:rPr>
          <w:rFonts w:ascii="Times New Roman" w:hAnsi="Times New Roman" w:cs="Times New Roman"/>
          <w:sz w:val="20"/>
          <w:szCs w:val="20"/>
          <w:lang w:val="es-GT"/>
        </w:rPr>
        <w:t xml:space="preserve"> </w:t>
      </w:r>
      <w:r w:rsidR="003511C6" w:rsidRPr="000D6B6F">
        <w:rPr>
          <w:rFonts w:ascii="Times New Roman" w:hAnsi="Times New Roman" w:cs="Times New Roman"/>
          <w:sz w:val="20"/>
          <w:szCs w:val="20"/>
          <w:lang w:val="es-GT"/>
        </w:rPr>
        <w:t>Juárez</w:t>
      </w:r>
      <w:r w:rsidR="001F521D" w:rsidRPr="000D6B6F">
        <w:rPr>
          <w:rFonts w:ascii="Times New Roman" w:hAnsi="Times New Roman" w:cs="Times New Roman"/>
          <w:sz w:val="20"/>
          <w:szCs w:val="20"/>
          <w:lang w:val="es-GT"/>
        </w:rPr>
        <w:t xml:space="preserve"> 67, S</w:t>
      </w:r>
      <w:r w:rsidR="003511C6" w:rsidRPr="000D6B6F">
        <w:rPr>
          <w:rFonts w:ascii="Times New Roman" w:hAnsi="Times New Roman" w:cs="Times New Roman"/>
          <w:sz w:val="20"/>
          <w:szCs w:val="20"/>
          <w:lang w:val="es-GT"/>
        </w:rPr>
        <w:t>anta</w:t>
      </w:r>
      <w:r w:rsidR="001F521D" w:rsidRPr="000D6B6F">
        <w:rPr>
          <w:rFonts w:ascii="Times New Roman" w:hAnsi="Times New Roman" w:cs="Times New Roman"/>
          <w:sz w:val="20"/>
          <w:szCs w:val="20"/>
          <w:lang w:val="es-GT"/>
        </w:rPr>
        <w:t xml:space="preserve"> Úrsula Coapa, Coyoacán, Ciudad de México.</w:t>
      </w:r>
    </w:p>
    <w:p w14:paraId="17986147" w14:textId="77777777" w:rsidR="000D6B6F" w:rsidRDefault="000D6B6F" w:rsidP="000D6B6F">
      <w:pPr>
        <w:snapToGrid w:val="0"/>
        <w:spacing w:after="0" w:line="240" w:lineRule="auto"/>
        <w:contextualSpacing/>
        <w:rPr>
          <w:rFonts w:ascii="Times New Roman" w:hAnsi="Times New Roman" w:cs="Times New Roman"/>
          <w:szCs w:val="24"/>
          <w:lang w:val="es-GT"/>
        </w:rPr>
      </w:pPr>
    </w:p>
    <w:p w14:paraId="71B47880" w14:textId="42231B33" w:rsidR="000D6B6F" w:rsidRPr="000D6B6F" w:rsidRDefault="00597826" w:rsidP="000D6B6F">
      <w:pPr>
        <w:snapToGrid w:val="0"/>
        <w:spacing w:after="0" w:line="240" w:lineRule="auto"/>
        <w:contextualSpacing/>
        <w:rPr>
          <w:rFonts w:ascii="Times New Roman" w:hAnsi="Times New Roman" w:cs="Times New Roman"/>
          <w:sz w:val="23"/>
          <w:szCs w:val="23"/>
          <w:lang w:val="es-GT"/>
        </w:rPr>
      </w:pPr>
      <w:r w:rsidRPr="000D6B6F">
        <w:rPr>
          <w:rFonts w:ascii="Times New Roman" w:hAnsi="Times New Roman" w:cs="Times New Roman"/>
          <w:sz w:val="23"/>
          <w:szCs w:val="23"/>
          <w:lang w:val="es-GT"/>
        </w:rPr>
        <w:t>Resumen</w:t>
      </w:r>
    </w:p>
    <w:p w14:paraId="59114199" w14:textId="77777777" w:rsidR="000D6B6F" w:rsidRPr="000D6B6F" w:rsidRDefault="00597826" w:rsidP="000D6B6F">
      <w:pPr>
        <w:snapToGrid w:val="0"/>
        <w:spacing w:after="0" w:line="240" w:lineRule="auto"/>
        <w:contextualSpacing/>
        <w:rPr>
          <w:rFonts w:ascii="Times New Roman" w:hAnsi="Times New Roman" w:cs="Times New Roman"/>
          <w:bCs/>
          <w:sz w:val="23"/>
          <w:szCs w:val="23"/>
          <w:lang w:val="es-GT"/>
        </w:rPr>
      </w:pPr>
      <w:r w:rsidRPr="000D6B6F">
        <w:rPr>
          <w:rFonts w:ascii="Times New Roman" w:hAnsi="Times New Roman" w:cs="Times New Roman"/>
          <w:bCs/>
          <w:sz w:val="23"/>
          <w:szCs w:val="23"/>
          <w:lang w:val="es-GT"/>
        </w:rPr>
        <w:t xml:space="preserve">La industria alimentaria es un actor muy influyente en las políticas de salud pública en Colombia. En particular, los incentivos de la industria, como las donaciones financieras y otros regalos a los partidos políticos, pueden ayudar a desarrollar futuras alianzas e iniciar un intercambio de favores. El objetivo de este estudio fue analizar los incentivos otorgados por la industria alimentaria a los </w:t>
      </w:r>
      <w:r w:rsidR="00E931D9" w:rsidRPr="000D6B6F">
        <w:rPr>
          <w:rFonts w:ascii="Times New Roman" w:hAnsi="Times New Roman" w:cs="Times New Roman"/>
          <w:bCs/>
          <w:sz w:val="23"/>
          <w:szCs w:val="23"/>
          <w:lang w:val="es-MX"/>
        </w:rPr>
        <w:t>tomadores de decisiones</w:t>
      </w:r>
      <w:r w:rsidRPr="000D6B6F">
        <w:rPr>
          <w:rFonts w:ascii="Times New Roman" w:hAnsi="Times New Roman" w:cs="Times New Roman"/>
          <w:bCs/>
          <w:sz w:val="23"/>
          <w:szCs w:val="23"/>
          <w:lang w:val="es-GT"/>
        </w:rPr>
        <w:t xml:space="preserve"> en Colombia desde el año 2018 hasta el 2020 y de esa manera comprender cómo estos incentivos podrían influir en l</w:t>
      </w:r>
      <w:r w:rsidR="004A72EB" w:rsidRPr="000D6B6F">
        <w:rPr>
          <w:rFonts w:ascii="Times New Roman" w:hAnsi="Times New Roman" w:cs="Times New Roman"/>
          <w:bCs/>
          <w:sz w:val="23"/>
          <w:szCs w:val="23"/>
          <w:lang w:val="es-GT"/>
        </w:rPr>
        <w:t>os procesos de formulación de</w:t>
      </w:r>
      <w:r w:rsidRPr="000D6B6F">
        <w:rPr>
          <w:rFonts w:ascii="Times New Roman" w:hAnsi="Times New Roman" w:cs="Times New Roman"/>
          <w:bCs/>
          <w:sz w:val="23"/>
          <w:szCs w:val="23"/>
          <w:lang w:val="es-GT"/>
        </w:rPr>
        <w:t xml:space="preserve"> políticas de salud pública en el país.</w:t>
      </w:r>
      <w:r w:rsidR="000D6B6F" w:rsidRPr="000D6B6F">
        <w:rPr>
          <w:rFonts w:ascii="Times New Roman" w:hAnsi="Times New Roman" w:cs="Times New Roman"/>
          <w:bCs/>
          <w:sz w:val="23"/>
          <w:szCs w:val="23"/>
          <w:lang w:val="es-GT"/>
        </w:rPr>
        <w:t xml:space="preserve"> </w:t>
      </w:r>
      <w:r w:rsidRPr="000D6B6F">
        <w:rPr>
          <w:rFonts w:ascii="Times New Roman" w:hAnsi="Times New Roman" w:cs="Times New Roman"/>
          <w:bCs/>
          <w:sz w:val="23"/>
          <w:szCs w:val="23"/>
          <w:lang w:val="es-GT"/>
        </w:rPr>
        <w:t>Se llevó a cabo un análisis de grupos de interés mediante métodos cualitativos, que se realizó en seis etapas: i) una revisión documental de la información y un análisis de contenido de las redes sociales digitales; ii) la identificación y caracterización de los actores de la industria alimentaria y los responsables de la toma de decisiones; iii) veinte entrevistas semiestructuradas con actores clave identificados en la etapa anterior; iv) la caracterización de los tipos y mecanismos a través de los cuales se proporcionan incentivos; v) un mapeo de actores; y vi) la presentación de resultados.</w:t>
      </w:r>
      <w:r w:rsidR="000D6B6F" w:rsidRPr="000D6B6F">
        <w:rPr>
          <w:rFonts w:ascii="Times New Roman" w:hAnsi="Times New Roman" w:cs="Times New Roman"/>
          <w:bCs/>
          <w:sz w:val="23"/>
          <w:szCs w:val="23"/>
          <w:lang w:val="es-GT"/>
        </w:rPr>
        <w:t xml:space="preserve"> </w:t>
      </w:r>
      <w:r w:rsidRPr="000D6B6F">
        <w:rPr>
          <w:rFonts w:ascii="Times New Roman" w:hAnsi="Times New Roman" w:cs="Times New Roman"/>
          <w:bCs/>
          <w:sz w:val="23"/>
          <w:szCs w:val="23"/>
          <w:lang w:val="es-GT"/>
        </w:rPr>
        <w:t xml:space="preserve">Se identificó a actores de la industria alimentaria, principalmente a nivel nacional, como proveedores de incentivos </w:t>
      </w:r>
      <w:r w:rsidR="00FC2F4C" w:rsidRPr="000D6B6F">
        <w:rPr>
          <w:rFonts w:ascii="Times New Roman" w:hAnsi="Times New Roman" w:cs="Times New Roman"/>
          <w:bCs/>
          <w:sz w:val="23"/>
          <w:szCs w:val="23"/>
          <w:lang w:val="es-MX"/>
        </w:rPr>
        <w:t xml:space="preserve">a tomadores de decisiones </w:t>
      </w:r>
      <w:r w:rsidRPr="000D6B6F">
        <w:rPr>
          <w:rFonts w:ascii="Times New Roman" w:hAnsi="Times New Roman" w:cs="Times New Roman"/>
          <w:bCs/>
          <w:sz w:val="23"/>
          <w:szCs w:val="23"/>
          <w:lang w:val="es-GT"/>
        </w:rPr>
        <w:t xml:space="preserve">de Colombia </w:t>
      </w:r>
      <w:r w:rsidR="00B24E2A" w:rsidRPr="000D6B6F">
        <w:rPr>
          <w:rFonts w:ascii="Times New Roman" w:hAnsi="Times New Roman" w:cs="Times New Roman"/>
          <w:bCs/>
          <w:sz w:val="23"/>
          <w:szCs w:val="23"/>
          <w:lang w:val="es-GT"/>
        </w:rPr>
        <w:t>de</w:t>
      </w:r>
      <w:r w:rsidRPr="000D6B6F">
        <w:rPr>
          <w:rFonts w:ascii="Times New Roman" w:hAnsi="Times New Roman" w:cs="Times New Roman"/>
          <w:bCs/>
          <w:sz w:val="23"/>
          <w:szCs w:val="23"/>
          <w:lang w:val="es-GT"/>
        </w:rPr>
        <w:t xml:space="preserve"> los poderes ejecutivo y legislativo. Identificamos seis tipos de incentivos: financia</w:t>
      </w:r>
      <w:r w:rsidR="00EE7F7F" w:rsidRPr="000D6B6F">
        <w:rPr>
          <w:rFonts w:ascii="Times New Roman" w:hAnsi="Times New Roman" w:cs="Times New Roman"/>
          <w:bCs/>
          <w:sz w:val="23"/>
          <w:szCs w:val="23"/>
          <w:lang w:val="es-GT"/>
        </w:rPr>
        <w:t xml:space="preserve">ción </w:t>
      </w:r>
      <w:r w:rsidRPr="000D6B6F">
        <w:rPr>
          <w:rFonts w:ascii="Times New Roman" w:hAnsi="Times New Roman" w:cs="Times New Roman"/>
          <w:bCs/>
          <w:sz w:val="23"/>
          <w:szCs w:val="23"/>
          <w:lang w:val="es-GT"/>
        </w:rPr>
        <w:t xml:space="preserve">de campañas electorales, donaciones financieras, </w:t>
      </w:r>
      <w:r w:rsidR="005035B5" w:rsidRPr="000D6B6F">
        <w:rPr>
          <w:rFonts w:ascii="Times New Roman" w:hAnsi="Times New Roman" w:cs="Times New Roman"/>
          <w:bCs/>
          <w:sz w:val="23"/>
          <w:szCs w:val="23"/>
          <w:lang w:val="es-MX"/>
        </w:rPr>
        <w:t>donaciones</w:t>
      </w:r>
      <w:r w:rsidRPr="000D6B6F">
        <w:rPr>
          <w:rFonts w:ascii="Times New Roman" w:hAnsi="Times New Roman" w:cs="Times New Roman"/>
          <w:bCs/>
          <w:sz w:val="23"/>
          <w:szCs w:val="23"/>
          <w:lang w:val="es-GT"/>
        </w:rPr>
        <w:t xml:space="preserve"> en especie, regalos, entretenimiento y viajes. Nuestro análisis muestra que los incentivos </w:t>
      </w:r>
      <w:r w:rsidR="00EA37CE" w:rsidRPr="000D6B6F">
        <w:rPr>
          <w:rFonts w:ascii="Times New Roman" w:hAnsi="Times New Roman" w:cs="Times New Roman"/>
          <w:bCs/>
          <w:sz w:val="23"/>
          <w:szCs w:val="23"/>
          <w:lang w:val="es-GT"/>
        </w:rPr>
        <w:t>otorgados</w:t>
      </w:r>
      <w:r w:rsidR="00B24E2A" w:rsidRPr="000D6B6F">
        <w:rPr>
          <w:rFonts w:ascii="Times New Roman" w:hAnsi="Times New Roman" w:cs="Times New Roman"/>
          <w:bCs/>
          <w:sz w:val="23"/>
          <w:szCs w:val="23"/>
          <w:lang w:val="es-GT"/>
        </w:rPr>
        <w:t xml:space="preserve"> por</w:t>
      </w:r>
      <w:r w:rsidRPr="000D6B6F">
        <w:rPr>
          <w:rFonts w:ascii="Times New Roman" w:hAnsi="Times New Roman" w:cs="Times New Roman"/>
          <w:bCs/>
          <w:sz w:val="23"/>
          <w:szCs w:val="23"/>
          <w:lang w:val="es-GT"/>
        </w:rPr>
        <w:t xml:space="preserve"> </w:t>
      </w:r>
      <w:r w:rsidR="00EE7F7F" w:rsidRPr="000D6B6F">
        <w:rPr>
          <w:rFonts w:ascii="Times New Roman" w:hAnsi="Times New Roman" w:cs="Times New Roman"/>
          <w:bCs/>
          <w:sz w:val="23"/>
          <w:szCs w:val="23"/>
          <w:lang w:val="es-GT"/>
        </w:rPr>
        <w:t>la industria alimentaria en Colombia pueden</w:t>
      </w:r>
      <w:r w:rsidRPr="000D6B6F">
        <w:rPr>
          <w:rFonts w:ascii="Times New Roman" w:hAnsi="Times New Roman" w:cs="Times New Roman"/>
          <w:bCs/>
          <w:sz w:val="23"/>
          <w:szCs w:val="23"/>
          <w:lang w:val="es-GT"/>
        </w:rPr>
        <w:t xml:space="preserve"> ayudar a influir en los procesos de formulación e implementación de políticas públicas alimentarias y nutricionales.</w:t>
      </w:r>
    </w:p>
    <w:p w14:paraId="7462900C" w14:textId="77777777" w:rsidR="000D6B6F" w:rsidRDefault="000D6B6F" w:rsidP="000D6B6F">
      <w:pPr>
        <w:snapToGrid w:val="0"/>
        <w:spacing w:after="0" w:line="240" w:lineRule="auto"/>
        <w:contextualSpacing/>
        <w:rPr>
          <w:rFonts w:ascii="Times New Roman" w:hAnsi="Times New Roman" w:cs="Times New Roman"/>
          <w:bCs/>
          <w:lang w:val="es-GT"/>
        </w:rPr>
      </w:pPr>
    </w:p>
    <w:p w14:paraId="254E6BFE" w14:textId="77777777" w:rsidR="000D6B6F" w:rsidRPr="000D6B6F" w:rsidRDefault="004A72EB" w:rsidP="000D6B6F">
      <w:pPr>
        <w:snapToGrid w:val="0"/>
        <w:spacing w:after="0" w:line="240" w:lineRule="auto"/>
        <w:contextualSpacing/>
        <w:rPr>
          <w:rFonts w:ascii="Times New Roman" w:hAnsi="Times New Roman" w:cs="Times New Roman"/>
          <w:bCs/>
          <w:sz w:val="20"/>
          <w:szCs w:val="20"/>
          <w:lang w:val="es-GT"/>
        </w:rPr>
      </w:pPr>
      <w:r w:rsidRPr="000D6B6F">
        <w:rPr>
          <w:rFonts w:ascii="Times New Roman" w:hAnsi="Times New Roman" w:cs="Times New Roman"/>
          <w:sz w:val="20"/>
          <w:szCs w:val="20"/>
          <w:lang w:val="es-GT"/>
        </w:rPr>
        <w:t>Palabras clave:</w:t>
      </w:r>
      <w:r w:rsidRPr="000D6B6F">
        <w:rPr>
          <w:rFonts w:ascii="Times New Roman" w:hAnsi="Times New Roman" w:cs="Times New Roman"/>
          <w:bCs/>
          <w:sz w:val="20"/>
          <w:szCs w:val="20"/>
          <w:lang w:val="es-GT"/>
        </w:rPr>
        <w:t xml:space="preserve"> industria alimentaria; donaciones políticas; cabildeo; actividad política corporativa; Colombia. </w:t>
      </w:r>
    </w:p>
    <w:p w14:paraId="0B2E8524" w14:textId="77777777" w:rsidR="000D6B6F" w:rsidRDefault="000D6B6F" w:rsidP="000D6B6F">
      <w:pPr>
        <w:snapToGrid w:val="0"/>
        <w:spacing w:after="0" w:line="240" w:lineRule="auto"/>
        <w:contextualSpacing/>
        <w:rPr>
          <w:rFonts w:ascii="Times New Roman" w:hAnsi="Times New Roman" w:cs="Times New Roman"/>
          <w:bCs/>
          <w:lang w:val="es-GT"/>
        </w:rPr>
      </w:pPr>
    </w:p>
    <w:p w14:paraId="4E9DA160" w14:textId="4C91A9DE" w:rsidR="004A72EB" w:rsidRPr="000D6B6F" w:rsidRDefault="004A72EB" w:rsidP="000D6B6F">
      <w:pPr>
        <w:snapToGrid w:val="0"/>
        <w:spacing w:after="0" w:line="360" w:lineRule="auto"/>
        <w:contextualSpacing/>
        <w:rPr>
          <w:rFonts w:ascii="Times New Roman" w:hAnsi="Times New Roman" w:cs="Times New Roman"/>
          <w:b/>
          <w:bCs/>
          <w:color w:val="0070C0"/>
          <w:sz w:val="40"/>
          <w:szCs w:val="40"/>
          <w:lang w:val="es-GT"/>
        </w:rPr>
      </w:pPr>
      <w:r w:rsidRPr="000D6B6F">
        <w:rPr>
          <w:rFonts w:ascii="Times New Roman" w:hAnsi="Times New Roman" w:cs="Times New Roman"/>
          <w:b/>
          <w:bCs/>
          <w:color w:val="0070C0"/>
          <w:sz w:val="40"/>
          <w:szCs w:val="40"/>
          <w:lang w:val="es-GT"/>
        </w:rPr>
        <w:t>Contribuciones a la promoción de la salud</w:t>
      </w:r>
    </w:p>
    <w:p w14:paraId="1044C7F4" w14:textId="77777777" w:rsidR="004A72EB" w:rsidRPr="000D6B6F" w:rsidRDefault="004A72EB" w:rsidP="000D6B6F">
      <w:pPr>
        <w:pStyle w:val="Ttulo1"/>
        <w:numPr>
          <w:ilvl w:val="0"/>
          <w:numId w:val="13"/>
        </w:numPr>
        <w:snapToGrid w:val="0"/>
        <w:spacing w:before="0" w:after="0" w:line="360" w:lineRule="auto"/>
        <w:contextualSpacing/>
        <w:rPr>
          <w:rFonts w:ascii="Times New Roman" w:hAnsi="Times New Roman" w:cs="Times New Roman"/>
          <w:b w:val="0"/>
          <w:bCs/>
          <w:lang w:val="es-GT"/>
        </w:rPr>
      </w:pPr>
      <w:r w:rsidRPr="000D6B6F">
        <w:rPr>
          <w:rFonts w:ascii="Times New Roman" w:hAnsi="Times New Roman" w:cs="Times New Roman"/>
          <w:b w:val="0"/>
          <w:bCs/>
          <w:lang w:val="es-GT"/>
        </w:rPr>
        <w:t>Comprender el poder económico de la industria alimentaria en la salud pública.</w:t>
      </w:r>
    </w:p>
    <w:p w14:paraId="39B79A95" w14:textId="30818A60" w:rsidR="004A72EB" w:rsidRPr="000D6B6F" w:rsidRDefault="004A72EB" w:rsidP="000D6B6F">
      <w:pPr>
        <w:pStyle w:val="Ttulo1"/>
        <w:numPr>
          <w:ilvl w:val="0"/>
          <w:numId w:val="13"/>
        </w:numPr>
        <w:snapToGrid w:val="0"/>
        <w:spacing w:before="0" w:after="0" w:line="360" w:lineRule="auto"/>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Los incentivos se otorgan a las campañas políticas como una forma de corrupción tipo soborno, </w:t>
      </w:r>
      <w:r w:rsidR="00A96EDA" w:rsidRPr="000D6B6F">
        <w:rPr>
          <w:rFonts w:ascii="Times New Roman" w:hAnsi="Times New Roman" w:cs="Times New Roman"/>
          <w:b w:val="0"/>
          <w:bCs/>
          <w:lang w:val="es-GT"/>
        </w:rPr>
        <w:t xml:space="preserve">los cuales representan una </w:t>
      </w:r>
      <w:r w:rsidRPr="000D6B6F">
        <w:rPr>
          <w:rFonts w:ascii="Times New Roman" w:hAnsi="Times New Roman" w:cs="Times New Roman"/>
          <w:b w:val="0"/>
          <w:bCs/>
          <w:lang w:val="es-GT"/>
        </w:rPr>
        <w:t>amenaza la salud pública.</w:t>
      </w:r>
    </w:p>
    <w:p w14:paraId="53B20FC8" w14:textId="77777777" w:rsidR="004A72EB" w:rsidRPr="000D6B6F" w:rsidRDefault="004A72EB" w:rsidP="000D6B6F">
      <w:pPr>
        <w:pStyle w:val="Ttulo1"/>
        <w:numPr>
          <w:ilvl w:val="0"/>
          <w:numId w:val="13"/>
        </w:numPr>
        <w:snapToGrid w:val="0"/>
        <w:spacing w:before="0" w:after="0" w:line="360" w:lineRule="auto"/>
        <w:contextualSpacing/>
        <w:rPr>
          <w:rFonts w:ascii="Times New Roman" w:hAnsi="Times New Roman" w:cs="Times New Roman"/>
          <w:b w:val="0"/>
          <w:bCs/>
          <w:lang w:val="es-GT"/>
        </w:rPr>
      </w:pPr>
      <w:r w:rsidRPr="000D6B6F">
        <w:rPr>
          <w:rFonts w:ascii="Times New Roman" w:hAnsi="Times New Roman" w:cs="Times New Roman"/>
          <w:b w:val="0"/>
          <w:bCs/>
          <w:lang w:val="es-GT"/>
        </w:rPr>
        <w:t>Fomentar la transparencia en las entidades gubernamentales para proteger la gobernanza de la salud.</w:t>
      </w:r>
    </w:p>
    <w:p w14:paraId="10D9066B" w14:textId="3932C881" w:rsidR="00DF6BD7" w:rsidRPr="000D6B6F" w:rsidRDefault="002C0847" w:rsidP="000D6B6F">
      <w:pPr>
        <w:pStyle w:val="Ttulo1"/>
        <w:snapToGrid w:val="0"/>
        <w:spacing w:before="0" w:after="0" w:line="240" w:lineRule="auto"/>
        <w:ind w:left="720"/>
        <w:contextualSpacing/>
        <w:rPr>
          <w:rFonts w:ascii="Times New Roman" w:hAnsi="Times New Roman" w:cs="Times New Roman"/>
          <w:b w:val="0"/>
          <w:lang w:val="es-GT"/>
        </w:rPr>
      </w:pPr>
      <w:r w:rsidRPr="000D6B6F">
        <w:rPr>
          <w:rFonts w:ascii="Times New Roman" w:hAnsi="Times New Roman" w:cs="Times New Roman"/>
          <w:b w:val="0"/>
          <w:lang w:val="es-GT"/>
        </w:rPr>
        <w:br w:type="page"/>
      </w:r>
    </w:p>
    <w:p w14:paraId="2D4F6D6A" w14:textId="2CD875EA" w:rsidR="00630237" w:rsidRPr="000D6B6F" w:rsidRDefault="00A96EDA" w:rsidP="000D6B6F">
      <w:pPr>
        <w:snapToGrid w:val="0"/>
        <w:spacing w:after="0" w:line="360" w:lineRule="auto"/>
        <w:contextualSpacing/>
        <w:rPr>
          <w:rFonts w:ascii="Times New Roman" w:eastAsiaTheme="majorEastAsia" w:hAnsi="Times New Roman" w:cs="Times New Roman"/>
          <w:b/>
          <w:color w:val="0070C0"/>
          <w:sz w:val="40"/>
          <w:szCs w:val="40"/>
          <w:lang w:val="es-GT"/>
        </w:rPr>
      </w:pPr>
      <w:r w:rsidRPr="000D6B6F">
        <w:rPr>
          <w:rFonts w:ascii="Times New Roman" w:eastAsiaTheme="majorEastAsia" w:hAnsi="Times New Roman" w:cs="Times New Roman"/>
          <w:b/>
          <w:color w:val="0070C0"/>
          <w:sz w:val="40"/>
          <w:szCs w:val="40"/>
          <w:lang w:val="es-GT"/>
        </w:rPr>
        <w:lastRenderedPageBreak/>
        <w:t>Introducción</w:t>
      </w:r>
    </w:p>
    <w:p w14:paraId="6AD17516" w14:textId="773B7149" w:rsidR="00A96EDA" w:rsidRPr="000D6B6F" w:rsidRDefault="00A96EDA" w:rsidP="000D6B6F">
      <w:pPr>
        <w:snapToGrid w:val="0"/>
        <w:spacing w:after="0" w:line="360" w:lineRule="auto"/>
        <w:ind w:firstLine="720"/>
        <w:contextualSpacing/>
        <w:rPr>
          <w:rFonts w:ascii="Times New Roman" w:eastAsiaTheme="majorEastAsia" w:hAnsi="Times New Roman" w:cs="Times New Roman"/>
          <w:bCs/>
          <w:szCs w:val="32"/>
          <w:lang w:val="es-GT"/>
        </w:rPr>
      </w:pPr>
      <w:r w:rsidRPr="000D6B6F">
        <w:rPr>
          <w:rFonts w:ascii="Times New Roman" w:eastAsiaTheme="majorEastAsia" w:hAnsi="Times New Roman" w:cs="Times New Roman"/>
          <w:bCs/>
          <w:szCs w:val="32"/>
          <w:lang w:val="es-GT"/>
        </w:rPr>
        <w:t xml:space="preserve">El creciente poder político, social y económico de los actores de la industria alimentaria en los procesos políticos está recibiendo cada vez más atención por parte de la comunidad académica y otros sectores sociales (Anaf et al, 2020). En Colombia, los actores que representan a la industria alimentaria se opusieron firmemente a la introducción de políticas de salud pública recientes, incluidas las políticas relacionadas con la mitigación del sobrepeso y la obesidad, los entornos alimentarios y el etiquetado </w:t>
      </w:r>
      <w:r w:rsidR="00FF3C1D" w:rsidRPr="000D6B6F">
        <w:rPr>
          <w:rFonts w:ascii="Times New Roman" w:eastAsiaTheme="majorEastAsia" w:hAnsi="Times New Roman" w:cs="Times New Roman"/>
          <w:bCs/>
          <w:szCs w:val="32"/>
          <w:lang w:val="es-MX"/>
        </w:rPr>
        <w:t>frontal de advertencia</w:t>
      </w:r>
      <w:r w:rsidRPr="000D6B6F">
        <w:rPr>
          <w:rFonts w:ascii="Times New Roman" w:eastAsiaTheme="majorEastAsia" w:hAnsi="Times New Roman" w:cs="Times New Roman"/>
          <w:bCs/>
          <w:szCs w:val="32"/>
          <w:lang w:val="es-GT"/>
        </w:rPr>
        <w:t>(La Liga Contra el Silencio, 2019; Gómez et al, 2011; Cortés et al, 2019; Salazar et al, 2017).</w:t>
      </w:r>
      <w:r w:rsidR="00BA526D" w:rsidRPr="000D6B6F">
        <w:rPr>
          <w:rFonts w:ascii="Times New Roman" w:eastAsiaTheme="majorEastAsia" w:hAnsi="Times New Roman" w:cs="Times New Roman"/>
          <w:bCs/>
          <w:szCs w:val="32"/>
          <w:lang w:val="es-GT"/>
        </w:rPr>
        <w:t xml:space="preserve"> </w:t>
      </w:r>
      <w:r w:rsidRPr="000D6B6F">
        <w:rPr>
          <w:rFonts w:ascii="Times New Roman" w:eastAsiaTheme="majorEastAsia" w:hAnsi="Times New Roman" w:cs="Times New Roman"/>
          <w:bCs/>
          <w:szCs w:val="32"/>
          <w:lang w:val="es-GT"/>
        </w:rPr>
        <w:t>Hay evidencia emergente de que la industria alimentaria en Colombia utiliza una amplia gama de estrategias conocidas como "actividad política corporativa" (CPA</w:t>
      </w:r>
      <w:r w:rsidR="00B24E2A" w:rsidRPr="000D6B6F">
        <w:rPr>
          <w:rFonts w:ascii="Times New Roman" w:eastAsiaTheme="majorEastAsia" w:hAnsi="Times New Roman" w:cs="Times New Roman"/>
          <w:bCs/>
          <w:szCs w:val="32"/>
          <w:lang w:val="es-GT"/>
        </w:rPr>
        <w:t>, por sus siglas en inglés</w:t>
      </w:r>
      <w:r w:rsidRPr="000D6B6F">
        <w:rPr>
          <w:rFonts w:ascii="Times New Roman" w:eastAsiaTheme="majorEastAsia" w:hAnsi="Times New Roman" w:cs="Times New Roman"/>
          <w:bCs/>
          <w:szCs w:val="32"/>
          <w:lang w:val="es-GT"/>
        </w:rPr>
        <w:t>), tales como la gestión de coaliciones, la gestión de la información, la participación directa e influencia en la política y estrategias legales y discursivas para socavar las políticas de salud pública (Gorbaneff et al, 2009; Mialon et al, 2021). En Colombia, un estudio reciente sobre la influencia de las partes interesadas en el desarrollo de un impuesto a las bebidas azucaradas (SSB</w:t>
      </w:r>
      <w:r w:rsidR="00D56A3E" w:rsidRPr="000D6B6F">
        <w:rPr>
          <w:rFonts w:ascii="Times New Roman" w:eastAsiaTheme="majorEastAsia" w:hAnsi="Times New Roman" w:cs="Times New Roman"/>
          <w:bCs/>
          <w:szCs w:val="32"/>
          <w:lang w:val="es-MX"/>
        </w:rPr>
        <w:t>, por sus siglas en inglés</w:t>
      </w:r>
      <w:r w:rsidRPr="000D6B6F">
        <w:rPr>
          <w:rFonts w:ascii="Times New Roman" w:eastAsiaTheme="majorEastAsia" w:hAnsi="Times New Roman" w:cs="Times New Roman"/>
          <w:bCs/>
          <w:szCs w:val="32"/>
          <w:lang w:val="es-GT"/>
        </w:rPr>
        <w:t>), reveló la capacidad y el poder de la industria alimentaria para bloquear los procesos de la agenda pública que contradicen los intereses públicos (Madureira y Galea, 2018).</w:t>
      </w:r>
    </w:p>
    <w:p w14:paraId="0085ACFB" w14:textId="42B144BF" w:rsidR="00A96EDA" w:rsidRPr="000D6B6F" w:rsidRDefault="00BA526D" w:rsidP="000D6B6F">
      <w:pPr>
        <w:snapToGrid w:val="0"/>
        <w:spacing w:after="0" w:line="360" w:lineRule="auto"/>
        <w:ind w:firstLine="720"/>
        <w:contextualSpacing/>
        <w:rPr>
          <w:rFonts w:ascii="Times New Roman" w:eastAsiaTheme="majorEastAsia" w:hAnsi="Times New Roman" w:cs="Times New Roman"/>
          <w:bCs/>
          <w:szCs w:val="32"/>
          <w:lang w:val="es-GT"/>
        </w:rPr>
      </w:pPr>
      <w:r w:rsidRPr="000D6B6F">
        <w:rPr>
          <w:rFonts w:ascii="Times New Roman" w:eastAsiaTheme="majorEastAsia" w:hAnsi="Times New Roman" w:cs="Times New Roman"/>
          <w:bCs/>
          <w:szCs w:val="32"/>
          <w:lang w:val="es-GT"/>
        </w:rPr>
        <w:t>Efectivamente</w:t>
      </w:r>
      <w:r w:rsidR="00A96EDA" w:rsidRPr="000D6B6F">
        <w:rPr>
          <w:rFonts w:ascii="Times New Roman" w:eastAsiaTheme="majorEastAsia" w:hAnsi="Times New Roman" w:cs="Times New Roman"/>
          <w:bCs/>
          <w:szCs w:val="32"/>
          <w:lang w:val="es-GT"/>
        </w:rPr>
        <w:t xml:space="preserve">, los actores de la industria alimentaria han utilizado estrategias discursivas* (*métodos no coercitivos que las corporaciones utilizan para influir en la opinión pública, los responsables de la formulación de políticas y los entornos regulatorios mediante el uso estratégico del lenguaje, el encuadre y la comunicación) para mejorar su imagen </w:t>
      </w:r>
      <w:r w:rsidR="00B24E2A" w:rsidRPr="000D6B6F">
        <w:rPr>
          <w:rFonts w:ascii="Times New Roman" w:eastAsiaTheme="majorEastAsia" w:hAnsi="Times New Roman" w:cs="Times New Roman"/>
          <w:bCs/>
          <w:szCs w:val="32"/>
          <w:lang w:val="es-GT"/>
        </w:rPr>
        <w:t>ante</w:t>
      </w:r>
      <w:r w:rsidR="00A96EDA" w:rsidRPr="000D6B6F">
        <w:rPr>
          <w:rFonts w:ascii="Times New Roman" w:eastAsiaTheme="majorEastAsia" w:hAnsi="Times New Roman" w:cs="Times New Roman"/>
          <w:bCs/>
          <w:szCs w:val="32"/>
          <w:lang w:val="es-GT"/>
        </w:rPr>
        <w:t xml:space="preserve"> la opinión pública, demostrando sus esfuerzos por fortalecer los entornos alimentarios y su papel en el desarrollo económico de Colombia (Díaz-García et al, 2020). La industria alimentaria promovió iniciativas de asociaciones público-privadas, involucró a los medios de comunicación e intentó influir en la ciencia sobre nutrición y enfermedades no transmisibles. A través de sus grupos de presión, los actores de la industria alimentaria logran establecer relaciones estrechas con los responsables </w:t>
      </w:r>
      <w:r w:rsidR="00B24E2A" w:rsidRPr="000D6B6F">
        <w:rPr>
          <w:rFonts w:ascii="Times New Roman" w:eastAsiaTheme="majorEastAsia" w:hAnsi="Times New Roman" w:cs="Times New Roman"/>
          <w:bCs/>
          <w:szCs w:val="32"/>
          <w:lang w:val="es-GT"/>
        </w:rPr>
        <w:t xml:space="preserve">de alto rango, </w:t>
      </w:r>
      <w:r w:rsidRPr="000D6B6F">
        <w:rPr>
          <w:rFonts w:ascii="Times New Roman" w:eastAsiaTheme="majorEastAsia" w:hAnsi="Times New Roman" w:cs="Times New Roman"/>
          <w:bCs/>
          <w:szCs w:val="32"/>
          <w:lang w:val="es-GT"/>
        </w:rPr>
        <w:t xml:space="preserve">formuladores de </w:t>
      </w:r>
      <w:r w:rsidR="00A96EDA" w:rsidRPr="000D6B6F">
        <w:rPr>
          <w:rFonts w:ascii="Times New Roman" w:eastAsiaTheme="majorEastAsia" w:hAnsi="Times New Roman" w:cs="Times New Roman"/>
          <w:bCs/>
          <w:szCs w:val="32"/>
          <w:lang w:val="es-GT"/>
        </w:rPr>
        <w:t xml:space="preserve">políticas </w:t>
      </w:r>
      <w:r w:rsidRPr="000D6B6F">
        <w:rPr>
          <w:rFonts w:ascii="Times New Roman" w:eastAsiaTheme="majorEastAsia" w:hAnsi="Times New Roman" w:cs="Times New Roman"/>
          <w:bCs/>
          <w:szCs w:val="32"/>
          <w:lang w:val="es-GT"/>
        </w:rPr>
        <w:t xml:space="preserve">quienes </w:t>
      </w:r>
      <w:r w:rsidR="00A96EDA" w:rsidRPr="000D6B6F">
        <w:rPr>
          <w:rFonts w:ascii="Times New Roman" w:eastAsiaTheme="majorEastAsia" w:hAnsi="Times New Roman" w:cs="Times New Roman"/>
          <w:bCs/>
          <w:szCs w:val="32"/>
          <w:lang w:val="es-GT"/>
        </w:rPr>
        <w:t>prom</w:t>
      </w:r>
      <w:r w:rsidR="00B24E2A" w:rsidRPr="000D6B6F">
        <w:rPr>
          <w:rFonts w:ascii="Times New Roman" w:eastAsiaTheme="majorEastAsia" w:hAnsi="Times New Roman" w:cs="Times New Roman"/>
          <w:bCs/>
          <w:szCs w:val="32"/>
          <w:lang w:val="es-GT"/>
        </w:rPr>
        <w:t xml:space="preserve">ueven </w:t>
      </w:r>
      <w:r w:rsidR="00A96EDA" w:rsidRPr="000D6B6F">
        <w:rPr>
          <w:rFonts w:ascii="Times New Roman" w:eastAsiaTheme="majorEastAsia" w:hAnsi="Times New Roman" w:cs="Times New Roman"/>
          <w:bCs/>
          <w:szCs w:val="32"/>
          <w:lang w:val="es-GT"/>
        </w:rPr>
        <w:t xml:space="preserve">iniciativas </w:t>
      </w:r>
      <w:r w:rsidRPr="000D6B6F">
        <w:rPr>
          <w:rFonts w:ascii="Times New Roman" w:eastAsiaTheme="majorEastAsia" w:hAnsi="Times New Roman" w:cs="Times New Roman"/>
          <w:bCs/>
          <w:szCs w:val="32"/>
          <w:lang w:val="es-GT"/>
        </w:rPr>
        <w:t xml:space="preserve">débiles </w:t>
      </w:r>
      <w:r w:rsidR="00A96EDA" w:rsidRPr="000D6B6F">
        <w:rPr>
          <w:rFonts w:ascii="Times New Roman" w:eastAsiaTheme="majorEastAsia" w:hAnsi="Times New Roman" w:cs="Times New Roman"/>
          <w:bCs/>
          <w:szCs w:val="32"/>
          <w:lang w:val="es-GT"/>
        </w:rPr>
        <w:t>de autorregulación voluntaria en el país (Mialon et al, 2020).</w:t>
      </w:r>
    </w:p>
    <w:p w14:paraId="4850C834" w14:textId="086C1980" w:rsidR="00A96EDA" w:rsidRPr="000D6B6F" w:rsidRDefault="00A96EDA" w:rsidP="000D6B6F">
      <w:pPr>
        <w:snapToGrid w:val="0"/>
        <w:spacing w:after="0" w:line="360" w:lineRule="auto"/>
        <w:ind w:firstLine="720"/>
        <w:contextualSpacing/>
        <w:rPr>
          <w:rFonts w:ascii="Times New Roman" w:hAnsi="Times New Roman" w:cs="Times New Roman"/>
          <w:lang w:val="es-GT"/>
        </w:rPr>
      </w:pPr>
      <w:r w:rsidRPr="000D6B6F">
        <w:rPr>
          <w:rFonts w:ascii="Times New Roman" w:hAnsi="Times New Roman" w:cs="Times New Roman"/>
          <w:lang w:val="es-GT"/>
        </w:rPr>
        <w:t xml:space="preserve">Los actores de la industria alimentaria en Colombia </w:t>
      </w:r>
      <w:r w:rsidR="00610ED9" w:rsidRPr="000D6B6F">
        <w:rPr>
          <w:rFonts w:ascii="Times New Roman" w:hAnsi="Times New Roman" w:cs="Times New Roman"/>
          <w:lang w:val="es-GT"/>
        </w:rPr>
        <w:t>s</w:t>
      </w:r>
      <w:r w:rsidR="00CA7281" w:rsidRPr="000D6B6F">
        <w:rPr>
          <w:rFonts w:ascii="Times New Roman" w:hAnsi="Times New Roman" w:cs="Times New Roman"/>
          <w:lang w:val="es-MX"/>
        </w:rPr>
        <w:t>on muy cercanos a</w:t>
      </w:r>
      <w:r w:rsidRPr="000D6B6F">
        <w:rPr>
          <w:rFonts w:ascii="Times New Roman" w:hAnsi="Times New Roman" w:cs="Times New Roman"/>
          <w:lang w:val="es-GT"/>
        </w:rPr>
        <w:t xml:space="preserve"> la administración gubernamental, incluyendo la participación de ex miembros de asociaciones comerciales en </w:t>
      </w:r>
      <w:r w:rsidRPr="000D6B6F">
        <w:rPr>
          <w:rFonts w:ascii="Times New Roman" w:hAnsi="Times New Roman" w:cs="Times New Roman"/>
          <w:lang w:val="es-GT"/>
        </w:rPr>
        <w:lastRenderedPageBreak/>
        <w:t>posiciones de toma de decisiones gubernamentales, una práctica conocida como 'puerta</w:t>
      </w:r>
      <w:r w:rsidR="009663CF" w:rsidRPr="000D6B6F">
        <w:rPr>
          <w:rFonts w:ascii="Times New Roman" w:hAnsi="Times New Roman" w:cs="Times New Roman"/>
          <w:lang w:val="es-MX"/>
        </w:rPr>
        <w:t>s</w:t>
      </w:r>
      <w:r w:rsidRPr="000D6B6F">
        <w:rPr>
          <w:rFonts w:ascii="Times New Roman" w:hAnsi="Times New Roman" w:cs="Times New Roman"/>
          <w:lang w:val="es-GT"/>
        </w:rPr>
        <w:t xml:space="preserve"> giratoria</w:t>
      </w:r>
      <w:r w:rsidR="009663CF" w:rsidRPr="000D6B6F">
        <w:rPr>
          <w:rFonts w:ascii="Times New Roman" w:hAnsi="Times New Roman" w:cs="Times New Roman"/>
          <w:lang w:val="es-MX"/>
        </w:rPr>
        <w:t>s</w:t>
      </w:r>
      <w:r w:rsidRPr="000D6B6F">
        <w:rPr>
          <w:rFonts w:ascii="Times New Roman" w:hAnsi="Times New Roman" w:cs="Times New Roman"/>
          <w:lang w:val="es-GT"/>
        </w:rPr>
        <w:t>' (Ojeda et al, 2020; Gómez, 2019; UK Health Forum, 2018).</w:t>
      </w:r>
    </w:p>
    <w:p w14:paraId="5E1D3DF8" w14:textId="11E7BFB4" w:rsidR="00A96EDA" w:rsidRPr="000D6B6F" w:rsidRDefault="00A96EDA" w:rsidP="000D6B6F">
      <w:pPr>
        <w:snapToGrid w:val="0"/>
        <w:spacing w:after="0" w:line="360" w:lineRule="auto"/>
        <w:contextualSpacing/>
        <w:rPr>
          <w:rFonts w:ascii="Times New Roman" w:hAnsi="Times New Roman" w:cs="Times New Roman"/>
          <w:lang w:val="es-GT"/>
        </w:rPr>
      </w:pPr>
      <w:r w:rsidRPr="000D6B6F">
        <w:rPr>
          <w:rFonts w:ascii="Times New Roman" w:hAnsi="Times New Roman" w:cs="Times New Roman"/>
          <w:lang w:val="es-GT"/>
        </w:rPr>
        <w:t xml:space="preserve">Una de las </w:t>
      </w:r>
      <w:r w:rsidR="00BA526D" w:rsidRPr="000D6B6F">
        <w:rPr>
          <w:rFonts w:ascii="Times New Roman" w:hAnsi="Times New Roman" w:cs="Times New Roman"/>
          <w:lang w:val="es-GT"/>
        </w:rPr>
        <w:t xml:space="preserve">maneras </w:t>
      </w:r>
      <w:r w:rsidRPr="000D6B6F">
        <w:rPr>
          <w:rFonts w:ascii="Times New Roman" w:hAnsi="Times New Roman" w:cs="Times New Roman"/>
          <w:lang w:val="es-GT"/>
        </w:rPr>
        <w:t>específicas de influencia es la concesión de incentivos. Un incentivo es la promesa de compensación por realizar una acción deseada por la persona que otorga el estímulo; es una forma de recompensa que abarca aspectos financieros y no financieros (Gorbaneff et al, 2009). La industria alimentaria ofrece incentivos a los partidos políticos y a los políticos en forma de donaciones financieras, así como regalos, entretenimiento y otros apoyos en especie (Mialon et al, 2016; Nyberg, 2021; Jaichuen et al, 2018). Los incentivos pueden modificar comportamientos y se utilizan para generar cierta reciprocidad entre las partes involucradas (Mialon et al, 2021; Madureira y Galea, 2018).</w:t>
      </w:r>
    </w:p>
    <w:p w14:paraId="22DF2D16" w14:textId="554F475F" w:rsidR="00A96EDA" w:rsidRPr="000D6B6F" w:rsidRDefault="00A96EDA" w:rsidP="000D6B6F">
      <w:pPr>
        <w:snapToGrid w:val="0"/>
        <w:spacing w:after="0" w:line="360" w:lineRule="auto"/>
        <w:ind w:firstLine="720"/>
        <w:contextualSpacing/>
        <w:rPr>
          <w:rFonts w:ascii="Times New Roman" w:hAnsi="Times New Roman" w:cs="Times New Roman"/>
          <w:lang w:val="es-GT"/>
        </w:rPr>
      </w:pPr>
      <w:r w:rsidRPr="000D6B6F">
        <w:rPr>
          <w:rFonts w:ascii="Times New Roman" w:hAnsi="Times New Roman" w:cs="Times New Roman"/>
          <w:lang w:val="es-GT"/>
        </w:rPr>
        <w:t xml:space="preserve">Los estudios sobre incentivos políticos han demostrado que estos incentivos tienen el potencial de desarrollar futuras alianzas (Fooks y Gilmore, 2013) </w:t>
      </w:r>
      <w:r w:rsidR="00BA526D" w:rsidRPr="000D6B6F">
        <w:rPr>
          <w:rFonts w:ascii="Times New Roman" w:hAnsi="Times New Roman" w:cs="Times New Roman"/>
          <w:lang w:val="es-GT"/>
        </w:rPr>
        <w:t xml:space="preserve">además </w:t>
      </w:r>
      <w:r w:rsidRPr="000D6B6F">
        <w:rPr>
          <w:rFonts w:ascii="Times New Roman" w:hAnsi="Times New Roman" w:cs="Times New Roman"/>
          <w:lang w:val="es-GT"/>
        </w:rPr>
        <w:t>de iniciar un intercambio de favores. Los incentivos tienen como objetivo obtener el apoyo empresarial del público o "comprar la voluntad" de los actores políticos (Stone, 2012).</w:t>
      </w:r>
    </w:p>
    <w:p w14:paraId="66D15E3C" w14:textId="7586027A" w:rsidR="00A96EDA" w:rsidRDefault="00A96EDA" w:rsidP="000D6B6F">
      <w:pPr>
        <w:snapToGrid w:val="0"/>
        <w:spacing w:after="0" w:line="360" w:lineRule="auto"/>
        <w:contextualSpacing/>
        <w:rPr>
          <w:rFonts w:ascii="Times New Roman" w:hAnsi="Times New Roman" w:cs="Times New Roman"/>
          <w:lang w:val="es-GT"/>
        </w:rPr>
      </w:pPr>
      <w:r w:rsidRPr="000D6B6F">
        <w:rPr>
          <w:rFonts w:ascii="Times New Roman" w:hAnsi="Times New Roman" w:cs="Times New Roman"/>
          <w:lang w:val="es-GT"/>
        </w:rPr>
        <w:t>Aunque en Colombia existe información sobre donaciones a partidos políticos, no se ha realizado ningún análisis sobre el tema (Mialon et al, 2016; Nyberg, 2021), excepto por un artícul</w:t>
      </w:r>
      <w:r w:rsidR="00A0146A" w:rsidRPr="000D6B6F">
        <w:rPr>
          <w:rFonts w:ascii="Times New Roman" w:hAnsi="Times New Roman" w:cs="Times New Roman"/>
          <w:lang w:val="es-MX"/>
        </w:rPr>
        <w:t>o</w:t>
      </w:r>
      <w:r w:rsidRPr="000D6B6F">
        <w:rPr>
          <w:rFonts w:ascii="Times New Roman" w:hAnsi="Times New Roman" w:cs="Times New Roman"/>
          <w:lang w:val="es-GT"/>
        </w:rPr>
        <w:t xml:space="preserve"> </w:t>
      </w:r>
      <w:r w:rsidR="00A0146A" w:rsidRPr="000D6B6F">
        <w:rPr>
          <w:rFonts w:ascii="Times New Roman" w:hAnsi="Times New Roman" w:cs="Times New Roman"/>
          <w:lang w:val="es-MX"/>
        </w:rPr>
        <w:t>period</w:t>
      </w:r>
      <w:r w:rsidR="0077647E" w:rsidRPr="000D6B6F">
        <w:rPr>
          <w:rFonts w:ascii="Times New Roman" w:hAnsi="Times New Roman" w:cs="Times New Roman"/>
          <w:lang w:val="es-MX"/>
        </w:rPr>
        <w:t>í</w:t>
      </w:r>
      <w:r w:rsidR="00A0146A" w:rsidRPr="000D6B6F">
        <w:rPr>
          <w:rFonts w:ascii="Times New Roman" w:hAnsi="Times New Roman" w:cs="Times New Roman"/>
          <w:lang w:val="es-MX"/>
        </w:rPr>
        <w:t>stico</w:t>
      </w:r>
      <w:r w:rsidRPr="000D6B6F">
        <w:rPr>
          <w:rFonts w:ascii="Times New Roman" w:hAnsi="Times New Roman" w:cs="Times New Roman"/>
          <w:lang w:val="es-GT"/>
        </w:rPr>
        <w:t xml:space="preserve"> que documentó numerosas donaciones financieras realizadas por la industria alimentaria a los candidatos a las elecciones presidenciales de Colombia en 2018 (La Liga Contra el Silencio, 2019). Por lo tanto, el presente estudio tuvo como objetivo comprender los incentivos proporcionados por la industria alimentaria a los responsables de la formulación de políticas en Colombia entre 2018 y 2020.</w:t>
      </w:r>
    </w:p>
    <w:p w14:paraId="3259E36F" w14:textId="77777777" w:rsidR="000D6B6F" w:rsidRPr="000D6B6F" w:rsidRDefault="000D6B6F" w:rsidP="000D6B6F">
      <w:pPr>
        <w:snapToGrid w:val="0"/>
        <w:spacing w:after="0" w:line="360" w:lineRule="auto"/>
        <w:contextualSpacing/>
        <w:rPr>
          <w:rFonts w:ascii="Times New Roman" w:hAnsi="Times New Roman" w:cs="Times New Roman"/>
          <w:lang w:val="es-GT"/>
        </w:rPr>
      </w:pPr>
    </w:p>
    <w:p w14:paraId="6F51B727" w14:textId="5BA4BCA3" w:rsidR="004630DB" w:rsidRPr="000D6B6F" w:rsidRDefault="004630DB" w:rsidP="000D6B6F">
      <w:pPr>
        <w:snapToGrid w:val="0"/>
        <w:spacing w:after="0" w:line="360" w:lineRule="auto"/>
        <w:contextualSpacing/>
        <w:rPr>
          <w:rFonts w:ascii="Times New Roman" w:hAnsi="Times New Roman" w:cs="Times New Roman"/>
          <w:b/>
          <w:bCs/>
          <w:color w:val="0070C0"/>
          <w:sz w:val="40"/>
          <w:szCs w:val="40"/>
          <w:lang w:val="es-MX"/>
        </w:rPr>
      </w:pPr>
      <w:r w:rsidRPr="000D6B6F">
        <w:rPr>
          <w:rFonts w:ascii="Times New Roman" w:hAnsi="Times New Roman" w:cs="Times New Roman"/>
          <w:b/>
          <w:bCs/>
          <w:color w:val="0070C0"/>
          <w:sz w:val="40"/>
          <w:szCs w:val="40"/>
          <w:lang w:val="es-GT"/>
        </w:rPr>
        <w:t>M</w:t>
      </w:r>
      <w:r w:rsidR="00D6740E" w:rsidRPr="000D6B6F">
        <w:rPr>
          <w:rFonts w:ascii="Times New Roman" w:hAnsi="Times New Roman" w:cs="Times New Roman"/>
          <w:b/>
          <w:bCs/>
          <w:color w:val="0070C0"/>
          <w:sz w:val="40"/>
          <w:szCs w:val="40"/>
          <w:lang w:val="es-MX"/>
        </w:rPr>
        <w:t>étodos</w:t>
      </w:r>
    </w:p>
    <w:p w14:paraId="76267526" w14:textId="51CE4A1D" w:rsidR="00610ED9" w:rsidRPr="000D6B6F" w:rsidRDefault="00610ED9" w:rsidP="000D6B6F">
      <w:pPr>
        <w:snapToGrid w:val="0"/>
        <w:spacing w:after="0" w:line="360" w:lineRule="auto"/>
        <w:ind w:firstLine="720"/>
        <w:contextualSpacing/>
        <w:rPr>
          <w:rFonts w:ascii="Times New Roman" w:hAnsi="Times New Roman" w:cs="Times New Roman"/>
          <w:lang w:val="es-GT"/>
        </w:rPr>
      </w:pPr>
      <w:r w:rsidRPr="000D6B6F">
        <w:rPr>
          <w:rFonts w:ascii="Times New Roman" w:hAnsi="Times New Roman" w:cs="Times New Roman"/>
          <w:lang w:val="es-GT"/>
        </w:rPr>
        <w:t>Entre enero y julio de 2021, buscamos información disponible públicamente en Twitter y realizamos entrevistas semiestructuradas. El marco de la Red Internacional de Investigación, Monitoreo y Apoyo a la Acción sobre Alimentos y Enfermedades No Transmisibles (INFORMAS) desarrollado por Mialon et al. (Mialon et al., 2018)</w:t>
      </w:r>
      <w:r w:rsidR="00BA526D" w:rsidRPr="000D6B6F">
        <w:rPr>
          <w:rFonts w:ascii="Times New Roman" w:hAnsi="Times New Roman" w:cs="Times New Roman"/>
          <w:lang w:val="es-GT"/>
        </w:rPr>
        <w:t xml:space="preserve">, </w:t>
      </w:r>
      <w:r w:rsidRPr="000D6B6F">
        <w:rPr>
          <w:rFonts w:ascii="Times New Roman" w:hAnsi="Times New Roman" w:cs="Times New Roman"/>
          <w:lang w:val="es-GT"/>
        </w:rPr>
        <w:t xml:space="preserve">se utilizó como punto de partida para identificar los diferentes incentivos de la industria alimentaria </w:t>
      </w:r>
      <w:r w:rsidR="00EA150A" w:rsidRPr="000D6B6F">
        <w:rPr>
          <w:rFonts w:ascii="Times New Roman" w:hAnsi="Times New Roman" w:cs="Times New Roman"/>
          <w:lang w:val="es-MX"/>
        </w:rPr>
        <w:t>documentados</w:t>
      </w:r>
      <w:r w:rsidRPr="000D6B6F">
        <w:rPr>
          <w:rFonts w:ascii="Times New Roman" w:hAnsi="Times New Roman" w:cs="Times New Roman"/>
          <w:lang w:val="es-GT"/>
        </w:rPr>
        <w:t xml:space="preserve"> en otros países. Siete tipos de incentivos fueron clasificados según el marco desarrollado por Mialon et al. (Mialon et al., 2016): financiamiento de campañas electorales, donaciones financieras, donaciones en especie, </w:t>
      </w:r>
      <w:r w:rsidRPr="000D6B6F">
        <w:rPr>
          <w:rFonts w:ascii="Times New Roman" w:hAnsi="Times New Roman" w:cs="Times New Roman"/>
          <w:lang w:val="es-GT"/>
        </w:rPr>
        <w:lastRenderedPageBreak/>
        <w:t>regalos, viajes, entretenimiento y otros. También se incorporaron elementos teóricos de la economista Deborah Stone sobre los incentivos como un sistema de tres partes: quién da el incentivo, quién lo recibe y el incentivo en sí</w:t>
      </w:r>
      <w:r w:rsidR="002E79F8" w:rsidRPr="000D6B6F">
        <w:rPr>
          <w:rFonts w:ascii="Times New Roman" w:hAnsi="Times New Roman" w:cs="Times New Roman"/>
          <w:lang w:val="es-MX"/>
        </w:rPr>
        <w:t xml:space="preserve"> mismo</w:t>
      </w:r>
      <w:r w:rsidRPr="000D6B6F">
        <w:rPr>
          <w:rFonts w:ascii="Times New Roman" w:hAnsi="Times New Roman" w:cs="Times New Roman"/>
          <w:lang w:val="es-GT"/>
        </w:rPr>
        <w:t xml:space="preserve"> (Stone, 2012).</w:t>
      </w:r>
    </w:p>
    <w:p w14:paraId="3C693422" w14:textId="452F6FB4" w:rsidR="00610ED9" w:rsidRDefault="00610ED9" w:rsidP="000D6B6F">
      <w:pPr>
        <w:snapToGrid w:val="0"/>
        <w:spacing w:after="0" w:line="360" w:lineRule="auto"/>
        <w:contextualSpacing/>
        <w:rPr>
          <w:rFonts w:ascii="Times New Roman" w:hAnsi="Times New Roman" w:cs="Times New Roman"/>
          <w:lang w:val="es-GT"/>
        </w:rPr>
      </w:pPr>
      <w:r w:rsidRPr="000D6B6F">
        <w:rPr>
          <w:rFonts w:ascii="Times New Roman" w:hAnsi="Times New Roman" w:cs="Times New Roman"/>
          <w:lang w:val="es-GT"/>
        </w:rPr>
        <w:t xml:space="preserve">Para este estudio, la "industria alimentaria" se refiere a las empresas dedicadas a la producción, envasado, distribución y comercialización de productos comestibles </w:t>
      </w:r>
      <w:r w:rsidR="008F615E" w:rsidRPr="000D6B6F">
        <w:rPr>
          <w:rFonts w:ascii="Times New Roman" w:hAnsi="Times New Roman" w:cs="Times New Roman"/>
          <w:lang w:val="es-GT"/>
        </w:rPr>
        <w:t>ultra procesados</w:t>
      </w:r>
      <w:r w:rsidRPr="000D6B6F">
        <w:rPr>
          <w:rFonts w:ascii="Times New Roman" w:hAnsi="Times New Roman" w:cs="Times New Roman"/>
          <w:lang w:val="es-GT"/>
        </w:rPr>
        <w:t xml:space="preserve"> y bebidas azucaradas (Sacks et al, 2013). Los "actores políticos" se refieren a personas y organizaciones en los poderes legislativo y ejecutivo de Colombia.</w:t>
      </w:r>
    </w:p>
    <w:p w14:paraId="2807A87C" w14:textId="77777777" w:rsidR="000D6B6F" w:rsidRPr="000D6B6F" w:rsidRDefault="000D6B6F" w:rsidP="000D6B6F">
      <w:pPr>
        <w:snapToGrid w:val="0"/>
        <w:spacing w:after="0" w:line="360" w:lineRule="auto"/>
        <w:contextualSpacing/>
        <w:rPr>
          <w:rFonts w:ascii="Times New Roman" w:hAnsi="Times New Roman" w:cs="Times New Roman"/>
          <w:lang w:val="es-GT"/>
        </w:rPr>
      </w:pPr>
    </w:p>
    <w:p w14:paraId="1B7729CA" w14:textId="77777777" w:rsidR="00676C56" w:rsidRPr="000D6B6F" w:rsidRDefault="00610ED9" w:rsidP="000D6B6F">
      <w:pPr>
        <w:snapToGrid w:val="0"/>
        <w:spacing w:after="0" w:line="360" w:lineRule="auto"/>
        <w:contextualSpacing/>
        <w:rPr>
          <w:rFonts w:ascii="Times New Roman" w:hAnsi="Times New Roman" w:cs="Times New Roman"/>
          <w:color w:val="0070C0"/>
          <w:sz w:val="32"/>
          <w:szCs w:val="32"/>
          <w:lang w:val="es-GT"/>
        </w:rPr>
      </w:pPr>
      <w:r w:rsidRPr="000D6B6F">
        <w:rPr>
          <w:rFonts w:ascii="Times New Roman" w:hAnsi="Times New Roman" w:cs="Times New Roman"/>
          <w:b/>
          <w:bCs/>
          <w:color w:val="0070C0"/>
          <w:sz w:val="32"/>
          <w:szCs w:val="32"/>
          <w:lang w:val="es-GT"/>
        </w:rPr>
        <w:t>Fase 1: Revisión documental – Análisis de contenido de redes sociales digitales</w:t>
      </w:r>
      <w:r w:rsidRPr="000D6B6F">
        <w:rPr>
          <w:rFonts w:ascii="Times New Roman" w:hAnsi="Times New Roman" w:cs="Times New Roman"/>
          <w:color w:val="0070C0"/>
          <w:sz w:val="32"/>
          <w:szCs w:val="32"/>
          <w:lang w:val="es-GT"/>
        </w:rPr>
        <w:t xml:space="preserve"> </w:t>
      </w:r>
    </w:p>
    <w:p w14:paraId="2B01C39C" w14:textId="06A24D2B" w:rsidR="00610ED9" w:rsidRPr="000D6B6F" w:rsidRDefault="00610ED9" w:rsidP="000D6B6F">
      <w:pPr>
        <w:snapToGrid w:val="0"/>
        <w:spacing w:after="0" w:line="360" w:lineRule="auto"/>
        <w:ind w:firstLine="720"/>
        <w:contextualSpacing/>
        <w:rPr>
          <w:rFonts w:ascii="Times New Roman" w:hAnsi="Times New Roman" w:cs="Times New Roman"/>
          <w:lang w:val="es-GT"/>
        </w:rPr>
      </w:pPr>
      <w:r w:rsidRPr="000D6B6F">
        <w:rPr>
          <w:rFonts w:ascii="Times New Roman" w:hAnsi="Times New Roman" w:cs="Times New Roman"/>
          <w:lang w:val="es-GT"/>
        </w:rPr>
        <w:t>Para la identificación y selección de actores clave y para documentar la concesión de incentivos, se llevó a cabo una revisión documental de la literatura científica y gris y un análisis de contenido de la red social digital Twitter. Se examinaron un total de dieciocho cuentas de Twitter de actores de la industria alimentaria que operan en Colombia, como Postobón Sa, Alquería, Alpina, Golden Arches Unlimited – McDonald's, Grupo Nutresa, Bavaria, Aldor Groceries, Frikaz Groceries, Grupo ÉXITO y Nestlé de Colombia, Manitoba SAS, Ramo, Coca-Cola, Unilever, Federación Nacional de Comerciantes de Colombia, Asociación Nacional de Empresarios de Colombia, Grupo Santo Domingo, Organización Ardila Lülle. Se utilizaron tuits con las palabras donate* o gift* o help* o support* o deliver* o contribute* para identificar la publicidad sobre posibles incentivos ofrecidos por la industria alimentaria.</w:t>
      </w:r>
    </w:p>
    <w:p w14:paraId="7DBA078B" w14:textId="2894D9ED" w:rsidR="00610ED9" w:rsidRPr="000D6B6F" w:rsidRDefault="00610ED9" w:rsidP="000D6B6F">
      <w:pPr>
        <w:snapToGrid w:val="0"/>
        <w:spacing w:after="0" w:line="360" w:lineRule="auto"/>
        <w:ind w:firstLine="720"/>
        <w:contextualSpacing/>
        <w:rPr>
          <w:rFonts w:ascii="Times New Roman" w:hAnsi="Times New Roman" w:cs="Times New Roman"/>
          <w:lang w:val="es-GT"/>
        </w:rPr>
      </w:pPr>
      <w:r w:rsidRPr="000D6B6F">
        <w:rPr>
          <w:rFonts w:ascii="Times New Roman" w:hAnsi="Times New Roman" w:cs="Times New Roman"/>
          <w:lang w:val="es-GT"/>
        </w:rPr>
        <w:t>Se utilizaron cinco bases de datos para buscar artículos científicos especializados en análisis político, salud pública o política</w:t>
      </w:r>
      <w:r w:rsidR="00E650CB" w:rsidRPr="000D6B6F">
        <w:rPr>
          <w:rFonts w:ascii="Times New Roman" w:hAnsi="Times New Roman" w:cs="Times New Roman"/>
          <w:lang w:val="es-MX"/>
        </w:rPr>
        <w:t>s</w:t>
      </w:r>
      <w:r w:rsidRPr="000D6B6F">
        <w:rPr>
          <w:rFonts w:ascii="Times New Roman" w:hAnsi="Times New Roman" w:cs="Times New Roman"/>
          <w:lang w:val="es-GT"/>
        </w:rPr>
        <w:t xml:space="preserve"> de salud, tanto en inglés como en español: Web of Science, PubMed, Scopus, SAGE Journals y el motor de búsqueda Google Scholar. También se recuperaron notas periodísticas, noticias e informes de dos periódicos nacionales colombianos: El Tiempo y El Espectador. También se consideraron informes y notas de organizaciones de la sociedad civil (OSC) y organizaciones no gubernamentales (ONG), como el Global Health Advocacy Incubator y el Colectivo de Abogados José Alvear Restrepo. La búsqueda se realizó en español e inglés mediante las siguientes palabras clave: conflicto de intereses, influencia, tácticas, donación, incentivo, financiamiento, cabildeo, corporación</w:t>
      </w:r>
      <w:r w:rsidR="002042BF" w:rsidRPr="000D6B6F">
        <w:rPr>
          <w:rFonts w:ascii="Times New Roman" w:hAnsi="Times New Roman" w:cs="Times New Roman"/>
          <w:lang w:val="es-MX"/>
        </w:rPr>
        <w:t xml:space="preserve"> al</w:t>
      </w:r>
      <w:r w:rsidRPr="000D6B6F">
        <w:rPr>
          <w:rFonts w:ascii="Times New Roman" w:hAnsi="Times New Roman" w:cs="Times New Roman"/>
          <w:lang w:val="es-GT"/>
        </w:rPr>
        <w:t xml:space="preserve">imentaria o industria alimentaria. También realizamos entrevistas semiestructuradas (ver la sección a continuación), y algunos </w:t>
      </w:r>
      <w:r w:rsidRPr="000D6B6F">
        <w:rPr>
          <w:rFonts w:ascii="Times New Roman" w:hAnsi="Times New Roman" w:cs="Times New Roman"/>
          <w:lang w:val="es-GT"/>
        </w:rPr>
        <w:lastRenderedPageBreak/>
        <w:t>participantes del estudio compartieron material que posteriormente fue utilizado en nuestro análisis documental.</w:t>
      </w:r>
    </w:p>
    <w:p w14:paraId="72D1F078" w14:textId="79BDFFF5" w:rsidR="000D130B" w:rsidRPr="000D6B6F" w:rsidRDefault="00610ED9" w:rsidP="000D6B6F">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lang w:val="es-GT"/>
        </w:rPr>
        <w:t>Decidimos estudiar un período relativamente largo para nuestro análisis documental, entre el 1 de enero de 2018 y el 31 de diciembre de 2020, dado que se llevaron a cabo varios procesos políticos: campañas electorales, elecciones presidenciales y el proceso de debate y aprobación de un nuevo sistema de etiquetado frontal basado en advertencias. La actividad política corporativa de la industria alimentaria no ocurre solo durante un evento específico ni está sujeta a períodos de tiempo específicos (por ejemplo, durante el desarrollo de políticas específicas que podrían amenazar las actividades de la industria), sino que se utiliza para influir en las políticas de salud pública tanto a corto como a largo plazo (Mialon et al, 2020).</w:t>
      </w:r>
    </w:p>
    <w:p w14:paraId="41D661CF" w14:textId="115E1304" w:rsidR="00027162" w:rsidRDefault="008F3731" w:rsidP="000D6B6F">
      <w:pPr>
        <w:snapToGrid w:val="0"/>
        <w:spacing w:after="0" w:line="360" w:lineRule="auto"/>
        <w:ind w:left="-284"/>
        <w:contextualSpacing/>
        <w:jc w:val="center"/>
        <w:rPr>
          <w:rFonts w:ascii="Times New Roman" w:hAnsi="Times New Roman" w:cs="Times New Roman"/>
          <w:lang w:val="es-GT" w:eastAsia="es-CO"/>
        </w:rPr>
      </w:pPr>
      <w:r w:rsidRPr="00607CB4">
        <w:rPr>
          <w:noProof/>
          <w:lang w:val="es-MX" w:eastAsia="es-MX"/>
        </w:rPr>
        <w:drawing>
          <wp:inline distT="0" distB="0" distL="0" distR="0" wp14:anchorId="2B24A35A" wp14:editId="16BD990C">
            <wp:extent cx="5943600" cy="3582670"/>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9">
                      <a:grayscl/>
                    </a:blip>
                    <a:stretch>
                      <a:fillRect/>
                    </a:stretch>
                  </pic:blipFill>
                  <pic:spPr>
                    <a:xfrm>
                      <a:off x="0" y="0"/>
                      <a:ext cx="5943600" cy="3582670"/>
                    </a:xfrm>
                    <a:prstGeom prst="rect">
                      <a:avLst/>
                    </a:prstGeom>
                  </pic:spPr>
                </pic:pic>
              </a:graphicData>
            </a:graphic>
          </wp:inline>
        </w:drawing>
      </w:r>
    </w:p>
    <w:p w14:paraId="2BFAB93B" w14:textId="77777777" w:rsidR="008F3731" w:rsidRPr="008F3731" w:rsidRDefault="008F3731" w:rsidP="008F3731">
      <w:pPr>
        <w:pStyle w:val="Descripcin"/>
        <w:keepNext/>
        <w:spacing w:line="360" w:lineRule="auto"/>
        <w:rPr>
          <w:rFonts w:ascii="Times New Roman" w:hAnsi="Times New Roman" w:cs="Times New Roman"/>
          <w:b/>
          <w:noProof/>
          <w:color w:val="auto"/>
          <w:sz w:val="24"/>
          <w:szCs w:val="24"/>
          <w:lang w:val="es-MX" w:eastAsia="es-CO"/>
        </w:rPr>
      </w:pPr>
      <w:r w:rsidRPr="008F3731">
        <w:rPr>
          <w:rFonts w:ascii="Times New Roman" w:hAnsi="Times New Roman" w:cs="Times New Roman"/>
          <w:b/>
          <w:i w:val="0"/>
          <w:color w:val="auto"/>
          <w:sz w:val="24"/>
          <w:szCs w:val="20"/>
          <w:lang w:val="es-MX"/>
        </w:rPr>
        <w:t xml:space="preserve">Figura </w:t>
      </w:r>
      <w:r w:rsidRPr="008F3731">
        <w:rPr>
          <w:rFonts w:ascii="Times New Roman" w:hAnsi="Times New Roman" w:cs="Times New Roman"/>
          <w:b/>
          <w:i w:val="0"/>
          <w:color w:val="auto"/>
          <w:sz w:val="24"/>
          <w:szCs w:val="20"/>
        </w:rPr>
        <w:fldChar w:fldCharType="begin"/>
      </w:r>
      <w:r w:rsidRPr="008F3731">
        <w:rPr>
          <w:rFonts w:ascii="Times New Roman" w:hAnsi="Times New Roman" w:cs="Times New Roman"/>
          <w:b/>
          <w:i w:val="0"/>
          <w:color w:val="auto"/>
          <w:sz w:val="24"/>
          <w:szCs w:val="20"/>
          <w:lang w:val="es-MX"/>
        </w:rPr>
        <w:instrText xml:space="preserve"> SEQ Figura \* ARABIC </w:instrText>
      </w:r>
      <w:r w:rsidRPr="008F3731">
        <w:rPr>
          <w:rFonts w:ascii="Times New Roman" w:hAnsi="Times New Roman" w:cs="Times New Roman"/>
          <w:b/>
          <w:i w:val="0"/>
          <w:color w:val="auto"/>
          <w:sz w:val="24"/>
          <w:szCs w:val="20"/>
        </w:rPr>
        <w:fldChar w:fldCharType="separate"/>
      </w:r>
      <w:r w:rsidRPr="008F3731">
        <w:rPr>
          <w:rFonts w:ascii="Times New Roman" w:hAnsi="Times New Roman" w:cs="Times New Roman"/>
          <w:b/>
          <w:i w:val="0"/>
          <w:noProof/>
          <w:color w:val="auto"/>
          <w:sz w:val="24"/>
          <w:szCs w:val="20"/>
          <w:lang w:val="es-MX"/>
        </w:rPr>
        <w:t>1</w:t>
      </w:r>
      <w:r w:rsidRPr="008F3731">
        <w:rPr>
          <w:rFonts w:ascii="Times New Roman" w:hAnsi="Times New Roman" w:cs="Times New Roman"/>
          <w:b/>
          <w:i w:val="0"/>
          <w:color w:val="auto"/>
          <w:sz w:val="24"/>
          <w:szCs w:val="20"/>
        </w:rPr>
        <w:fldChar w:fldCharType="end"/>
      </w:r>
      <w:r w:rsidRPr="008F3731">
        <w:rPr>
          <w:rFonts w:ascii="Times New Roman" w:hAnsi="Times New Roman" w:cs="Times New Roman"/>
          <w:b/>
          <w:i w:val="0"/>
          <w:color w:val="auto"/>
          <w:sz w:val="24"/>
          <w:szCs w:val="20"/>
          <w:lang w:val="es-MX"/>
        </w:rPr>
        <w:t xml:space="preserve">. </w:t>
      </w:r>
      <w:r w:rsidRPr="008F3731">
        <w:rPr>
          <w:rFonts w:ascii="Times New Roman" w:hAnsi="Times New Roman" w:cs="Times New Roman"/>
          <w:i w:val="0"/>
          <w:color w:val="auto"/>
          <w:sz w:val="24"/>
          <w:szCs w:val="20"/>
          <w:lang w:val="es-MX"/>
        </w:rPr>
        <w:t>Diagrama de flujo de la revisión documental y el análisis de Twitter.</w:t>
      </w:r>
    </w:p>
    <w:p w14:paraId="610C2EFB" w14:textId="77777777" w:rsidR="008F3731" w:rsidRPr="008F3731" w:rsidRDefault="008F3731" w:rsidP="000D6B6F">
      <w:pPr>
        <w:snapToGrid w:val="0"/>
        <w:spacing w:after="0" w:line="360" w:lineRule="auto"/>
        <w:ind w:left="-284"/>
        <w:contextualSpacing/>
        <w:jc w:val="center"/>
        <w:rPr>
          <w:rFonts w:ascii="Times New Roman" w:hAnsi="Times New Roman" w:cs="Times New Roman"/>
          <w:lang w:val="es-MX" w:eastAsia="es-CO"/>
        </w:rPr>
      </w:pPr>
    </w:p>
    <w:p w14:paraId="4E449764" w14:textId="77777777" w:rsidR="00450F79" w:rsidRPr="000D6B6F" w:rsidRDefault="00450F79" w:rsidP="000D6B6F">
      <w:pPr>
        <w:pStyle w:val="Ttulo2"/>
        <w:snapToGrid w:val="0"/>
        <w:spacing w:before="0" w:after="0" w:line="360" w:lineRule="auto"/>
        <w:contextualSpacing/>
        <w:rPr>
          <w:rFonts w:ascii="Times New Roman" w:hAnsi="Times New Roman" w:cs="Times New Roman"/>
          <w:b w:val="0"/>
          <w:bCs/>
          <w:color w:val="0070C0"/>
          <w:sz w:val="32"/>
          <w:szCs w:val="32"/>
          <w:lang w:val="es-GT"/>
        </w:rPr>
      </w:pPr>
      <w:r w:rsidRPr="000D6B6F">
        <w:rPr>
          <w:rFonts w:ascii="Times New Roman" w:hAnsi="Times New Roman" w:cs="Times New Roman"/>
          <w:color w:val="0070C0"/>
          <w:sz w:val="32"/>
          <w:szCs w:val="32"/>
          <w:lang w:val="es-GT"/>
        </w:rPr>
        <w:lastRenderedPageBreak/>
        <w:t>Fase 2: Identificación y caracterización de actores</w:t>
      </w:r>
      <w:r w:rsidRPr="000D6B6F">
        <w:rPr>
          <w:rFonts w:ascii="Times New Roman" w:hAnsi="Times New Roman" w:cs="Times New Roman"/>
          <w:b w:val="0"/>
          <w:bCs/>
          <w:color w:val="0070C0"/>
          <w:sz w:val="32"/>
          <w:szCs w:val="32"/>
          <w:lang w:val="es-GT"/>
        </w:rPr>
        <w:t xml:space="preserve"> </w:t>
      </w:r>
    </w:p>
    <w:p w14:paraId="3F9CD5ED" w14:textId="3C38E497" w:rsidR="00450F79" w:rsidRPr="000D6B6F" w:rsidRDefault="00450F79" w:rsidP="000D6B6F">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Basadas en la revisión documental y el análisis de contenido de Twitter, se estableció una lista de actores (n=121), incluyendo actores de la comunidad académica (n=8), la industria alimentaria (n=45), los medios de comunicación (n=5), organizaciones no gubernamentales (n=7) y el sector legislativo y ejecutivo del </w:t>
      </w:r>
      <w:r w:rsidR="00676C56" w:rsidRPr="000D6B6F">
        <w:rPr>
          <w:rFonts w:ascii="Times New Roman" w:hAnsi="Times New Roman" w:cs="Times New Roman"/>
          <w:b w:val="0"/>
          <w:bCs/>
          <w:lang w:val="es-GT"/>
        </w:rPr>
        <w:t>g</w:t>
      </w:r>
      <w:r w:rsidRPr="000D6B6F">
        <w:rPr>
          <w:rFonts w:ascii="Times New Roman" w:hAnsi="Times New Roman" w:cs="Times New Roman"/>
          <w:b w:val="0"/>
          <w:bCs/>
          <w:lang w:val="es-GT"/>
        </w:rPr>
        <w:t xml:space="preserve">obierno </w:t>
      </w:r>
      <w:r w:rsidR="00676C56" w:rsidRPr="000D6B6F">
        <w:rPr>
          <w:rFonts w:ascii="Times New Roman" w:hAnsi="Times New Roman" w:cs="Times New Roman"/>
          <w:b w:val="0"/>
          <w:bCs/>
          <w:lang w:val="es-GT"/>
        </w:rPr>
        <w:t>de la República de C</w:t>
      </w:r>
      <w:r w:rsidRPr="000D6B6F">
        <w:rPr>
          <w:rFonts w:ascii="Times New Roman" w:hAnsi="Times New Roman" w:cs="Times New Roman"/>
          <w:b w:val="0"/>
          <w:bCs/>
          <w:lang w:val="es-GT"/>
        </w:rPr>
        <w:t>olombia</w:t>
      </w:r>
      <w:r w:rsidR="00676C56" w:rsidRPr="000D6B6F">
        <w:rPr>
          <w:rFonts w:ascii="Times New Roman" w:hAnsi="Times New Roman" w:cs="Times New Roman"/>
          <w:b w:val="0"/>
          <w:bCs/>
          <w:lang w:val="es-GT"/>
        </w:rPr>
        <w:t xml:space="preserve"> </w:t>
      </w:r>
      <w:r w:rsidRPr="000D6B6F">
        <w:rPr>
          <w:rFonts w:ascii="Times New Roman" w:hAnsi="Times New Roman" w:cs="Times New Roman"/>
          <w:b w:val="0"/>
          <w:bCs/>
          <w:lang w:val="es-GT"/>
        </w:rPr>
        <w:t xml:space="preserve">(n=56). Todos estos actores fueron seleccionados porque han participado y tienen experiencia y/o conocimiento en los procesos políticos de Colombia. Posteriormente, se </w:t>
      </w:r>
      <w:r w:rsidR="00035577" w:rsidRPr="008F3731">
        <w:rPr>
          <w:rFonts w:ascii="Times New Roman" w:hAnsi="Times New Roman" w:cs="Times New Roman"/>
          <w:b w:val="0"/>
          <w:bCs/>
          <w:lang w:val="es-MX"/>
        </w:rPr>
        <w:t>realizó</w:t>
      </w:r>
      <w:r w:rsidRPr="000D6B6F">
        <w:rPr>
          <w:rFonts w:ascii="Times New Roman" w:hAnsi="Times New Roman" w:cs="Times New Roman"/>
          <w:b w:val="0"/>
          <w:bCs/>
          <w:lang w:val="es-GT"/>
        </w:rPr>
        <w:t xml:space="preserve"> análisis uno a uno y </w:t>
      </w:r>
      <w:r w:rsidR="00976FFB" w:rsidRPr="008F3731">
        <w:rPr>
          <w:rFonts w:ascii="Times New Roman" w:hAnsi="Times New Roman" w:cs="Times New Roman"/>
          <w:b w:val="0"/>
          <w:bCs/>
          <w:lang w:val="es-MX"/>
        </w:rPr>
        <w:t>de tipo</w:t>
      </w:r>
      <w:r w:rsidRPr="000D6B6F">
        <w:rPr>
          <w:rFonts w:ascii="Times New Roman" w:hAnsi="Times New Roman" w:cs="Times New Roman"/>
          <w:b w:val="0"/>
          <w:bCs/>
          <w:lang w:val="es-GT"/>
        </w:rPr>
        <w:t xml:space="preserve"> c</w:t>
      </w:r>
      <w:proofErr w:type="spellStart"/>
      <w:r w:rsidR="00035577" w:rsidRPr="008F3731">
        <w:rPr>
          <w:rFonts w:ascii="Times New Roman" w:hAnsi="Times New Roman" w:cs="Times New Roman"/>
          <w:b w:val="0"/>
          <w:bCs/>
          <w:lang w:val="es-MX"/>
        </w:rPr>
        <w:t>omponencial</w:t>
      </w:r>
      <w:proofErr w:type="spellEnd"/>
      <w:r w:rsidR="00035577" w:rsidRPr="008F3731">
        <w:rPr>
          <w:rFonts w:ascii="Times New Roman" w:hAnsi="Times New Roman" w:cs="Times New Roman"/>
          <w:b w:val="0"/>
          <w:bCs/>
          <w:lang w:val="es-MX"/>
        </w:rPr>
        <w:t xml:space="preserve"> de manera subsecuente </w:t>
      </w:r>
      <w:r w:rsidR="0037133B" w:rsidRPr="008F3731">
        <w:rPr>
          <w:rFonts w:ascii="Times New Roman" w:hAnsi="Times New Roman" w:cs="Times New Roman"/>
          <w:b w:val="0"/>
          <w:bCs/>
          <w:lang w:val="es-MX"/>
        </w:rPr>
        <w:t xml:space="preserve">aplicando </w:t>
      </w:r>
      <w:r w:rsidRPr="000D6B6F">
        <w:rPr>
          <w:rFonts w:ascii="Times New Roman" w:hAnsi="Times New Roman" w:cs="Times New Roman"/>
          <w:b w:val="0"/>
          <w:bCs/>
          <w:lang w:val="es-GT"/>
        </w:rPr>
        <w:t>principios del enfoque de red de políticas públicas y análisis de redes sociales para caracterizar sus cualidades esenciales, como el nombre y origen de una esfera y pertenencia a un campo o sector [ver Archivo 2].</w:t>
      </w:r>
    </w:p>
    <w:p w14:paraId="29B373D7" w14:textId="6C9D9BEA" w:rsidR="00676C56" w:rsidRPr="000D6B6F" w:rsidRDefault="00450F79" w:rsidP="000D6B6F">
      <w:pPr>
        <w:pStyle w:val="Ttulo2"/>
        <w:snapToGrid w:val="0"/>
        <w:spacing w:before="0" w:after="0" w:line="360" w:lineRule="auto"/>
        <w:contextualSpacing/>
        <w:rPr>
          <w:rFonts w:ascii="Times New Roman" w:hAnsi="Times New Roman" w:cs="Times New Roman"/>
          <w:b w:val="0"/>
          <w:bCs/>
          <w:color w:val="0070C0"/>
          <w:sz w:val="32"/>
          <w:szCs w:val="32"/>
          <w:lang w:val="es-GT"/>
        </w:rPr>
      </w:pPr>
      <w:r w:rsidRPr="000D6B6F">
        <w:rPr>
          <w:rFonts w:ascii="Times New Roman" w:hAnsi="Times New Roman" w:cs="Times New Roman"/>
          <w:color w:val="0070C0"/>
          <w:sz w:val="32"/>
          <w:szCs w:val="32"/>
          <w:lang w:val="es-GT"/>
        </w:rPr>
        <w:t>Fase 3: Entrevistas semiestructuradas</w:t>
      </w:r>
      <w:r w:rsidR="00676C56" w:rsidRPr="000D6B6F">
        <w:rPr>
          <w:rFonts w:ascii="Times New Roman" w:hAnsi="Times New Roman" w:cs="Times New Roman"/>
          <w:b w:val="0"/>
          <w:bCs/>
          <w:color w:val="0070C0"/>
          <w:sz w:val="32"/>
          <w:szCs w:val="32"/>
          <w:lang w:val="es-GT"/>
        </w:rPr>
        <w:t xml:space="preserve"> </w:t>
      </w:r>
    </w:p>
    <w:p w14:paraId="7EC7BC89" w14:textId="5FFEF321" w:rsidR="00450F79" w:rsidRPr="000D6B6F"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R</w:t>
      </w:r>
      <w:r w:rsidR="00450F79" w:rsidRPr="000D6B6F">
        <w:rPr>
          <w:rFonts w:ascii="Times New Roman" w:hAnsi="Times New Roman" w:cs="Times New Roman"/>
          <w:b w:val="0"/>
          <w:bCs/>
          <w:lang w:val="es-GT"/>
        </w:rPr>
        <w:t xml:space="preserve">ealizamos entrevistas semiestructuradas para recopilar experiencias de primera mano de aquellos más cercanos a la formulación de políticas </w:t>
      </w:r>
      <w:r w:rsidR="00C90F98" w:rsidRPr="008F3731">
        <w:rPr>
          <w:rFonts w:ascii="Times New Roman" w:hAnsi="Times New Roman" w:cs="Times New Roman"/>
          <w:b w:val="0"/>
          <w:bCs/>
          <w:lang w:val="es-MX"/>
        </w:rPr>
        <w:t xml:space="preserve">públicas </w:t>
      </w:r>
      <w:r w:rsidR="00450F79" w:rsidRPr="000D6B6F">
        <w:rPr>
          <w:rFonts w:ascii="Times New Roman" w:hAnsi="Times New Roman" w:cs="Times New Roman"/>
          <w:b w:val="0"/>
          <w:bCs/>
          <w:lang w:val="es-GT"/>
        </w:rPr>
        <w:t>de salud</w:t>
      </w:r>
      <w:r w:rsidR="00C90F98" w:rsidRPr="008F3731">
        <w:rPr>
          <w:rFonts w:ascii="Times New Roman" w:hAnsi="Times New Roman" w:cs="Times New Roman"/>
          <w:b w:val="0"/>
          <w:bCs/>
          <w:lang w:val="es-MX"/>
        </w:rPr>
        <w:t xml:space="preserve"> </w:t>
      </w:r>
      <w:r w:rsidR="00450F79" w:rsidRPr="000D6B6F">
        <w:rPr>
          <w:rFonts w:ascii="Times New Roman" w:hAnsi="Times New Roman" w:cs="Times New Roman"/>
          <w:b w:val="0"/>
          <w:bCs/>
          <w:lang w:val="es-GT"/>
        </w:rPr>
        <w:t>en Colombia. La selección de participantes (n=116) fue intencional, ya que</w:t>
      </w:r>
      <w:r w:rsidR="00EC67F1" w:rsidRPr="008F3731">
        <w:rPr>
          <w:rFonts w:ascii="Times New Roman" w:hAnsi="Times New Roman" w:cs="Times New Roman"/>
          <w:b w:val="0"/>
          <w:bCs/>
          <w:lang w:val="es-MX"/>
        </w:rPr>
        <w:t xml:space="preserve"> contactamos</w:t>
      </w:r>
      <w:r w:rsidR="00450F79" w:rsidRPr="000D6B6F">
        <w:rPr>
          <w:rFonts w:ascii="Times New Roman" w:hAnsi="Times New Roman" w:cs="Times New Roman"/>
          <w:b w:val="0"/>
          <w:bCs/>
          <w:lang w:val="es-GT"/>
        </w:rPr>
        <w:t xml:space="preserve"> a todos los actores en la fase 2, excepto a cinco con los que no </w:t>
      </w:r>
      <w:r w:rsidR="008D61EE" w:rsidRPr="008F3731">
        <w:rPr>
          <w:rFonts w:ascii="Times New Roman" w:hAnsi="Times New Roman" w:cs="Times New Roman"/>
          <w:b w:val="0"/>
          <w:bCs/>
          <w:lang w:val="es-MX"/>
        </w:rPr>
        <w:t xml:space="preserve">nos pudimos comunicar </w:t>
      </w:r>
      <w:r w:rsidR="00450F79" w:rsidRPr="000D6B6F">
        <w:rPr>
          <w:rFonts w:ascii="Times New Roman" w:hAnsi="Times New Roman" w:cs="Times New Roman"/>
          <w:b w:val="0"/>
          <w:bCs/>
          <w:lang w:val="es-GT"/>
        </w:rPr>
        <w:t xml:space="preserve">porque no encontramos su correo electrónico, cuenta de redes sociales o número de teléfono. También empleamos la técnica de muestreo </w:t>
      </w:r>
      <w:r w:rsidRPr="000D6B6F">
        <w:rPr>
          <w:rFonts w:ascii="Times New Roman" w:hAnsi="Times New Roman" w:cs="Times New Roman"/>
          <w:b w:val="0"/>
          <w:bCs/>
          <w:lang w:val="es-GT"/>
        </w:rPr>
        <w:t xml:space="preserve">en </w:t>
      </w:r>
      <w:r w:rsidR="00450F79" w:rsidRPr="000D6B6F">
        <w:rPr>
          <w:rFonts w:ascii="Times New Roman" w:hAnsi="Times New Roman" w:cs="Times New Roman"/>
          <w:b w:val="0"/>
          <w:bCs/>
          <w:lang w:val="es-GT"/>
        </w:rPr>
        <w:t>bola de nieve, invitando a los participantes a identificar otros posibles entrevistados a través de sus redes. Los 110 participantes fueron invitados por correo electrónico y LinkedIn y de los invitados, (n=17) declinaron participar</w:t>
      </w:r>
      <w:r w:rsidRPr="000D6B6F">
        <w:rPr>
          <w:rFonts w:ascii="Times New Roman" w:hAnsi="Times New Roman" w:cs="Times New Roman"/>
          <w:b w:val="0"/>
          <w:bCs/>
          <w:lang w:val="es-GT"/>
        </w:rPr>
        <w:t>. N</w:t>
      </w:r>
      <w:r w:rsidR="00450F79" w:rsidRPr="000D6B6F">
        <w:rPr>
          <w:rFonts w:ascii="Times New Roman" w:hAnsi="Times New Roman" w:cs="Times New Roman"/>
          <w:b w:val="0"/>
          <w:bCs/>
          <w:lang w:val="es-GT"/>
        </w:rPr>
        <w:t>o hubo respuesta a las invitaciones restantes (n=73). Un total de (n=20) individuos participaron en el estudio, tres de la industria alimentaria, uno del poder legislativo, tres del poder ejecutivo, cuatro de la academia, tres de la sociedad civil, dos de organizaciones no gubernamentales y cuatro de los medios de comunicación.</w:t>
      </w:r>
    </w:p>
    <w:p w14:paraId="4F98D2FF" w14:textId="7853D035" w:rsidR="00450F79" w:rsidRPr="000D6B6F" w:rsidRDefault="00450F79"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Las personas acordaron participar en el estudio </w:t>
      </w:r>
      <w:r w:rsidR="0005260A" w:rsidRPr="000D6B6F">
        <w:rPr>
          <w:rFonts w:ascii="Times New Roman" w:hAnsi="Times New Roman" w:cs="Times New Roman"/>
          <w:b w:val="0"/>
          <w:bCs/>
          <w:lang w:val="es-GT"/>
        </w:rPr>
        <w:t xml:space="preserve">de manera voluntaria; </w:t>
      </w:r>
      <w:r w:rsidRPr="000D6B6F">
        <w:rPr>
          <w:rFonts w:ascii="Times New Roman" w:hAnsi="Times New Roman" w:cs="Times New Roman"/>
          <w:b w:val="0"/>
          <w:bCs/>
          <w:lang w:val="es-GT"/>
        </w:rPr>
        <w:t xml:space="preserve">bajo condiciones de anonimato y confidencialidad. Se firmó un acuerdo ético entre el entrevistador y los participantes, quienes consintieron la grabación de audio digital y la toma de notas. El autor principal realizó las entrevistas a través de Google Meet, con una duración promedio de una hora, basándose en una guía de entrevista semiestructurada [ver Archivo 3]. Toda la información que </w:t>
      </w:r>
      <w:r w:rsidR="0005260A" w:rsidRPr="000D6B6F">
        <w:rPr>
          <w:rFonts w:ascii="Times New Roman" w:hAnsi="Times New Roman" w:cs="Times New Roman"/>
          <w:b w:val="0"/>
          <w:bCs/>
          <w:lang w:val="es-GT"/>
        </w:rPr>
        <w:t>pudiere</w:t>
      </w:r>
      <w:r w:rsidRPr="000D6B6F">
        <w:rPr>
          <w:rFonts w:ascii="Times New Roman" w:hAnsi="Times New Roman" w:cs="Times New Roman"/>
          <w:b w:val="0"/>
          <w:bCs/>
          <w:lang w:val="es-GT"/>
        </w:rPr>
        <w:t xml:space="preserve"> identificar a los participantes fue eliminada de este manuscrito.</w:t>
      </w:r>
    </w:p>
    <w:p w14:paraId="34E36AF6" w14:textId="445A5B2E" w:rsidR="00450F79" w:rsidRPr="000D6B6F" w:rsidRDefault="00450F79"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lastRenderedPageBreak/>
        <w:t xml:space="preserve">Los datos obtenidos de las entrevistas semiestructuradas fueron analizados utilizando un método inductivo. A través de este proceso, </w:t>
      </w:r>
      <w:r w:rsidR="0005260A" w:rsidRPr="000D6B6F">
        <w:rPr>
          <w:rFonts w:ascii="Times New Roman" w:hAnsi="Times New Roman" w:cs="Times New Roman"/>
          <w:b w:val="0"/>
          <w:bCs/>
          <w:lang w:val="es-GT"/>
        </w:rPr>
        <w:t xml:space="preserve">se desarrollaron </w:t>
      </w:r>
      <w:r w:rsidRPr="000D6B6F">
        <w:rPr>
          <w:rFonts w:ascii="Times New Roman" w:hAnsi="Times New Roman" w:cs="Times New Roman"/>
          <w:b w:val="0"/>
          <w:bCs/>
          <w:lang w:val="es-GT"/>
        </w:rPr>
        <w:t xml:space="preserve">explicaciones basadas en las perspectivas de los participantes y el contexto real en el que se lleva a cabo el estudio, lo que permitió una exploración abierta y flexible de los </w:t>
      </w:r>
      <w:r w:rsidR="008813D3" w:rsidRPr="008F3731">
        <w:rPr>
          <w:rFonts w:ascii="Times New Roman" w:hAnsi="Times New Roman" w:cs="Times New Roman"/>
          <w:b w:val="0"/>
          <w:bCs/>
          <w:lang w:val="es-MX"/>
        </w:rPr>
        <w:t>tópicos</w:t>
      </w:r>
      <w:r w:rsidRPr="000D6B6F">
        <w:rPr>
          <w:rFonts w:ascii="Times New Roman" w:hAnsi="Times New Roman" w:cs="Times New Roman"/>
          <w:b w:val="0"/>
          <w:bCs/>
          <w:lang w:val="es-GT"/>
        </w:rPr>
        <w:t>, temas y categorías abordados y proporcionó una comprensión más profunda y rica de las experiencias de los entrevistados. Los resultados de las entrevistas fueron verificados mediante triangulación con la revisión documental y el análisis de contenido de Twitter.</w:t>
      </w:r>
    </w:p>
    <w:p w14:paraId="558E6D59" w14:textId="77777777" w:rsidR="0005260A" w:rsidRPr="00C40046" w:rsidRDefault="0005260A" w:rsidP="000D6B6F">
      <w:pPr>
        <w:pStyle w:val="Ttulo2"/>
        <w:snapToGrid w:val="0"/>
        <w:spacing w:before="0" w:after="0" w:line="360" w:lineRule="auto"/>
        <w:contextualSpacing/>
        <w:rPr>
          <w:rFonts w:ascii="Times New Roman" w:hAnsi="Times New Roman" w:cs="Times New Roman"/>
          <w:color w:val="0070C0"/>
          <w:sz w:val="32"/>
          <w:szCs w:val="32"/>
          <w:lang w:val="es-GT"/>
        </w:rPr>
      </w:pPr>
      <w:r w:rsidRPr="00C40046">
        <w:rPr>
          <w:rFonts w:ascii="Times New Roman" w:hAnsi="Times New Roman" w:cs="Times New Roman"/>
          <w:color w:val="0070C0"/>
          <w:sz w:val="32"/>
          <w:szCs w:val="32"/>
          <w:lang w:val="es-GT"/>
        </w:rPr>
        <w:t xml:space="preserve">Fase 4: Determinación del tipo y mecanismos de incentivos </w:t>
      </w:r>
    </w:p>
    <w:p w14:paraId="308BA922" w14:textId="77777777" w:rsidR="0005260A" w:rsidRPr="000D6B6F"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Siguiendo la teoría de incentivos de Stone, el equipo de investigación documentó los mecanismos a través de los cuales se proporcionaron incentivos explorando: cómo se establecieron las relaciones entre la industria y los actores políticos; cómo ocurrió la concesión de incentivos; qué beneficios se tradujeron de los incentivos o cuál fue su propósito; si hubo algún riesgo de influencia debido a la recepción de estos incentivos; y cuál fue el contexto o temporalidad en la que se otorgaron los incentivos (Figura 2). Consideramos el apoyo en especie que se dirigió a sectores de la población, pero en los que los actores políticos intervinieron en su entrega. Al ser intermediarios de estas entregas, los actores políticos recibieron algún beneficio a cambio, como publicidad o información que favoreció su imagen pública. </w:t>
      </w:r>
    </w:p>
    <w:p w14:paraId="310848D2" w14:textId="4D4A3F34" w:rsidR="007207B6" w:rsidRDefault="007207B6" w:rsidP="000D6B6F">
      <w:pPr>
        <w:pStyle w:val="Ttulo2"/>
        <w:snapToGrid w:val="0"/>
        <w:spacing w:before="0" w:after="0" w:line="360" w:lineRule="auto"/>
        <w:contextualSpacing/>
        <w:rPr>
          <w:rFonts w:ascii="Times New Roman" w:hAnsi="Times New Roman" w:cs="Times New Roman"/>
          <w:color w:val="0070C0"/>
          <w:sz w:val="32"/>
          <w:szCs w:val="32"/>
          <w:lang w:val="es-GT"/>
        </w:rPr>
      </w:pPr>
      <w:r>
        <w:rPr>
          <w:noProof/>
          <w:lang w:val="es-MX" w:eastAsia="es-MX"/>
        </w:rPr>
        <w:drawing>
          <wp:inline distT="0" distB="0" distL="0" distR="0" wp14:anchorId="40AC0583" wp14:editId="25507A10">
            <wp:extent cx="5105400" cy="3438525"/>
            <wp:effectExtent l="0" t="0" r="0" b="9525"/>
            <wp:docPr id="36"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07770" cy="3440121"/>
                    </a:xfrm>
                    <a:prstGeom prst="rect">
                      <a:avLst/>
                    </a:prstGeom>
                  </pic:spPr>
                </pic:pic>
              </a:graphicData>
            </a:graphic>
          </wp:inline>
        </w:drawing>
      </w:r>
    </w:p>
    <w:p w14:paraId="34679BF6" w14:textId="06A2D970" w:rsidR="007207B6" w:rsidRPr="007207B6" w:rsidRDefault="007207B6" w:rsidP="007207B6">
      <w:pPr>
        <w:pStyle w:val="Descripcin"/>
        <w:keepNext/>
        <w:spacing w:line="360" w:lineRule="auto"/>
        <w:rPr>
          <w:rFonts w:ascii="Times New Roman" w:hAnsi="Times New Roman" w:cs="Times New Roman"/>
          <w:i w:val="0"/>
          <w:color w:val="auto"/>
          <w:sz w:val="24"/>
          <w:lang w:val="es-MX"/>
        </w:rPr>
      </w:pPr>
      <w:r w:rsidRPr="007207B6">
        <w:rPr>
          <w:rFonts w:ascii="Times New Roman" w:hAnsi="Times New Roman" w:cs="Times New Roman"/>
          <w:b/>
          <w:i w:val="0"/>
          <w:color w:val="auto"/>
          <w:sz w:val="24"/>
          <w:lang w:val="es-MX"/>
        </w:rPr>
        <w:lastRenderedPageBreak/>
        <w:t xml:space="preserve">Figura </w:t>
      </w:r>
      <w:r>
        <w:rPr>
          <w:rFonts w:ascii="Times New Roman" w:hAnsi="Times New Roman" w:cs="Times New Roman"/>
          <w:b/>
          <w:i w:val="0"/>
          <w:color w:val="auto"/>
          <w:sz w:val="24"/>
        </w:rPr>
        <w:t>2</w:t>
      </w:r>
      <w:r w:rsidRPr="007207B6">
        <w:rPr>
          <w:rFonts w:ascii="Times New Roman" w:hAnsi="Times New Roman" w:cs="Times New Roman"/>
          <w:b/>
          <w:i w:val="0"/>
          <w:color w:val="auto"/>
          <w:sz w:val="24"/>
          <w:lang w:val="es-MX"/>
        </w:rPr>
        <w:t>.</w:t>
      </w:r>
      <w:r w:rsidRPr="007207B6">
        <w:rPr>
          <w:rFonts w:ascii="Times New Roman" w:hAnsi="Times New Roman" w:cs="Times New Roman"/>
          <w:i w:val="0"/>
          <w:color w:val="auto"/>
          <w:sz w:val="24"/>
          <w:lang w:val="es-MX"/>
        </w:rPr>
        <w:t xml:space="preserve"> Tipos y mecanismos a través de los cuales se ofrecen incentivos, tal como se proponen para el presente estudio.</w:t>
      </w:r>
    </w:p>
    <w:p w14:paraId="2F8A0276" w14:textId="3F40B90F" w:rsidR="0005260A" w:rsidRPr="00C40046" w:rsidRDefault="0005260A" w:rsidP="000D6B6F">
      <w:pPr>
        <w:pStyle w:val="Ttulo2"/>
        <w:snapToGrid w:val="0"/>
        <w:spacing w:before="0" w:after="0" w:line="360" w:lineRule="auto"/>
        <w:contextualSpacing/>
        <w:rPr>
          <w:rFonts w:ascii="Times New Roman" w:hAnsi="Times New Roman" w:cs="Times New Roman"/>
          <w:color w:val="0070C0"/>
          <w:sz w:val="32"/>
          <w:szCs w:val="32"/>
          <w:lang w:val="es-GT"/>
        </w:rPr>
      </w:pPr>
      <w:r w:rsidRPr="00C40046">
        <w:rPr>
          <w:rFonts w:ascii="Times New Roman" w:hAnsi="Times New Roman" w:cs="Times New Roman"/>
          <w:color w:val="0070C0"/>
          <w:sz w:val="32"/>
          <w:szCs w:val="32"/>
          <w:lang w:val="es-GT"/>
        </w:rPr>
        <w:t>Fase 5: Mapeo de actores</w:t>
      </w:r>
    </w:p>
    <w:p w14:paraId="1BE24CAA" w14:textId="7AA8DE1F" w:rsidR="0005260A"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Una revisión de la información primaria recopilada en las entrevistas y los resultados de la revisión documental reveló que un grupo de actores (n=29) de la industria alimentaria estuvo directamente involucrado en la concesión de incentivos a los actores políticos (Figura 4). Se utilizó el </w:t>
      </w:r>
      <w:r w:rsidR="008F487C" w:rsidRPr="000D6B6F">
        <w:rPr>
          <w:rFonts w:ascii="Times New Roman" w:hAnsi="Times New Roman" w:cs="Times New Roman"/>
          <w:b w:val="0"/>
          <w:bCs/>
          <w:lang w:val="es-GT"/>
        </w:rPr>
        <w:t xml:space="preserve">paquete de </w:t>
      </w:r>
      <w:r w:rsidRPr="000D6B6F">
        <w:rPr>
          <w:rFonts w:ascii="Times New Roman" w:hAnsi="Times New Roman" w:cs="Times New Roman"/>
          <w:b w:val="0"/>
          <w:bCs/>
          <w:lang w:val="es-GT"/>
        </w:rPr>
        <w:t xml:space="preserve">software UCINET 6.0 para </w:t>
      </w:r>
      <w:r w:rsidR="008F487C" w:rsidRPr="000D6B6F">
        <w:rPr>
          <w:rFonts w:ascii="Times New Roman" w:hAnsi="Times New Roman" w:cs="Times New Roman"/>
          <w:b w:val="0"/>
          <w:bCs/>
          <w:lang w:val="es-GT"/>
        </w:rPr>
        <w:t xml:space="preserve">analizar y </w:t>
      </w:r>
      <w:r w:rsidRPr="000D6B6F">
        <w:rPr>
          <w:rFonts w:ascii="Times New Roman" w:hAnsi="Times New Roman" w:cs="Times New Roman"/>
          <w:b w:val="0"/>
          <w:bCs/>
          <w:lang w:val="es-GT"/>
        </w:rPr>
        <w:t xml:space="preserve">representar gráficamente las relaciones entre estos actores y el tipo de incentivos otorgados. Posteriormente, asignamos el poder de cada </w:t>
      </w:r>
      <w:r w:rsidR="000274E7" w:rsidRPr="008F3731">
        <w:rPr>
          <w:rFonts w:ascii="Times New Roman" w:hAnsi="Times New Roman" w:cs="Times New Roman"/>
          <w:b w:val="0"/>
          <w:bCs/>
          <w:lang w:val="es-MX"/>
        </w:rPr>
        <w:t>actor político</w:t>
      </w:r>
      <w:r w:rsidRPr="000D6B6F">
        <w:rPr>
          <w:rFonts w:ascii="Times New Roman" w:hAnsi="Times New Roman" w:cs="Times New Roman"/>
          <w:b w:val="0"/>
          <w:bCs/>
          <w:lang w:val="es-GT"/>
        </w:rPr>
        <w:t xml:space="preserve"> según el algoritmo propuesto por el software </w:t>
      </w:r>
      <w:proofErr w:type="spellStart"/>
      <w:r w:rsidRPr="000D6B6F">
        <w:rPr>
          <w:rFonts w:ascii="Times New Roman" w:hAnsi="Times New Roman" w:cs="Times New Roman"/>
          <w:b w:val="0"/>
          <w:bCs/>
          <w:lang w:val="es-GT"/>
        </w:rPr>
        <w:t>PolicyMaker</w:t>
      </w:r>
      <w:proofErr w:type="spellEnd"/>
      <w:r w:rsidRPr="000D6B6F">
        <w:rPr>
          <w:rFonts w:ascii="Times New Roman" w:hAnsi="Times New Roman" w:cs="Times New Roman"/>
          <w:b w:val="0"/>
          <w:bCs/>
          <w:lang w:val="es-GT"/>
        </w:rPr>
        <w:t xml:space="preserve"> 4.0, el cual se basa en una evaluación cualitativa de la posesión de recursos financieros, organizacionales y simbólicos (como el carisma de liderazgo o seguidores en redes sociales), así como la facilidad y acceso directo a la toma de decisiones y </w:t>
      </w:r>
      <w:r w:rsidR="008F487C" w:rsidRPr="000D6B6F">
        <w:rPr>
          <w:rFonts w:ascii="Times New Roman" w:hAnsi="Times New Roman" w:cs="Times New Roman"/>
          <w:b w:val="0"/>
          <w:bCs/>
          <w:lang w:val="es-GT"/>
        </w:rPr>
        <w:t xml:space="preserve">a </w:t>
      </w:r>
      <w:r w:rsidRPr="000D6B6F">
        <w:rPr>
          <w:rFonts w:ascii="Times New Roman" w:hAnsi="Times New Roman" w:cs="Times New Roman"/>
          <w:b w:val="0"/>
          <w:bCs/>
          <w:lang w:val="es-GT"/>
        </w:rPr>
        <w:t xml:space="preserve">los medios de comunicación. </w:t>
      </w:r>
      <w:r w:rsidR="00F175E9" w:rsidRPr="000D6B6F">
        <w:rPr>
          <w:rFonts w:ascii="Times New Roman" w:hAnsi="Times New Roman" w:cs="Times New Roman"/>
          <w:b w:val="0"/>
          <w:bCs/>
          <w:lang w:val="es-GT"/>
        </w:rPr>
        <w:t>De esta manera</w:t>
      </w:r>
      <w:r w:rsidRPr="000D6B6F">
        <w:rPr>
          <w:rFonts w:ascii="Times New Roman" w:hAnsi="Times New Roman" w:cs="Times New Roman"/>
          <w:b w:val="0"/>
          <w:bCs/>
          <w:lang w:val="es-GT"/>
        </w:rPr>
        <w:t>, cuanto mayor es el poder, mayor es la influencia</w:t>
      </w:r>
      <w:r w:rsidR="00F175E9" w:rsidRPr="000D6B6F">
        <w:rPr>
          <w:rFonts w:ascii="Times New Roman" w:hAnsi="Times New Roman" w:cs="Times New Roman"/>
          <w:b w:val="0"/>
          <w:bCs/>
          <w:lang w:val="es-GT"/>
        </w:rPr>
        <w:t xml:space="preserve"> </w:t>
      </w:r>
      <w:r w:rsidRPr="000D6B6F">
        <w:rPr>
          <w:rFonts w:ascii="Times New Roman" w:hAnsi="Times New Roman" w:cs="Times New Roman"/>
          <w:b w:val="0"/>
          <w:bCs/>
          <w:lang w:val="es-GT"/>
        </w:rPr>
        <w:t>política del actor.</w:t>
      </w:r>
    </w:p>
    <w:p w14:paraId="4A2ADB17" w14:textId="58E8E259" w:rsidR="00F175E9" w:rsidRPr="00C40046" w:rsidRDefault="0005260A" w:rsidP="000D6B6F">
      <w:pPr>
        <w:pStyle w:val="Ttulo2"/>
        <w:snapToGrid w:val="0"/>
        <w:spacing w:before="0" w:after="0" w:line="360" w:lineRule="auto"/>
        <w:contextualSpacing/>
        <w:rPr>
          <w:rFonts w:ascii="Times New Roman" w:hAnsi="Times New Roman" w:cs="Times New Roman"/>
          <w:color w:val="0070C0"/>
          <w:sz w:val="32"/>
          <w:szCs w:val="32"/>
          <w:lang w:val="es-GT"/>
        </w:rPr>
      </w:pPr>
      <w:r w:rsidRPr="00C40046">
        <w:rPr>
          <w:rFonts w:ascii="Times New Roman" w:hAnsi="Times New Roman" w:cs="Times New Roman"/>
          <w:color w:val="0070C0"/>
          <w:sz w:val="32"/>
          <w:szCs w:val="32"/>
          <w:lang w:val="es-GT"/>
        </w:rPr>
        <w:t>Fase 6:</w:t>
      </w:r>
      <w:r w:rsidR="00F175E9" w:rsidRPr="00C40046">
        <w:rPr>
          <w:rFonts w:ascii="Times New Roman" w:hAnsi="Times New Roman" w:cs="Times New Roman"/>
          <w:color w:val="0070C0"/>
          <w:sz w:val="32"/>
          <w:szCs w:val="32"/>
          <w:lang w:val="es-GT"/>
        </w:rPr>
        <w:t xml:space="preserve"> </w:t>
      </w:r>
      <w:r w:rsidRPr="00C40046">
        <w:rPr>
          <w:rFonts w:ascii="Times New Roman" w:hAnsi="Times New Roman" w:cs="Times New Roman"/>
          <w:color w:val="0070C0"/>
          <w:sz w:val="32"/>
          <w:szCs w:val="32"/>
          <w:lang w:val="es-GT"/>
        </w:rPr>
        <w:t>Informe de resultados</w:t>
      </w:r>
    </w:p>
    <w:p w14:paraId="53A3DBF7" w14:textId="2E350E25" w:rsidR="0005260A" w:rsidRPr="000D6B6F"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Se construyó una matriz en </w:t>
      </w:r>
      <w:r w:rsidR="008F487C" w:rsidRPr="000D6B6F">
        <w:rPr>
          <w:rFonts w:ascii="Times New Roman" w:hAnsi="Times New Roman" w:cs="Times New Roman"/>
          <w:b w:val="0"/>
          <w:bCs/>
          <w:lang w:val="es-GT"/>
        </w:rPr>
        <w:t xml:space="preserve">el programa Microsoft </w:t>
      </w:r>
      <w:r w:rsidRPr="000D6B6F">
        <w:rPr>
          <w:rFonts w:ascii="Times New Roman" w:hAnsi="Times New Roman" w:cs="Times New Roman"/>
          <w:b w:val="0"/>
          <w:bCs/>
          <w:lang w:val="es-GT"/>
        </w:rPr>
        <w:t>Excel</w:t>
      </w:r>
      <w:r w:rsidR="008F487C" w:rsidRPr="000D6B6F">
        <w:rPr>
          <w:rFonts w:ascii="Times New Roman" w:hAnsi="Times New Roman" w:cs="Times New Roman"/>
          <w:b w:val="0"/>
          <w:bCs/>
          <w:lang w:val="es-GT"/>
        </w:rPr>
        <w:t>,</w:t>
      </w:r>
      <w:r w:rsidRPr="000D6B6F">
        <w:rPr>
          <w:rFonts w:ascii="Times New Roman" w:hAnsi="Times New Roman" w:cs="Times New Roman"/>
          <w:b w:val="0"/>
          <w:bCs/>
          <w:lang w:val="es-GT"/>
        </w:rPr>
        <w:t xml:space="preserve"> utilizando la información recopilada de la revisión documental, el análisis de contenido de la red social X (anteriormente llamada Twitter) </w:t>
      </w:r>
      <w:r w:rsidR="008F487C" w:rsidRPr="000D6B6F">
        <w:rPr>
          <w:rFonts w:ascii="Times New Roman" w:hAnsi="Times New Roman" w:cs="Times New Roman"/>
          <w:b w:val="0"/>
          <w:bCs/>
          <w:lang w:val="es-GT"/>
        </w:rPr>
        <w:t>además de</w:t>
      </w:r>
      <w:r w:rsidRPr="000D6B6F">
        <w:rPr>
          <w:rFonts w:ascii="Times New Roman" w:hAnsi="Times New Roman" w:cs="Times New Roman"/>
          <w:b w:val="0"/>
          <w:bCs/>
          <w:lang w:val="es-GT"/>
        </w:rPr>
        <w:t xml:space="preserve"> las entrevistas</w:t>
      </w:r>
      <w:r w:rsidR="00F175E9" w:rsidRPr="000D6B6F">
        <w:rPr>
          <w:rFonts w:ascii="Times New Roman" w:hAnsi="Times New Roman" w:cs="Times New Roman"/>
          <w:b w:val="0"/>
          <w:bCs/>
          <w:lang w:val="es-GT"/>
        </w:rPr>
        <w:t xml:space="preserve">. En esta matriz </w:t>
      </w:r>
      <w:r w:rsidRPr="000D6B6F">
        <w:rPr>
          <w:rFonts w:ascii="Times New Roman" w:hAnsi="Times New Roman" w:cs="Times New Roman"/>
          <w:b w:val="0"/>
          <w:bCs/>
          <w:lang w:val="es-GT"/>
        </w:rPr>
        <w:t xml:space="preserve">determinamos quién </w:t>
      </w:r>
      <w:r w:rsidR="00F175E9" w:rsidRPr="000D6B6F">
        <w:rPr>
          <w:rFonts w:ascii="Times New Roman" w:hAnsi="Times New Roman" w:cs="Times New Roman"/>
          <w:b w:val="0"/>
          <w:bCs/>
          <w:lang w:val="es-GT"/>
        </w:rPr>
        <w:t xml:space="preserve">entregó </w:t>
      </w:r>
      <w:r w:rsidRPr="000D6B6F">
        <w:rPr>
          <w:rFonts w:ascii="Times New Roman" w:hAnsi="Times New Roman" w:cs="Times New Roman"/>
          <w:b w:val="0"/>
          <w:bCs/>
          <w:lang w:val="es-GT"/>
        </w:rPr>
        <w:t xml:space="preserve">y </w:t>
      </w:r>
      <w:r w:rsidR="00F175E9" w:rsidRPr="000D6B6F">
        <w:rPr>
          <w:rFonts w:ascii="Times New Roman" w:hAnsi="Times New Roman" w:cs="Times New Roman"/>
          <w:b w:val="0"/>
          <w:bCs/>
          <w:lang w:val="es-GT"/>
        </w:rPr>
        <w:t xml:space="preserve">quien </w:t>
      </w:r>
      <w:r w:rsidRPr="000D6B6F">
        <w:rPr>
          <w:rFonts w:ascii="Times New Roman" w:hAnsi="Times New Roman" w:cs="Times New Roman"/>
          <w:b w:val="0"/>
          <w:bCs/>
          <w:lang w:val="es-GT"/>
        </w:rPr>
        <w:t xml:space="preserve">recibió </w:t>
      </w:r>
      <w:r w:rsidR="00F175E9" w:rsidRPr="000D6B6F">
        <w:rPr>
          <w:rFonts w:ascii="Times New Roman" w:hAnsi="Times New Roman" w:cs="Times New Roman"/>
          <w:b w:val="0"/>
          <w:bCs/>
          <w:lang w:val="es-GT"/>
        </w:rPr>
        <w:t xml:space="preserve">los </w:t>
      </w:r>
      <w:r w:rsidRPr="000D6B6F">
        <w:rPr>
          <w:rFonts w:ascii="Times New Roman" w:hAnsi="Times New Roman" w:cs="Times New Roman"/>
          <w:b w:val="0"/>
          <w:bCs/>
          <w:lang w:val="es-GT"/>
        </w:rPr>
        <w:t xml:space="preserve">incentivos. </w:t>
      </w:r>
      <w:r w:rsidR="00F175E9" w:rsidRPr="000D6B6F">
        <w:rPr>
          <w:rFonts w:ascii="Times New Roman" w:hAnsi="Times New Roman" w:cs="Times New Roman"/>
          <w:b w:val="0"/>
          <w:bCs/>
          <w:lang w:val="es-GT"/>
        </w:rPr>
        <w:t>A c</w:t>
      </w:r>
      <w:r w:rsidRPr="000D6B6F">
        <w:rPr>
          <w:rFonts w:ascii="Times New Roman" w:hAnsi="Times New Roman" w:cs="Times New Roman"/>
          <w:b w:val="0"/>
          <w:bCs/>
          <w:lang w:val="es-GT"/>
        </w:rPr>
        <w:t>ada fuente de información, entrevista y tuit se asignó un código consecutivo único que comienza con la letra A [ver Archivo 4].</w:t>
      </w:r>
    </w:p>
    <w:p w14:paraId="39ACE165" w14:textId="77777777" w:rsidR="00C40046" w:rsidRDefault="00C40046" w:rsidP="000D6B6F">
      <w:pPr>
        <w:pStyle w:val="Ttulo2"/>
        <w:snapToGrid w:val="0"/>
        <w:spacing w:before="0" w:after="0" w:line="360" w:lineRule="auto"/>
        <w:contextualSpacing/>
        <w:rPr>
          <w:rFonts w:ascii="Times New Roman" w:hAnsi="Times New Roman" w:cs="Times New Roman"/>
          <w:lang w:val="es-GT"/>
        </w:rPr>
      </w:pPr>
    </w:p>
    <w:p w14:paraId="2EDA8D17" w14:textId="5A2ADEA9" w:rsidR="009752E0" w:rsidRPr="00C40046" w:rsidRDefault="0005260A" w:rsidP="000D6B6F">
      <w:pPr>
        <w:pStyle w:val="Ttulo2"/>
        <w:snapToGrid w:val="0"/>
        <w:spacing w:before="0" w:after="0" w:line="360" w:lineRule="auto"/>
        <w:contextualSpacing/>
        <w:rPr>
          <w:rFonts w:ascii="Times New Roman" w:hAnsi="Times New Roman" w:cs="Times New Roman"/>
          <w:color w:val="0070C0"/>
          <w:sz w:val="40"/>
          <w:szCs w:val="40"/>
          <w:lang w:val="es-GT"/>
        </w:rPr>
      </w:pPr>
      <w:r w:rsidRPr="00C40046">
        <w:rPr>
          <w:rFonts w:ascii="Times New Roman" w:hAnsi="Times New Roman" w:cs="Times New Roman"/>
          <w:color w:val="0070C0"/>
          <w:sz w:val="40"/>
          <w:szCs w:val="40"/>
          <w:lang w:val="es-GT"/>
        </w:rPr>
        <w:t>Resultados</w:t>
      </w:r>
    </w:p>
    <w:p w14:paraId="61AC7A98" w14:textId="5F475B0F" w:rsidR="00DD60A7" w:rsidRDefault="0005260A" w:rsidP="00DD60A7">
      <w:pPr>
        <w:pStyle w:val="Ttulo2"/>
        <w:snapToGrid w:val="0"/>
        <w:spacing w:before="0" w:after="0" w:line="360" w:lineRule="auto"/>
        <w:contextualSpacing/>
        <w:rPr>
          <w:rFonts w:ascii="Times New Roman" w:hAnsi="Times New Roman" w:cs="Times New Roman"/>
          <w:color w:val="0070C0"/>
          <w:sz w:val="32"/>
          <w:szCs w:val="32"/>
          <w:lang w:val="es-GT"/>
        </w:rPr>
      </w:pPr>
      <w:r w:rsidRPr="00C40046">
        <w:rPr>
          <w:rFonts w:ascii="Times New Roman" w:hAnsi="Times New Roman" w:cs="Times New Roman"/>
          <w:color w:val="0070C0"/>
          <w:sz w:val="32"/>
          <w:szCs w:val="32"/>
          <w:lang w:val="es-GT"/>
        </w:rPr>
        <w:t>Actores clave</w:t>
      </w:r>
    </w:p>
    <w:p w14:paraId="4F7D4429" w14:textId="3DB42028" w:rsidR="00DD60A7" w:rsidRPr="00DD60A7" w:rsidRDefault="00DD60A7" w:rsidP="00DD60A7">
      <w:pPr>
        <w:rPr>
          <w:lang w:val="es-GT"/>
        </w:rPr>
      </w:pPr>
    </w:p>
    <w:p w14:paraId="503A7423" w14:textId="47946090" w:rsidR="0005260A" w:rsidRPr="00DD60A7" w:rsidRDefault="009752E0" w:rsidP="00DD60A7">
      <w:pPr>
        <w:pStyle w:val="Ttulo2"/>
        <w:snapToGrid w:val="0"/>
        <w:spacing w:before="0" w:after="0" w:line="360" w:lineRule="auto"/>
        <w:contextualSpacing/>
        <w:rPr>
          <w:rFonts w:ascii="Times New Roman" w:hAnsi="Times New Roman" w:cs="Times New Roman"/>
          <w:color w:val="0070C0"/>
          <w:sz w:val="32"/>
          <w:szCs w:val="32"/>
          <w:lang w:val="es-GT"/>
        </w:rPr>
      </w:pPr>
      <w:r w:rsidRPr="000D6B6F">
        <w:rPr>
          <w:rFonts w:ascii="Times New Roman" w:hAnsi="Times New Roman" w:cs="Times New Roman"/>
          <w:b w:val="0"/>
          <w:bCs/>
          <w:lang w:val="es-GT"/>
        </w:rPr>
        <w:lastRenderedPageBreak/>
        <w:t>P</w:t>
      </w:r>
      <w:r w:rsidR="0005260A" w:rsidRPr="000D6B6F">
        <w:rPr>
          <w:rFonts w:ascii="Times New Roman" w:hAnsi="Times New Roman" w:cs="Times New Roman"/>
          <w:b w:val="0"/>
          <w:bCs/>
          <w:lang w:val="es-GT"/>
        </w:rPr>
        <w:t>articipantes de sectores como la academia, medios de comunicación, organizaciones de la sociedad civil y el gobierno ejecutivo identificaron a Postobón S</w:t>
      </w:r>
      <w:r w:rsidR="00AA1B14" w:rsidRPr="000D6B6F">
        <w:rPr>
          <w:rFonts w:ascii="Times New Roman" w:hAnsi="Times New Roman" w:cs="Times New Roman"/>
          <w:b w:val="0"/>
          <w:bCs/>
          <w:lang w:val="es-GT"/>
        </w:rPr>
        <w:t>.</w:t>
      </w:r>
      <w:r w:rsidR="0005260A" w:rsidRPr="000D6B6F">
        <w:rPr>
          <w:rFonts w:ascii="Times New Roman" w:hAnsi="Times New Roman" w:cs="Times New Roman"/>
          <w:b w:val="0"/>
          <w:bCs/>
          <w:lang w:val="es-GT"/>
        </w:rPr>
        <w:t>A</w:t>
      </w:r>
      <w:r w:rsidR="00AA1B14" w:rsidRPr="000D6B6F">
        <w:rPr>
          <w:rFonts w:ascii="Times New Roman" w:hAnsi="Times New Roman" w:cs="Times New Roman"/>
          <w:b w:val="0"/>
          <w:bCs/>
          <w:lang w:val="es-GT"/>
        </w:rPr>
        <w:t>.</w:t>
      </w:r>
      <w:r w:rsidR="0005260A" w:rsidRPr="000D6B6F">
        <w:rPr>
          <w:rFonts w:ascii="Times New Roman" w:hAnsi="Times New Roman" w:cs="Times New Roman"/>
          <w:b w:val="0"/>
          <w:bCs/>
          <w:lang w:val="es-GT"/>
        </w:rPr>
        <w:t xml:space="preserve"> como un actor destacado, visible y activo en la concesión de incentivos. En las entrevistas, también se distinguió a Grupo Nutresa como un actor predominante, junto con Bavaria, Coca-Cola, PepsiCo, Nestlé, Alpina y la Asociación Nacional de Empresarios de Colombia, Grupo Éxito, que incluye su fundación y cadenas de tiendas con el mismo nombre. También participaron los grupos empresariales a los que pertenecen algunas de estas empresas, como la Organización Ardila Lülle y el Grupo Santo Domingo.</w:t>
      </w:r>
    </w:p>
    <w:p w14:paraId="335B4F41" w14:textId="1F589865" w:rsidR="009752E0" w:rsidRPr="000D6B6F"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Nueve de estos actores publicaron información relacionada con la estrategia de incentivos en sus cuentas de Twitter. Los actores de la industria con el mayor número de menciones fueron Postobón S</w:t>
      </w:r>
      <w:r w:rsidR="009752E0" w:rsidRPr="000D6B6F">
        <w:rPr>
          <w:rFonts w:ascii="Times New Roman" w:hAnsi="Times New Roman" w:cs="Times New Roman"/>
          <w:b w:val="0"/>
          <w:bCs/>
          <w:lang w:val="es-GT"/>
        </w:rPr>
        <w:t>.</w:t>
      </w:r>
      <w:r w:rsidRPr="000D6B6F">
        <w:rPr>
          <w:rFonts w:ascii="Times New Roman" w:hAnsi="Times New Roman" w:cs="Times New Roman"/>
          <w:b w:val="0"/>
          <w:bCs/>
          <w:lang w:val="es-GT"/>
        </w:rPr>
        <w:t>A</w:t>
      </w:r>
      <w:r w:rsidR="009752E0" w:rsidRPr="000D6B6F">
        <w:rPr>
          <w:rFonts w:ascii="Times New Roman" w:hAnsi="Times New Roman" w:cs="Times New Roman"/>
          <w:b w:val="0"/>
          <w:bCs/>
          <w:lang w:val="es-GT"/>
        </w:rPr>
        <w:t>.</w:t>
      </w:r>
      <w:r w:rsidRPr="000D6B6F">
        <w:rPr>
          <w:rFonts w:ascii="Times New Roman" w:hAnsi="Times New Roman" w:cs="Times New Roman"/>
          <w:b w:val="0"/>
          <w:bCs/>
          <w:lang w:val="es-GT"/>
        </w:rPr>
        <w:t>, Bavaria S</w:t>
      </w:r>
      <w:r w:rsidR="009752E0" w:rsidRPr="000D6B6F">
        <w:rPr>
          <w:rFonts w:ascii="Times New Roman" w:hAnsi="Times New Roman" w:cs="Times New Roman"/>
          <w:b w:val="0"/>
          <w:bCs/>
          <w:lang w:val="es-GT"/>
        </w:rPr>
        <w:t>.</w:t>
      </w:r>
      <w:r w:rsidRPr="000D6B6F">
        <w:rPr>
          <w:rFonts w:ascii="Times New Roman" w:hAnsi="Times New Roman" w:cs="Times New Roman"/>
          <w:b w:val="0"/>
          <w:bCs/>
          <w:lang w:val="es-GT"/>
        </w:rPr>
        <w:t>A</w:t>
      </w:r>
      <w:r w:rsidR="009752E0" w:rsidRPr="000D6B6F">
        <w:rPr>
          <w:rFonts w:ascii="Times New Roman" w:hAnsi="Times New Roman" w:cs="Times New Roman"/>
          <w:b w:val="0"/>
          <w:bCs/>
          <w:lang w:val="es-GT"/>
        </w:rPr>
        <w:t>.</w:t>
      </w:r>
      <w:r w:rsidRPr="000D6B6F">
        <w:rPr>
          <w:rFonts w:ascii="Times New Roman" w:hAnsi="Times New Roman" w:cs="Times New Roman"/>
          <w:b w:val="0"/>
          <w:bCs/>
          <w:lang w:val="es-GT"/>
        </w:rPr>
        <w:t xml:space="preserve">, Grupo Nutresa, Grupo Éxito y Coca-Cola. </w:t>
      </w:r>
      <w:r w:rsidR="009752E0" w:rsidRPr="000D6B6F">
        <w:rPr>
          <w:rFonts w:ascii="Times New Roman" w:hAnsi="Times New Roman" w:cs="Times New Roman"/>
          <w:b w:val="0"/>
          <w:bCs/>
          <w:lang w:val="es-GT"/>
        </w:rPr>
        <w:t xml:space="preserve">Con excepción de </w:t>
      </w:r>
      <w:r w:rsidRPr="000D6B6F">
        <w:rPr>
          <w:rFonts w:ascii="Times New Roman" w:hAnsi="Times New Roman" w:cs="Times New Roman"/>
          <w:b w:val="0"/>
          <w:bCs/>
          <w:lang w:val="es-GT"/>
        </w:rPr>
        <w:t xml:space="preserve">esta última, las empresas con mayor participación en la concesión de incentivos </w:t>
      </w:r>
      <w:r w:rsidR="001366DE" w:rsidRPr="008F3731">
        <w:rPr>
          <w:rFonts w:ascii="Times New Roman" w:hAnsi="Times New Roman" w:cs="Times New Roman"/>
          <w:b w:val="0"/>
          <w:bCs/>
          <w:lang w:val="es-MX"/>
        </w:rPr>
        <w:t>son del</w:t>
      </w:r>
      <w:r w:rsidRPr="000D6B6F">
        <w:rPr>
          <w:rFonts w:ascii="Times New Roman" w:hAnsi="Times New Roman" w:cs="Times New Roman"/>
          <w:b w:val="0"/>
          <w:bCs/>
          <w:lang w:val="es-GT"/>
        </w:rPr>
        <w:t xml:space="preserve"> nivel nacional [ver Tabla 1]. </w:t>
      </w:r>
    </w:p>
    <w:p w14:paraId="6177B7F0" w14:textId="77777777" w:rsidR="00DD60A7" w:rsidRPr="00DD60A7" w:rsidRDefault="00DD60A7" w:rsidP="00DD60A7">
      <w:pPr>
        <w:pStyle w:val="Descripcin"/>
        <w:keepNext/>
        <w:spacing w:line="360" w:lineRule="auto"/>
        <w:jc w:val="center"/>
        <w:rPr>
          <w:rFonts w:ascii="Times New Roman" w:hAnsi="Times New Roman" w:cs="Times New Roman"/>
          <w:i w:val="0"/>
          <w:color w:val="auto"/>
          <w:sz w:val="24"/>
          <w:lang w:val="es-MX"/>
        </w:rPr>
      </w:pPr>
      <w:r w:rsidRPr="00DD60A7">
        <w:rPr>
          <w:rFonts w:ascii="Times New Roman" w:hAnsi="Times New Roman" w:cs="Times New Roman"/>
          <w:b/>
          <w:i w:val="0"/>
          <w:color w:val="auto"/>
          <w:sz w:val="24"/>
          <w:lang w:val="es-MX"/>
        </w:rPr>
        <w:t xml:space="preserve">Tabla </w:t>
      </w:r>
      <w:r w:rsidRPr="00DD60A7">
        <w:rPr>
          <w:rFonts w:ascii="Times New Roman" w:hAnsi="Times New Roman" w:cs="Times New Roman"/>
          <w:b/>
          <w:i w:val="0"/>
          <w:color w:val="auto"/>
          <w:sz w:val="24"/>
        </w:rPr>
        <w:fldChar w:fldCharType="begin"/>
      </w:r>
      <w:r w:rsidRPr="00DD60A7">
        <w:rPr>
          <w:rFonts w:ascii="Times New Roman" w:hAnsi="Times New Roman" w:cs="Times New Roman"/>
          <w:b/>
          <w:i w:val="0"/>
          <w:color w:val="auto"/>
          <w:sz w:val="24"/>
          <w:lang w:val="es-MX"/>
        </w:rPr>
        <w:instrText xml:space="preserve"> SEQ Tabla \* ARABIC </w:instrText>
      </w:r>
      <w:r w:rsidRPr="00DD60A7">
        <w:rPr>
          <w:rFonts w:ascii="Times New Roman" w:hAnsi="Times New Roman" w:cs="Times New Roman"/>
          <w:b/>
          <w:i w:val="0"/>
          <w:color w:val="auto"/>
          <w:sz w:val="24"/>
        </w:rPr>
        <w:fldChar w:fldCharType="separate"/>
      </w:r>
      <w:r w:rsidRPr="00DD60A7">
        <w:rPr>
          <w:rFonts w:ascii="Times New Roman" w:hAnsi="Times New Roman" w:cs="Times New Roman"/>
          <w:b/>
          <w:i w:val="0"/>
          <w:noProof/>
          <w:color w:val="auto"/>
          <w:sz w:val="24"/>
          <w:lang w:val="es-MX"/>
        </w:rPr>
        <w:t>1</w:t>
      </w:r>
      <w:r w:rsidRPr="00DD60A7">
        <w:rPr>
          <w:rFonts w:ascii="Times New Roman" w:hAnsi="Times New Roman" w:cs="Times New Roman"/>
          <w:b/>
          <w:i w:val="0"/>
          <w:color w:val="auto"/>
          <w:sz w:val="24"/>
        </w:rPr>
        <w:fldChar w:fldCharType="end"/>
      </w:r>
      <w:r w:rsidRPr="00DD60A7">
        <w:rPr>
          <w:rFonts w:ascii="Times New Roman" w:hAnsi="Times New Roman" w:cs="Times New Roman"/>
          <w:b/>
          <w:i w:val="0"/>
          <w:color w:val="auto"/>
          <w:sz w:val="24"/>
          <w:lang w:val="es-MX"/>
        </w:rPr>
        <w:t>.</w:t>
      </w:r>
      <w:r w:rsidRPr="00DD60A7">
        <w:rPr>
          <w:rFonts w:ascii="Times New Roman" w:hAnsi="Times New Roman" w:cs="Times New Roman"/>
          <w:i w:val="0"/>
          <w:color w:val="auto"/>
          <w:sz w:val="24"/>
          <w:lang w:val="es-MX"/>
        </w:rPr>
        <w:t xml:space="preserve"> Características de las compañías destacadas en el otorgamiento de incentivos</w:t>
      </w:r>
    </w:p>
    <w:tbl>
      <w:tblPr>
        <w:tblStyle w:val="Tabladecuadrcula4-nfasis1"/>
        <w:tblW w:w="0" w:type="auto"/>
        <w:tblLook w:val="04A0" w:firstRow="1" w:lastRow="0" w:firstColumn="1" w:lastColumn="0" w:noHBand="0" w:noVBand="1"/>
      </w:tblPr>
      <w:tblGrid>
        <w:gridCol w:w="2972"/>
        <w:gridCol w:w="2977"/>
        <w:gridCol w:w="3401"/>
      </w:tblGrid>
      <w:tr w:rsidR="00DD60A7" w:rsidRPr="00DD60A7" w14:paraId="32B03625" w14:textId="77777777" w:rsidTr="00DD60A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48D858C4" w14:textId="77777777" w:rsidR="00DD60A7" w:rsidRPr="00DD60A7" w:rsidRDefault="00DD60A7" w:rsidP="00DD60A7">
            <w:pPr>
              <w:tabs>
                <w:tab w:val="right" w:pos="2121"/>
              </w:tabs>
              <w:jc w:val="center"/>
              <w:rPr>
                <w:rFonts w:ascii="Times New Roman" w:hAnsi="Times New Roman" w:cs="Times New Roman"/>
                <w:b w:val="0"/>
                <w:sz w:val="20"/>
                <w:szCs w:val="20"/>
              </w:rPr>
            </w:pPr>
            <w:r w:rsidRPr="00DD60A7">
              <w:rPr>
                <w:rFonts w:ascii="Times New Roman" w:hAnsi="Times New Roman" w:cs="Times New Roman"/>
                <w:sz w:val="20"/>
                <w:szCs w:val="20"/>
              </w:rPr>
              <w:t>Company</w:t>
            </w:r>
          </w:p>
        </w:tc>
        <w:tc>
          <w:tcPr>
            <w:tcW w:w="2977" w:type="dxa"/>
          </w:tcPr>
          <w:p w14:paraId="2ED2243B" w14:textId="77777777" w:rsidR="00DD60A7" w:rsidRPr="00DD60A7" w:rsidRDefault="00DD60A7" w:rsidP="00DD60A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s-MX"/>
              </w:rPr>
            </w:pPr>
            <w:r w:rsidRPr="00DD60A7">
              <w:rPr>
                <w:rFonts w:ascii="Times New Roman" w:hAnsi="Times New Roman" w:cs="Times New Roman"/>
                <w:sz w:val="20"/>
                <w:szCs w:val="20"/>
                <w:lang w:val="es-MX"/>
              </w:rPr>
              <w:t>Nivel territorial de la organización</w:t>
            </w:r>
          </w:p>
        </w:tc>
        <w:tc>
          <w:tcPr>
            <w:tcW w:w="3401" w:type="dxa"/>
          </w:tcPr>
          <w:p w14:paraId="4EC4BAC8" w14:textId="77777777" w:rsidR="00DD60A7" w:rsidRPr="00DD60A7" w:rsidRDefault="00DD60A7" w:rsidP="00DD60A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DD60A7">
              <w:rPr>
                <w:rFonts w:ascii="Times New Roman" w:hAnsi="Times New Roman" w:cs="Times New Roman"/>
                <w:sz w:val="20"/>
                <w:szCs w:val="20"/>
              </w:rPr>
              <w:t>Food sector</w:t>
            </w:r>
          </w:p>
          <w:p w14:paraId="6C3E7234" w14:textId="77777777" w:rsidR="00DD60A7" w:rsidRPr="00DD60A7" w:rsidRDefault="00DD60A7" w:rsidP="00DD60A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DD60A7">
              <w:rPr>
                <w:rFonts w:ascii="Times New Roman" w:hAnsi="Times New Roman" w:cs="Times New Roman"/>
                <w:sz w:val="20"/>
                <w:szCs w:val="20"/>
              </w:rPr>
              <w:t>(food category)</w:t>
            </w:r>
          </w:p>
        </w:tc>
      </w:tr>
      <w:tr w:rsidR="00DD60A7" w:rsidRPr="00DD60A7" w14:paraId="36A466A9"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2D19E9A8"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Postobón</w:t>
            </w:r>
            <w:proofErr w:type="spellEnd"/>
            <w:r w:rsidRPr="00DD60A7">
              <w:rPr>
                <w:rFonts w:ascii="Times New Roman" w:eastAsia="Times New Roman" w:hAnsi="Times New Roman" w:cs="Times New Roman"/>
                <w:color w:val="000000"/>
                <w:sz w:val="20"/>
                <w:szCs w:val="20"/>
                <w:lang w:eastAsia="es-CO"/>
              </w:rPr>
              <w:t xml:space="preserve"> S.A.</w:t>
            </w:r>
          </w:p>
        </w:tc>
        <w:tc>
          <w:tcPr>
            <w:tcW w:w="2977" w:type="dxa"/>
          </w:tcPr>
          <w:p w14:paraId="56259F0E"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7C53D1CC"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Bebidas</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azucaradas</w:t>
            </w:r>
            <w:proofErr w:type="spellEnd"/>
          </w:p>
        </w:tc>
      </w:tr>
      <w:tr w:rsidR="00DD60A7" w:rsidRPr="00DD60A7" w14:paraId="7FBD4704"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C033C6E"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Alquería</w:t>
            </w:r>
            <w:proofErr w:type="spellEnd"/>
          </w:p>
        </w:tc>
        <w:tc>
          <w:tcPr>
            <w:tcW w:w="2977" w:type="dxa"/>
          </w:tcPr>
          <w:p w14:paraId="03323C67"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3943F93C"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Productos</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lácteos</w:t>
            </w:r>
            <w:proofErr w:type="spellEnd"/>
          </w:p>
        </w:tc>
      </w:tr>
      <w:tr w:rsidR="00DD60A7" w:rsidRPr="00DD60A7" w14:paraId="21875E48"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1B5A5B97"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Alpina</w:t>
            </w:r>
            <w:proofErr w:type="spellEnd"/>
          </w:p>
        </w:tc>
        <w:tc>
          <w:tcPr>
            <w:tcW w:w="2977" w:type="dxa"/>
          </w:tcPr>
          <w:p w14:paraId="74788280"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4E334FC0"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Productos</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lácteos</w:t>
            </w:r>
            <w:proofErr w:type="spellEnd"/>
          </w:p>
        </w:tc>
      </w:tr>
      <w:tr w:rsidR="00DD60A7" w:rsidRPr="00DD60A7" w14:paraId="426CBA8A"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6138A85A"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Arcos Dorados -McDonald’s</w:t>
            </w:r>
          </w:p>
        </w:tc>
        <w:tc>
          <w:tcPr>
            <w:tcW w:w="2977" w:type="dxa"/>
          </w:tcPr>
          <w:p w14:paraId="559F6760"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Internacional</w:t>
            </w:r>
            <w:proofErr w:type="spellEnd"/>
          </w:p>
        </w:tc>
        <w:tc>
          <w:tcPr>
            <w:tcW w:w="3401" w:type="dxa"/>
          </w:tcPr>
          <w:p w14:paraId="5F4DB02E"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rápida</w:t>
            </w:r>
            <w:proofErr w:type="spellEnd"/>
          </w:p>
        </w:tc>
      </w:tr>
      <w:tr w:rsidR="00DD60A7" w:rsidRPr="00DD60A7" w14:paraId="09F025DB"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603D1433"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Grupo</w:t>
            </w:r>
            <w:proofErr w:type="spellEnd"/>
            <w:r w:rsidRPr="00DD60A7">
              <w:rPr>
                <w:rFonts w:ascii="Times New Roman" w:eastAsia="Times New Roman" w:hAnsi="Times New Roman" w:cs="Times New Roman"/>
                <w:color w:val="000000"/>
                <w:sz w:val="20"/>
                <w:szCs w:val="20"/>
                <w:lang w:eastAsia="es-CO"/>
              </w:rPr>
              <w:t xml:space="preserve"> </w:t>
            </w:r>
            <w:proofErr w:type="spellStart"/>
            <w:r w:rsidRPr="00DD60A7">
              <w:rPr>
                <w:rFonts w:ascii="Times New Roman" w:eastAsia="Times New Roman" w:hAnsi="Times New Roman" w:cs="Times New Roman"/>
                <w:color w:val="000000"/>
                <w:sz w:val="20"/>
                <w:szCs w:val="20"/>
                <w:lang w:eastAsia="es-CO"/>
              </w:rPr>
              <w:t>Nutresa</w:t>
            </w:r>
            <w:proofErr w:type="spellEnd"/>
            <w:r w:rsidRPr="00DD60A7">
              <w:rPr>
                <w:rFonts w:ascii="Times New Roman" w:eastAsia="Times New Roman" w:hAnsi="Times New Roman" w:cs="Times New Roman"/>
                <w:color w:val="000000"/>
                <w:sz w:val="20"/>
                <w:szCs w:val="20"/>
                <w:lang w:eastAsia="es-CO"/>
              </w:rPr>
              <w:t xml:space="preserve"> S.A.</w:t>
            </w:r>
          </w:p>
        </w:tc>
        <w:tc>
          <w:tcPr>
            <w:tcW w:w="2977" w:type="dxa"/>
          </w:tcPr>
          <w:p w14:paraId="223CE117"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1493ECCD"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empaquetada</w:t>
            </w:r>
            <w:proofErr w:type="spellEnd"/>
          </w:p>
        </w:tc>
      </w:tr>
      <w:tr w:rsidR="00DD60A7" w:rsidRPr="00DD60A7" w14:paraId="63C022C0"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CE8EA92"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Bavaria</w:t>
            </w:r>
          </w:p>
        </w:tc>
        <w:tc>
          <w:tcPr>
            <w:tcW w:w="2977" w:type="dxa"/>
          </w:tcPr>
          <w:p w14:paraId="6E7BBCBA"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1C0415AC"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Bebidas</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azucaradas</w:t>
            </w:r>
            <w:proofErr w:type="spellEnd"/>
          </w:p>
        </w:tc>
      </w:tr>
      <w:tr w:rsidR="00DD60A7" w:rsidRPr="00DD60A7" w14:paraId="761AC9E8"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5D021396"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 xml:space="preserve">Comestibles </w:t>
            </w:r>
            <w:proofErr w:type="spellStart"/>
            <w:r w:rsidRPr="00DD60A7">
              <w:rPr>
                <w:rFonts w:ascii="Times New Roman" w:eastAsia="Times New Roman" w:hAnsi="Times New Roman" w:cs="Times New Roman"/>
                <w:color w:val="000000"/>
                <w:sz w:val="20"/>
                <w:szCs w:val="20"/>
                <w:lang w:eastAsia="es-CO"/>
              </w:rPr>
              <w:t>Aldor</w:t>
            </w:r>
            <w:proofErr w:type="spellEnd"/>
          </w:p>
        </w:tc>
        <w:tc>
          <w:tcPr>
            <w:tcW w:w="2977" w:type="dxa"/>
          </w:tcPr>
          <w:p w14:paraId="33B65AA7"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75C0877D"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empaquetada</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Confitería</w:t>
            </w:r>
            <w:proofErr w:type="spellEnd"/>
            <w:r w:rsidRPr="00DD60A7">
              <w:rPr>
                <w:rFonts w:ascii="Times New Roman" w:hAnsi="Times New Roman" w:cs="Times New Roman"/>
                <w:sz w:val="20"/>
                <w:szCs w:val="20"/>
              </w:rPr>
              <w:t>)</w:t>
            </w:r>
          </w:p>
        </w:tc>
      </w:tr>
      <w:tr w:rsidR="00DD60A7" w:rsidRPr="00DD60A7" w14:paraId="237E31B3"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7CC0C117"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 xml:space="preserve">Comestibles </w:t>
            </w:r>
            <w:proofErr w:type="spellStart"/>
            <w:r w:rsidRPr="00DD60A7">
              <w:rPr>
                <w:rFonts w:ascii="Times New Roman" w:eastAsia="Times New Roman" w:hAnsi="Times New Roman" w:cs="Times New Roman"/>
                <w:color w:val="000000"/>
                <w:sz w:val="20"/>
                <w:szCs w:val="20"/>
                <w:lang w:eastAsia="es-CO"/>
              </w:rPr>
              <w:t>Frikaz</w:t>
            </w:r>
            <w:proofErr w:type="spellEnd"/>
          </w:p>
        </w:tc>
        <w:tc>
          <w:tcPr>
            <w:tcW w:w="2977" w:type="dxa"/>
          </w:tcPr>
          <w:p w14:paraId="09BC7A48"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1EABD76D"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empaquetada</w:t>
            </w:r>
            <w:proofErr w:type="spellEnd"/>
          </w:p>
          <w:p w14:paraId="41743E13"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w:t>
            </w:r>
            <w:proofErr w:type="spellStart"/>
            <w:r w:rsidRPr="00DD60A7">
              <w:rPr>
                <w:rFonts w:ascii="Times New Roman" w:hAnsi="Times New Roman" w:cs="Times New Roman"/>
                <w:sz w:val="20"/>
                <w:szCs w:val="20"/>
              </w:rPr>
              <w:t>Frituras</w:t>
            </w:r>
            <w:proofErr w:type="spellEnd"/>
            <w:r w:rsidRPr="00DD60A7">
              <w:rPr>
                <w:rFonts w:ascii="Times New Roman" w:hAnsi="Times New Roman" w:cs="Times New Roman"/>
                <w:sz w:val="20"/>
                <w:szCs w:val="20"/>
              </w:rPr>
              <w:t>)</w:t>
            </w:r>
          </w:p>
        </w:tc>
      </w:tr>
      <w:tr w:rsidR="00DD60A7" w:rsidRPr="00DD60A7" w14:paraId="3AE5FF48"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3B456EDA"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Grupo</w:t>
            </w:r>
            <w:proofErr w:type="spellEnd"/>
            <w:r w:rsidRPr="00DD60A7">
              <w:rPr>
                <w:rFonts w:ascii="Times New Roman" w:eastAsia="Times New Roman" w:hAnsi="Times New Roman" w:cs="Times New Roman"/>
                <w:color w:val="000000"/>
                <w:sz w:val="20"/>
                <w:szCs w:val="20"/>
                <w:lang w:eastAsia="es-CO"/>
              </w:rPr>
              <w:t xml:space="preserve"> ÉXITO</w:t>
            </w:r>
          </w:p>
        </w:tc>
        <w:tc>
          <w:tcPr>
            <w:tcW w:w="2977" w:type="dxa"/>
          </w:tcPr>
          <w:p w14:paraId="71BA7E54"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1A8D5441"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Retail de </w:t>
            </w:r>
            <w:proofErr w:type="spellStart"/>
            <w:r w:rsidRPr="00DD60A7">
              <w:rPr>
                <w:rFonts w:ascii="Times New Roman" w:hAnsi="Times New Roman" w:cs="Times New Roman"/>
                <w:sz w:val="20"/>
                <w:szCs w:val="20"/>
              </w:rPr>
              <w:t>alimentos</w:t>
            </w:r>
            <w:proofErr w:type="spellEnd"/>
          </w:p>
        </w:tc>
      </w:tr>
      <w:tr w:rsidR="00DD60A7" w:rsidRPr="00DD60A7" w14:paraId="178011A9"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247F3371"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Nestlé de Colombia</w:t>
            </w:r>
          </w:p>
        </w:tc>
        <w:tc>
          <w:tcPr>
            <w:tcW w:w="2977" w:type="dxa"/>
          </w:tcPr>
          <w:p w14:paraId="3EE53810"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Internacional</w:t>
            </w:r>
            <w:proofErr w:type="spellEnd"/>
          </w:p>
        </w:tc>
        <w:tc>
          <w:tcPr>
            <w:tcW w:w="3401" w:type="dxa"/>
          </w:tcPr>
          <w:p w14:paraId="7AA4989F"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empaquetada</w:t>
            </w:r>
            <w:proofErr w:type="spellEnd"/>
          </w:p>
        </w:tc>
      </w:tr>
      <w:tr w:rsidR="00DD60A7" w:rsidRPr="00DD60A7" w14:paraId="721AB498"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27324AA6"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Manitoba S.A.S.</w:t>
            </w:r>
          </w:p>
        </w:tc>
        <w:tc>
          <w:tcPr>
            <w:tcW w:w="2977" w:type="dxa"/>
          </w:tcPr>
          <w:p w14:paraId="4F669C5E"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2E89A8BA"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DD60A7">
              <w:rPr>
                <w:rFonts w:ascii="Times New Roman" w:hAnsi="Times New Roman" w:cs="Times New Roman"/>
                <w:sz w:val="20"/>
                <w:szCs w:val="20"/>
                <w:lang w:val="es-MX"/>
              </w:rPr>
              <w:t>Comida empaquetada (Dulces y aperitivos salados)</w:t>
            </w:r>
          </w:p>
        </w:tc>
      </w:tr>
      <w:tr w:rsidR="00DD60A7" w:rsidRPr="00DD60A7" w14:paraId="46740236"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058F20EF" w14:textId="77777777" w:rsidR="00DD60A7" w:rsidRPr="00DD60A7" w:rsidRDefault="00DD60A7" w:rsidP="00DD60A7">
            <w:pPr>
              <w:jc w:val="center"/>
              <w:rPr>
                <w:rFonts w:ascii="Times New Roman" w:hAnsi="Times New Roman" w:cs="Times New Roman"/>
                <w:sz w:val="20"/>
                <w:szCs w:val="20"/>
              </w:rPr>
            </w:pPr>
            <w:proofErr w:type="spellStart"/>
            <w:r w:rsidRPr="00DD60A7">
              <w:rPr>
                <w:rFonts w:ascii="Times New Roman" w:eastAsia="Times New Roman" w:hAnsi="Times New Roman" w:cs="Times New Roman"/>
                <w:color w:val="000000"/>
                <w:sz w:val="20"/>
                <w:szCs w:val="20"/>
                <w:lang w:eastAsia="es-CO"/>
              </w:rPr>
              <w:t>Ramo</w:t>
            </w:r>
            <w:proofErr w:type="spellEnd"/>
          </w:p>
        </w:tc>
        <w:tc>
          <w:tcPr>
            <w:tcW w:w="2977" w:type="dxa"/>
          </w:tcPr>
          <w:p w14:paraId="5EEF3216"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196157DA"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DD60A7">
              <w:rPr>
                <w:rFonts w:ascii="Times New Roman" w:hAnsi="Times New Roman" w:cs="Times New Roman"/>
                <w:sz w:val="20"/>
                <w:szCs w:val="20"/>
                <w:lang w:val="es-MX"/>
              </w:rPr>
              <w:t>Comida empaquetada (Productos de panadería)</w:t>
            </w:r>
          </w:p>
        </w:tc>
      </w:tr>
      <w:tr w:rsidR="00DD60A7" w:rsidRPr="00DD60A7" w14:paraId="6D9A200E"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6B85BE69"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Coca-Cola</w:t>
            </w:r>
          </w:p>
        </w:tc>
        <w:tc>
          <w:tcPr>
            <w:tcW w:w="2977" w:type="dxa"/>
          </w:tcPr>
          <w:p w14:paraId="04E6B876"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Internacional</w:t>
            </w:r>
            <w:proofErr w:type="spellEnd"/>
          </w:p>
        </w:tc>
        <w:tc>
          <w:tcPr>
            <w:tcW w:w="3401" w:type="dxa"/>
          </w:tcPr>
          <w:p w14:paraId="223F3327"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Bebidas</w:t>
            </w:r>
            <w:proofErr w:type="spellEnd"/>
            <w:r w:rsidRPr="00DD60A7">
              <w:rPr>
                <w:rFonts w:ascii="Times New Roman" w:hAnsi="Times New Roman" w:cs="Times New Roman"/>
                <w:sz w:val="20"/>
                <w:szCs w:val="20"/>
              </w:rPr>
              <w:t xml:space="preserve"> </w:t>
            </w:r>
            <w:proofErr w:type="spellStart"/>
            <w:r w:rsidRPr="00DD60A7">
              <w:rPr>
                <w:rFonts w:ascii="Times New Roman" w:hAnsi="Times New Roman" w:cs="Times New Roman"/>
                <w:sz w:val="20"/>
                <w:szCs w:val="20"/>
              </w:rPr>
              <w:t>azucaradas</w:t>
            </w:r>
            <w:proofErr w:type="spellEnd"/>
          </w:p>
        </w:tc>
      </w:tr>
      <w:tr w:rsidR="00DD60A7" w:rsidRPr="00DD60A7" w14:paraId="487AEB58"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4CCC9E77" w14:textId="77777777" w:rsidR="00DD60A7" w:rsidRPr="00DD60A7" w:rsidRDefault="00DD60A7" w:rsidP="00DD60A7">
            <w:pPr>
              <w:jc w:val="center"/>
              <w:rPr>
                <w:rFonts w:ascii="Times New Roman" w:hAnsi="Times New Roman" w:cs="Times New Roman"/>
                <w:sz w:val="20"/>
                <w:szCs w:val="20"/>
              </w:rPr>
            </w:pPr>
            <w:r w:rsidRPr="00DD60A7">
              <w:rPr>
                <w:rFonts w:ascii="Times New Roman" w:eastAsia="Times New Roman" w:hAnsi="Times New Roman" w:cs="Times New Roman"/>
                <w:color w:val="000000"/>
                <w:sz w:val="20"/>
                <w:szCs w:val="20"/>
                <w:lang w:eastAsia="es-CO"/>
              </w:rPr>
              <w:t>Unilever</w:t>
            </w:r>
          </w:p>
        </w:tc>
        <w:tc>
          <w:tcPr>
            <w:tcW w:w="2977" w:type="dxa"/>
          </w:tcPr>
          <w:p w14:paraId="60E80BED"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Internacional</w:t>
            </w:r>
            <w:proofErr w:type="spellEnd"/>
          </w:p>
        </w:tc>
        <w:tc>
          <w:tcPr>
            <w:tcW w:w="3401" w:type="dxa"/>
          </w:tcPr>
          <w:p w14:paraId="411E74FD"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 xml:space="preserve">Comida </w:t>
            </w:r>
            <w:proofErr w:type="spellStart"/>
            <w:r w:rsidRPr="00DD60A7">
              <w:rPr>
                <w:rFonts w:ascii="Times New Roman" w:hAnsi="Times New Roman" w:cs="Times New Roman"/>
                <w:sz w:val="20"/>
                <w:szCs w:val="20"/>
              </w:rPr>
              <w:t>empaquetada</w:t>
            </w:r>
            <w:proofErr w:type="spellEnd"/>
          </w:p>
        </w:tc>
      </w:tr>
      <w:tr w:rsidR="00DD60A7" w:rsidRPr="00DD60A7" w14:paraId="56122429"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2EA37C37" w14:textId="77777777" w:rsidR="00DD60A7" w:rsidRPr="00DD60A7" w:rsidRDefault="00DD60A7" w:rsidP="00DD60A7">
            <w:pPr>
              <w:jc w:val="center"/>
              <w:rPr>
                <w:rFonts w:ascii="Times New Roman" w:eastAsia="Times New Roman" w:hAnsi="Times New Roman" w:cs="Times New Roman"/>
                <w:color w:val="000000"/>
                <w:sz w:val="20"/>
                <w:szCs w:val="20"/>
                <w:lang w:eastAsia="es-CO"/>
              </w:rPr>
            </w:pPr>
            <w:proofErr w:type="spellStart"/>
            <w:r w:rsidRPr="00DD60A7">
              <w:rPr>
                <w:rFonts w:ascii="Times New Roman" w:eastAsia="Times New Roman" w:hAnsi="Times New Roman" w:cs="Times New Roman"/>
                <w:color w:val="000000"/>
                <w:sz w:val="20"/>
                <w:szCs w:val="20"/>
                <w:lang w:eastAsia="es-CO"/>
              </w:rPr>
              <w:t>Federación</w:t>
            </w:r>
            <w:proofErr w:type="spellEnd"/>
            <w:r w:rsidRPr="00DD60A7">
              <w:rPr>
                <w:rFonts w:ascii="Times New Roman" w:eastAsia="Times New Roman" w:hAnsi="Times New Roman" w:cs="Times New Roman"/>
                <w:color w:val="000000"/>
                <w:sz w:val="20"/>
                <w:szCs w:val="20"/>
                <w:lang w:eastAsia="es-CO"/>
              </w:rPr>
              <w:t xml:space="preserve"> Nacional de </w:t>
            </w:r>
            <w:proofErr w:type="spellStart"/>
            <w:r w:rsidRPr="00DD60A7">
              <w:rPr>
                <w:rFonts w:ascii="Times New Roman" w:eastAsia="Times New Roman" w:hAnsi="Times New Roman" w:cs="Times New Roman"/>
                <w:color w:val="000000"/>
                <w:sz w:val="20"/>
                <w:szCs w:val="20"/>
                <w:lang w:eastAsia="es-CO"/>
              </w:rPr>
              <w:t>Comerciantes</w:t>
            </w:r>
            <w:proofErr w:type="spellEnd"/>
          </w:p>
        </w:tc>
        <w:tc>
          <w:tcPr>
            <w:tcW w:w="2977" w:type="dxa"/>
          </w:tcPr>
          <w:p w14:paraId="50E11D60"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6730CC15"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Asociación</w:t>
            </w:r>
            <w:proofErr w:type="spellEnd"/>
            <w:r w:rsidRPr="00DD60A7">
              <w:rPr>
                <w:rFonts w:ascii="Times New Roman" w:hAnsi="Times New Roman" w:cs="Times New Roman"/>
                <w:sz w:val="20"/>
                <w:szCs w:val="20"/>
              </w:rPr>
              <w:t xml:space="preserve"> gremial</w:t>
            </w:r>
          </w:p>
        </w:tc>
      </w:tr>
      <w:tr w:rsidR="00DD60A7" w:rsidRPr="00DD60A7" w14:paraId="1A0B9A79"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11020D44" w14:textId="77777777" w:rsidR="00DD60A7" w:rsidRPr="00DD60A7" w:rsidRDefault="00DD60A7" w:rsidP="00DD60A7">
            <w:pPr>
              <w:jc w:val="center"/>
              <w:rPr>
                <w:rFonts w:ascii="Times New Roman" w:eastAsia="Times New Roman" w:hAnsi="Times New Roman" w:cs="Times New Roman"/>
                <w:color w:val="000000"/>
                <w:sz w:val="20"/>
                <w:szCs w:val="20"/>
                <w:lang w:val="es-MX" w:eastAsia="es-CO"/>
              </w:rPr>
            </w:pPr>
            <w:r w:rsidRPr="00DD60A7">
              <w:rPr>
                <w:rFonts w:ascii="Times New Roman" w:eastAsia="Times New Roman" w:hAnsi="Times New Roman" w:cs="Times New Roman"/>
                <w:color w:val="000000"/>
                <w:sz w:val="20"/>
                <w:szCs w:val="20"/>
                <w:lang w:val="es-MX" w:eastAsia="es-CO"/>
              </w:rPr>
              <w:t>Asociación Nacional de Empresarios de Colombia</w:t>
            </w:r>
          </w:p>
        </w:tc>
        <w:tc>
          <w:tcPr>
            <w:tcW w:w="2977" w:type="dxa"/>
          </w:tcPr>
          <w:p w14:paraId="16C3B16A"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6C79DC76"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DD60A7">
              <w:rPr>
                <w:rFonts w:ascii="Times New Roman" w:hAnsi="Times New Roman" w:cs="Times New Roman"/>
                <w:sz w:val="20"/>
                <w:szCs w:val="20"/>
              </w:rPr>
              <w:t>Asociación</w:t>
            </w:r>
            <w:proofErr w:type="spellEnd"/>
            <w:r w:rsidRPr="00DD60A7">
              <w:rPr>
                <w:rFonts w:ascii="Times New Roman" w:hAnsi="Times New Roman" w:cs="Times New Roman"/>
                <w:sz w:val="20"/>
                <w:szCs w:val="20"/>
              </w:rPr>
              <w:t xml:space="preserve"> gremial</w:t>
            </w:r>
          </w:p>
        </w:tc>
      </w:tr>
      <w:tr w:rsidR="00DD60A7" w:rsidRPr="00DD60A7" w14:paraId="78B7BBB7" w14:textId="77777777" w:rsidTr="00DD60A7">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72" w:type="dxa"/>
          </w:tcPr>
          <w:p w14:paraId="4A31D452" w14:textId="77777777" w:rsidR="00DD60A7" w:rsidRPr="00DD60A7" w:rsidRDefault="00DD60A7" w:rsidP="00DD60A7">
            <w:pPr>
              <w:jc w:val="center"/>
              <w:rPr>
                <w:rFonts w:ascii="Times New Roman" w:eastAsia="Times New Roman" w:hAnsi="Times New Roman" w:cs="Times New Roman"/>
                <w:color w:val="000000"/>
                <w:sz w:val="20"/>
                <w:szCs w:val="20"/>
                <w:lang w:eastAsia="es-CO"/>
              </w:rPr>
            </w:pPr>
            <w:proofErr w:type="spellStart"/>
            <w:r w:rsidRPr="00DD60A7">
              <w:rPr>
                <w:rFonts w:ascii="Times New Roman" w:eastAsia="Times New Roman" w:hAnsi="Times New Roman" w:cs="Times New Roman"/>
                <w:color w:val="000000"/>
                <w:sz w:val="20"/>
                <w:szCs w:val="20"/>
                <w:lang w:eastAsia="es-CO"/>
              </w:rPr>
              <w:t>Grupo</w:t>
            </w:r>
            <w:proofErr w:type="spellEnd"/>
            <w:r w:rsidRPr="00DD60A7">
              <w:rPr>
                <w:rFonts w:ascii="Times New Roman" w:eastAsia="Times New Roman" w:hAnsi="Times New Roman" w:cs="Times New Roman"/>
                <w:color w:val="000000"/>
                <w:sz w:val="20"/>
                <w:szCs w:val="20"/>
                <w:lang w:eastAsia="es-CO"/>
              </w:rPr>
              <w:t xml:space="preserve"> Santo Domingo</w:t>
            </w:r>
          </w:p>
        </w:tc>
        <w:tc>
          <w:tcPr>
            <w:tcW w:w="2977" w:type="dxa"/>
          </w:tcPr>
          <w:p w14:paraId="74AB28C0"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65473B38" w14:textId="77777777" w:rsidR="00DD60A7" w:rsidRPr="00DD60A7" w:rsidRDefault="00DD60A7" w:rsidP="00DD60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MX"/>
              </w:rPr>
            </w:pPr>
            <w:r w:rsidRPr="00DD60A7">
              <w:rPr>
                <w:rFonts w:ascii="Times New Roman" w:hAnsi="Times New Roman" w:cs="Times New Roman"/>
                <w:sz w:val="20"/>
                <w:szCs w:val="20"/>
                <w:lang w:val="es-MX"/>
              </w:rPr>
              <w:t xml:space="preserve">Grupo económico con compañías de bebidas azucaradas y </w:t>
            </w:r>
            <w:proofErr w:type="spellStart"/>
            <w:r w:rsidRPr="00DD60A7">
              <w:rPr>
                <w:rFonts w:ascii="Times New Roman" w:hAnsi="Times New Roman" w:cs="Times New Roman"/>
                <w:sz w:val="20"/>
                <w:szCs w:val="20"/>
                <w:lang w:val="es-MX"/>
              </w:rPr>
              <w:t>retail</w:t>
            </w:r>
            <w:proofErr w:type="spellEnd"/>
            <w:r w:rsidRPr="00DD60A7">
              <w:rPr>
                <w:rFonts w:ascii="Times New Roman" w:hAnsi="Times New Roman" w:cs="Times New Roman"/>
                <w:sz w:val="20"/>
                <w:szCs w:val="20"/>
                <w:lang w:val="es-MX"/>
              </w:rPr>
              <w:t xml:space="preserve"> de alimentos</w:t>
            </w:r>
          </w:p>
        </w:tc>
      </w:tr>
      <w:tr w:rsidR="00DD60A7" w:rsidRPr="00DD60A7" w14:paraId="4039D0CE" w14:textId="77777777" w:rsidTr="00DD60A7">
        <w:trPr>
          <w:trHeight w:val="227"/>
        </w:trPr>
        <w:tc>
          <w:tcPr>
            <w:cnfStyle w:val="001000000000" w:firstRow="0" w:lastRow="0" w:firstColumn="1" w:lastColumn="0" w:oddVBand="0" w:evenVBand="0" w:oddHBand="0" w:evenHBand="0" w:firstRowFirstColumn="0" w:firstRowLastColumn="0" w:lastRowFirstColumn="0" w:lastRowLastColumn="0"/>
            <w:tcW w:w="2972" w:type="dxa"/>
          </w:tcPr>
          <w:p w14:paraId="3BA95CA8" w14:textId="77777777" w:rsidR="00DD60A7" w:rsidRPr="00DD60A7" w:rsidRDefault="00DD60A7" w:rsidP="00DD60A7">
            <w:pPr>
              <w:jc w:val="center"/>
              <w:rPr>
                <w:rFonts w:ascii="Times New Roman" w:eastAsia="Times New Roman" w:hAnsi="Times New Roman" w:cs="Times New Roman"/>
                <w:color w:val="000000"/>
                <w:sz w:val="20"/>
                <w:szCs w:val="20"/>
                <w:lang w:eastAsia="es-CO"/>
              </w:rPr>
            </w:pPr>
            <w:proofErr w:type="spellStart"/>
            <w:r w:rsidRPr="00DD60A7">
              <w:rPr>
                <w:rFonts w:ascii="Times New Roman" w:eastAsia="Times New Roman" w:hAnsi="Times New Roman" w:cs="Times New Roman"/>
                <w:color w:val="000000"/>
                <w:sz w:val="20"/>
                <w:szCs w:val="20"/>
                <w:lang w:eastAsia="es-CO"/>
              </w:rPr>
              <w:t>Organización</w:t>
            </w:r>
            <w:proofErr w:type="spellEnd"/>
            <w:r w:rsidRPr="00DD60A7">
              <w:rPr>
                <w:rFonts w:ascii="Times New Roman" w:eastAsia="Times New Roman" w:hAnsi="Times New Roman" w:cs="Times New Roman"/>
                <w:color w:val="000000"/>
                <w:sz w:val="20"/>
                <w:szCs w:val="20"/>
                <w:lang w:eastAsia="es-CO"/>
              </w:rPr>
              <w:t xml:space="preserve"> </w:t>
            </w:r>
            <w:proofErr w:type="spellStart"/>
            <w:r w:rsidRPr="00DD60A7">
              <w:rPr>
                <w:rFonts w:ascii="Times New Roman" w:eastAsia="Times New Roman" w:hAnsi="Times New Roman" w:cs="Times New Roman"/>
                <w:color w:val="000000"/>
                <w:sz w:val="20"/>
                <w:szCs w:val="20"/>
                <w:lang w:eastAsia="es-CO"/>
              </w:rPr>
              <w:t>Ardila</w:t>
            </w:r>
            <w:proofErr w:type="spellEnd"/>
            <w:r w:rsidRPr="00DD60A7">
              <w:rPr>
                <w:rFonts w:ascii="Times New Roman" w:eastAsia="Times New Roman" w:hAnsi="Times New Roman" w:cs="Times New Roman"/>
                <w:color w:val="000000"/>
                <w:sz w:val="20"/>
                <w:szCs w:val="20"/>
                <w:lang w:eastAsia="es-CO"/>
              </w:rPr>
              <w:t xml:space="preserve"> </w:t>
            </w:r>
            <w:proofErr w:type="spellStart"/>
            <w:r w:rsidRPr="00DD60A7">
              <w:rPr>
                <w:rFonts w:ascii="Times New Roman" w:eastAsia="Times New Roman" w:hAnsi="Times New Roman" w:cs="Times New Roman"/>
                <w:color w:val="000000"/>
                <w:sz w:val="20"/>
                <w:szCs w:val="20"/>
                <w:lang w:eastAsia="es-CO"/>
              </w:rPr>
              <w:t>Lülle</w:t>
            </w:r>
            <w:proofErr w:type="spellEnd"/>
          </w:p>
        </w:tc>
        <w:tc>
          <w:tcPr>
            <w:tcW w:w="2977" w:type="dxa"/>
          </w:tcPr>
          <w:p w14:paraId="6B547890"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D60A7">
              <w:rPr>
                <w:rFonts w:ascii="Times New Roman" w:hAnsi="Times New Roman" w:cs="Times New Roman"/>
                <w:sz w:val="20"/>
                <w:szCs w:val="20"/>
              </w:rPr>
              <w:t>Nacional</w:t>
            </w:r>
          </w:p>
        </w:tc>
        <w:tc>
          <w:tcPr>
            <w:tcW w:w="3401" w:type="dxa"/>
          </w:tcPr>
          <w:p w14:paraId="22A21CDB" w14:textId="77777777" w:rsidR="00DD60A7" w:rsidRPr="00DD60A7" w:rsidRDefault="00DD60A7" w:rsidP="00DD60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MX"/>
              </w:rPr>
            </w:pPr>
            <w:r w:rsidRPr="00DD60A7">
              <w:rPr>
                <w:rFonts w:ascii="Times New Roman" w:hAnsi="Times New Roman" w:cs="Times New Roman"/>
                <w:sz w:val="20"/>
                <w:szCs w:val="20"/>
                <w:lang w:val="es-MX"/>
              </w:rPr>
              <w:t>Grupo económico con compañías de azúcar y bebidas azucaradas</w:t>
            </w:r>
          </w:p>
        </w:tc>
      </w:tr>
    </w:tbl>
    <w:p w14:paraId="52915C76" w14:textId="43007D86" w:rsidR="0005260A" w:rsidRPr="000D6B6F" w:rsidRDefault="00AA1B14"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lastRenderedPageBreak/>
        <w:t xml:space="preserve">Conforme a </w:t>
      </w:r>
      <w:r w:rsidR="0005260A" w:rsidRPr="000D6B6F">
        <w:rPr>
          <w:rFonts w:ascii="Times New Roman" w:hAnsi="Times New Roman" w:cs="Times New Roman"/>
          <w:b w:val="0"/>
          <w:bCs/>
          <w:lang w:val="es-GT"/>
        </w:rPr>
        <w:t xml:space="preserve">la información recuperada de Twitter, cinco ministerios, ocho gobernaciones y cuarenta y tres alcaldías del país han recibido </w:t>
      </w:r>
      <w:r w:rsidR="00184533" w:rsidRPr="008F3731">
        <w:rPr>
          <w:rFonts w:ascii="Times New Roman" w:hAnsi="Times New Roman" w:cs="Times New Roman"/>
          <w:b w:val="0"/>
          <w:bCs/>
          <w:lang w:val="es-MX"/>
        </w:rPr>
        <w:t>donaciones</w:t>
      </w:r>
      <w:r w:rsidR="0005260A" w:rsidRPr="000D6B6F">
        <w:rPr>
          <w:rFonts w:ascii="Times New Roman" w:hAnsi="Times New Roman" w:cs="Times New Roman"/>
          <w:b w:val="0"/>
          <w:bCs/>
          <w:lang w:val="es-GT"/>
        </w:rPr>
        <w:t xml:space="preserve"> en especie. Según la literatura, identificamos a 36 actores legislativos cuyas campañas electorales han sido financiadas por la industria alimentaria. Notablemente del poder ejecutivo, Iván Duque Márquez, expresidente de Colombia (2018-2022), declaró haber recibido $700,717,339.68 pesos colombianos</w:t>
      </w:r>
      <w:r w:rsidR="009752E0" w:rsidRPr="000D6B6F">
        <w:rPr>
          <w:rFonts w:ascii="Times New Roman" w:hAnsi="Times New Roman" w:cs="Times New Roman"/>
          <w:b w:val="0"/>
          <w:bCs/>
          <w:lang w:val="es-GT"/>
        </w:rPr>
        <w:t xml:space="preserve"> equivalente a </w:t>
      </w:r>
      <w:r w:rsidR="0005260A" w:rsidRPr="000D6B6F">
        <w:rPr>
          <w:rFonts w:ascii="Times New Roman" w:hAnsi="Times New Roman" w:cs="Times New Roman"/>
          <w:b w:val="0"/>
          <w:bCs/>
          <w:lang w:val="es-GT"/>
        </w:rPr>
        <w:t xml:space="preserve">($173,181.8 USD) de la industria de las SSB durante su campaña electoral de 2018 [A14]. Además, en su campaña al Senado en </w:t>
      </w:r>
      <w:r w:rsidR="009752E0" w:rsidRPr="000D6B6F">
        <w:rPr>
          <w:rFonts w:ascii="Times New Roman" w:hAnsi="Times New Roman" w:cs="Times New Roman"/>
          <w:b w:val="0"/>
          <w:bCs/>
          <w:lang w:val="es-GT"/>
        </w:rPr>
        <w:t xml:space="preserve">el año </w:t>
      </w:r>
      <w:r w:rsidR="0005260A" w:rsidRPr="000D6B6F">
        <w:rPr>
          <w:rFonts w:ascii="Times New Roman" w:hAnsi="Times New Roman" w:cs="Times New Roman"/>
          <w:b w:val="0"/>
          <w:bCs/>
          <w:lang w:val="es-GT"/>
        </w:rPr>
        <w:t>2014, recibió financiamiento de Grupo Nutresa y Bavaria [A16].</w:t>
      </w:r>
    </w:p>
    <w:p w14:paraId="2D950F15" w14:textId="59400FCC" w:rsidR="0005260A" w:rsidRPr="000D6B6F" w:rsidRDefault="0005260A"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Ocho de los trece partidos políticos registrados en las elecciones parlamentarias de Colombia </w:t>
      </w:r>
      <w:r w:rsidR="00AA1B14" w:rsidRPr="000D6B6F">
        <w:rPr>
          <w:rFonts w:ascii="Times New Roman" w:hAnsi="Times New Roman" w:cs="Times New Roman"/>
          <w:b w:val="0"/>
          <w:bCs/>
          <w:lang w:val="es-GT"/>
        </w:rPr>
        <w:t xml:space="preserve">en el año </w:t>
      </w:r>
      <w:r w:rsidRPr="000D6B6F">
        <w:rPr>
          <w:rFonts w:ascii="Times New Roman" w:hAnsi="Times New Roman" w:cs="Times New Roman"/>
          <w:b w:val="0"/>
          <w:bCs/>
          <w:lang w:val="es-GT"/>
        </w:rPr>
        <w:t xml:space="preserve">2018 recibieron incentivos de la industria alimentaria. Sin embargo, los entrevistados destacaron que la industria tiende a otorgar un mayor número de incentivos a los partidos políticos de derecha como el Centro Democrático, Cambio Radical y el Partido Conservador. Además, algunos miembros del Partido Alianza Verde, el Partido Polo Democrático Alternativo y un miembro del Movimiento Alternativo Indígena y Social también recibieron financiamiento de empresas de SSB durante sus campañas electorales. </w:t>
      </w:r>
      <w:r w:rsidR="00AA1B14" w:rsidRPr="000D6B6F">
        <w:rPr>
          <w:rFonts w:ascii="Times New Roman" w:hAnsi="Times New Roman" w:cs="Times New Roman"/>
          <w:b w:val="0"/>
          <w:bCs/>
          <w:lang w:val="es-GT"/>
        </w:rPr>
        <w:t xml:space="preserve">No obstante, </w:t>
      </w:r>
      <w:r w:rsidRPr="000D6B6F">
        <w:rPr>
          <w:rFonts w:ascii="Times New Roman" w:hAnsi="Times New Roman" w:cs="Times New Roman"/>
          <w:b w:val="0"/>
          <w:bCs/>
          <w:lang w:val="es-GT"/>
        </w:rPr>
        <w:t xml:space="preserve">la mayoría de los partidos políticos han recibido financiamiento </w:t>
      </w:r>
      <w:r w:rsidR="00AA1B14" w:rsidRPr="000D6B6F">
        <w:rPr>
          <w:rFonts w:ascii="Times New Roman" w:hAnsi="Times New Roman" w:cs="Times New Roman"/>
          <w:b w:val="0"/>
          <w:bCs/>
          <w:lang w:val="es-GT"/>
        </w:rPr>
        <w:t xml:space="preserve">proveniente </w:t>
      </w:r>
      <w:r w:rsidRPr="000D6B6F">
        <w:rPr>
          <w:rFonts w:ascii="Times New Roman" w:hAnsi="Times New Roman" w:cs="Times New Roman"/>
          <w:b w:val="0"/>
          <w:bCs/>
          <w:lang w:val="es-GT"/>
        </w:rPr>
        <w:t xml:space="preserve">de la industria alimentaria, generalmente </w:t>
      </w:r>
      <w:r w:rsidR="00AA1B14" w:rsidRPr="000D6B6F">
        <w:rPr>
          <w:rFonts w:ascii="Times New Roman" w:hAnsi="Times New Roman" w:cs="Times New Roman"/>
          <w:b w:val="0"/>
          <w:bCs/>
          <w:lang w:val="es-GT"/>
        </w:rPr>
        <w:t xml:space="preserve">se destina a </w:t>
      </w:r>
      <w:r w:rsidRPr="000D6B6F">
        <w:rPr>
          <w:rFonts w:ascii="Times New Roman" w:hAnsi="Times New Roman" w:cs="Times New Roman"/>
          <w:b w:val="0"/>
          <w:bCs/>
          <w:lang w:val="es-GT"/>
        </w:rPr>
        <w:t>unos pocos partidos políticos y, como señaló uno de los entrevistados,</w:t>
      </w:r>
    </w:p>
    <w:p w14:paraId="4D914D10" w14:textId="77777777" w:rsidR="00C40046" w:rsidRDefault="00B13041" w:rsidP="00C40046">
      <w:pPr>
        <w:pStyle w:val="Ttulo2"/>
        <w:snapToGrid w:val="0"/>
        <w:spacing w:before="0" w:after="0" w:line="360" w:lineRule="auto"/>
        <w:ind w:left="720"/>
        <w:contextualSpacing/>
        <w:rPr>
          <w:rFonts w:ascii="Times New Roman" w:hAnsi="Times New Roman" w:cs="Times New Roman"/>
          <w:b w:val="0"/>
          <w:bCs/>
          <w:lang w:val="es-GT"/>
        </w:rPr>
      </w:pPr>
      <w:r w:rsidRPr="000D6B6F">
        <w:rPr>
          <w:rFonts w:ascii="Times New Roman" w:hAnsi="Times New Roman" w:cs="Times New Roman"/>
          <w:b w:val="0"/>
          <w:bCs/>
          <w:i/>
          <w:iCs/>
          <w:lang w:val="es-GT"/>
        </w:rPr>
        <w:t>“[La industria financia] sectores partidistas los cuales se han declarado abiertamente como promotores de los negocios colombianos.”</w:t>
      </w:r>
      <w:r w:rsidRPr="000D6B6F">
        <w:rPr>
          <w:rFonts w:ascii="Times New Roman" w:hAnsi="Times New Roman" w:cs="Times New Roman"/>
          <w:b w:val="0"/>
          <w:bCs/>
          <w:lang w:val="es-GT"/>
        </w:rPr>
        <w:t xml:space="preserve"> [A145].</w:t>
      </w:r>
    </w:p>
    <w:p w14:paraId="0C7AF446" w14:textId="17A05E20" w:rsidR="0057073B" w:rsidRDefault="00B13041"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lastRenderedPageBreak/>
        <w:t xml:space="preserve">Al investigar cómo la industria alimentaria selecciona a quién otorga incentivos, nuestros participantes afirmaron que la industria debe tener criterios de marketing. La concesión de incentivos se concentra en escenarios en los que se están desarrollando iniciativas políticas o acciones de interés, que pueden estar a </w:t>
      </w:r>
      <w:r w:rsidR="0032592C" w:rsidRPr="008F3731">
        <w:rPr>
          <w:rFonts w:ascii="Times New Roman" w:hAnsi="Times New Roman" w:cs="Times New Roman"/>
          <w:b w:val="0"/>
          <w:bCs/>
          <w:lang w:val="es-MX"/>
        </w:rPr>
        <w:t>nivel</w:t>
      </w:r>
      <w:r w:rsidRPr="000D6B6F">
        <w:rPr>
          <w:rFonts w:ascii="Times New Roman" w:hAnsi="Times New Roman" w:cs="Times New Roman"/>
          <w:b w:val="0"/>
          <w:bCs/>
          <w:lang w:val="es-GT"/>
        </w:rPr>
        <w:t xml:space="preserve"> regional</w:t>
      </w:r>
      <w:r w:rsidR="0057073B" w:rsidRPr="000D6B6F">
        <w:rPr>
          <w:rFonts w:ascii="Times New Roman" w:hAnsi="Times New Roman" w:cs="Times New Roman"/>
          <w:b w:val="0"/>
          <w:bCs/>
          <w:lang w:val="es-GT"/>
        </w:rPr>
        <w:t>,</w:t>
      </w:r>
      <w:r w:rsidR="006C2A85" w:rsidRPr="008F3731">
        <w:rPr>
          <w:rFonts w:ascii="Times New Roman" w:hAnsi="Times New Roman" w:cs="Times New Roman"/>
          <w:b w:val="0"/>
          <w:bCs/>
          <w:lang w:val="es-MX"/>
        </w:rPr>
        <w:t xml:space="preserve"> legislativo</w:t>
      </w:r>
      <w:r w:rsidR="0057073B" w:rsidRPr="000D6B6F">
        <w:rPr>
          <w:rFonts w:ascii="Times New Roman" w:hAnsi="Times New Roman" w:cs="Times New Roman"/>
          <w:b w:val="0"/>
          <w:bCs/>
          <w:lang w:val="es-GT"/>
        </w:rPr>
        <w:t xml:space="preserve"> </w:t>
      </w:r>
      <w:r w:rsidRPr="000D6B6F">
        <w:rPr>
          <w:rFonts w:ascii="Times New Roman" w:hAnsi="Times New Roman" w:cs="Times New Roman"/>
          <w:b w:val="0"/>
          <w:bCs/>
          <w:lang w:val="es-GT"/>
        </w:rPr>
        <w:t xml:space="preserve">nacional o en una instancia que involucre al poder ejecutivo. En el Senado de la República (dividido en 14 comisiones), la industria </w:t>
      </w:r>
      <w:r w:rsidR="0057073B" w:rsidRPr="000D6B6F">
        <w:rPr>
          <w:rFonts w:ascii="Times New Roman" w:hAnsi="Times New Roman" w:cs="Times New Roman"/>
          <w:b w:val="0"/>
          <w:bCs/>
          <w:lang w:val="es-GT"/>
        </w:rPr>
        <w:t xml:space="preserve">alimentaria </w:t>
      </w:r>
      <w:r w:rsidRPr="000D6B6F">
        <w:rPr>
          <w:rFonts w:ascii="Times New Roman" w:hAnsi="Times New Roman" w:cs="Times New Roman"/>
          <w:b w:val="0"/>
          <w:bCs/>
          <w:lang w:val="es-GT"/>
        </w:rPr>
        <w:t xml:space="preserve">se centró en la Comisión 7ª (discusión de temas de salud), la Comisión 3ª (discusión de aspectos fiscales) y la Comisión 6ª (discusión de temas educativos). En ambas cámaras del Congreso </w:t>
      </w:r>
      <w:r w:rsidR="0057073B" w:rsidRPr="000D6B6F">
        <w:rPr>
          <w:rFonts w:ascii="Times New Roman" w:hAnsi="Times New Roman" w:cs="Times New Roman"/>
          <w:b w:val="0"/>
          <w:bCs/>
          <w:lang w:val="es-GT"/>
        </w:rPr>
        <w:t>de la República de Colombia</w:t>
      </w:r>
      <w:r w:rsidRPr="000D6B6F">
        <w:rPr>
          <w:rFonts w:ascii="Times New Roman" w:hAnsi="Times New Roman" w:cs="Times New Roman"/>
          <w:b w:val="0"/>
          <w:bCs/>
          <w:lang w:val="es-GT"/>
        </w:rPr>
        <w:t xml:space="preserve"> (Senado y Cámara de Representantes), identificaron a los líderes de los grupos partidistas, y una vez definid</w:t>
      </w:r>
      <w:r w:rsidR="00FA256F" w:rsidRPr="008F3731">
        <w:rPr>
          <w:rFonts w:ascii="Times New Roman" w:hAnsi="Times New Roman" w:cs="Times New Roman"/>
          <w:b w:val="0"/>
          <w:bCs/>
          <w:lang w:val="es-MX"/>
        </w:rPr>
        <w:t>os los debates</w:t>
      </w:r>
      <w:r w:rsidRPr="000D6B6F">
        <w:rPr>
          <w:rFonts w:ascii="Times New Roman" w:hAnsi="Times New Roman" w:cs="Times New Roman"/>
          <w:b w:val="0"/>
          <w:bCs/>
          <w:lang w:val="es-GT"/>
        </w:rPr>
        <w:t>, se acercaron a los ponentes de las iniciativas de alimentación y nutrición. Esta información sobre el proceso de selección se trianguló con lo que obtuvimos en nuestra revisión documental. Las corporaciones seleccionan estratégicamente a los políticos con poder legislativo directamente relacionado con sus intereses, priorizando criterios estratégicos sobre criterios ideológicos [A4]</w:t>
      </w:r>
      <w:r w:rsidR="0057073B" w:rsidRPr="000D6B6F">
        <w:rPr>
          <w:rFonts w:ascii="Times New Roman" w:hAnsi="Times New Roman" w:cs="Times New Roman"/>
          <w:b w:val="0"/>
          <w:bCs/>
          <w:lang w:val="es-GT"/>
        </w:rPr>
        <w:t>.</w:t>
      </w:r>
      <w:r w:rsidRPr="000D6B6F">
        <w:rPr>
          <w:rFonts w:ascii="Times New Roman" w:hAnsi="Times New Roman" w:cs="Times New Roman"/>
          <w:b w:val="0"/>
          <w:bCs/>
          <w:lang w:val="es-GT"/>
        </w:rPr>
        <w:t xml:space="preserve"> </w:t>
      </w:r>
      <w:r w:rsidR="0057073B" w:rsidRPr="000D6B6F">
        <w:rPr>
          <w:rFonts w:ascii="Times New Roman" w:hAnsi="Times New Roman" w:cs="Times New Roman"/>
          <w:b w:val="0"/>
          <w:bCs/>
          <w:lang w:val="es-GT"/>
        </w:rPr>
        <w:t xml:space="preserve">Además, se crearon </w:t>
      </w:r>
      <w:r w:rsidRPr="000D6B6F">
        <w:rPr>
          <w:rFonts w:ascii="Times New Roman" w:hAnsi="Times New Roman" w:cs="Times New Roman"/>
          <w:b w:val="0"/>
          <w:bCs/>
          <w:lang w:val="es-GT"/>
        </w:rPr>
        <w:t>vínculos con actores políticos influyentes o potencialmente influyentes</w:t>
      </w:r>
      <w:r w:rsidR="0057073B" w:rsidRPr="000D6B6F">
        <w:rPr>
          <w:rFonts w:ascii="Times New Roman" w:hAnsi="Times New Roman" w:cs="Times New Roman"/>
          <w:b w:val="0"/>
          <w:bCs/>
          <w:lang w:val="es-GT"/>
        </w:rPr>
        <w:t>;</w:t>
      </w:r>
      <w:r w:rsidRPr="000D6B6F">
        <w:rPr>
          <w:rFonts w:ascii="Times New Roman" w:hAnsi="Times New Roman" w:cs="Times New Roman"/>
          <w:b w:val="0"/>
          <w:bCs/>
          <w:lang w:val="es-GT"/>
        </w:rPr>
        <w:t xml:space="preserve"> financiando actores en ascenso [A1]. Los resultados mostraron que la mayoría de los actores involucrados en la concesión de incentivos tienen un alto poder, como se muestra en la Tabla 2. </w:t>
      </w:r>
    </w:p>
    <w:p w14:paraId="3734F71E" w14:textId="3755489B" w:rsidR="00C6192E" w:rsidRPr="00DD60A7" w:rsidRDefault="00DD60A7" w:rsidP="00DD60A7">
      <w:pPr>
        <w:rPr>
          <w:lang w:val="es-GT"/>
        </w:rPr>
      </w:pPr>
      <w:r w:rsidRPr="00DD60A7">
        <w:rPr>
          <w:b/>
          <w:lang w:val="es-GT"/>
        </w:rPr>
        <w:t>Tabla 2.</w:t>
      </w:r>
      <w:r w:rsidRPr="00DD60A7">
        <w:rPr>
          <w:lang w:val="es-GT"/>
        </w:rPr>
        <w:t xml:space="preserve"> Poder de los actores clave s</w:t>
      </w:r>
      <w:r w:rsidR="000D2D5A">
        <w:rPr>
          <w:lang w:val="es-GT"/>
        </w:rPr>
        <w:t>egún las variables del software</w:t>
      </w:r>
      <w:r w:rsidRPr="00DD60A7">
        <w:rPr>
          <w:lang w:val="es-GT"/>
        </w:rPr>
        <w:t xml:space="preserve"> </w:t>
      </w:r>
      <w:proofErr w:type="spellStart"/>
      <w:r w:rsidRPr="00DD60A7">
        <w:rPr>
          <w:lang w:val="es-GT"/>
        </w:rPr>
        <w:t>PolicyMaker</w:t>
      </w:r>
      <w:proofErr w:type="spellEnd"/>
      <w:r w:rsidRPr="00DD60A7">
        <w:rPr>
          <w:lang w:val="es-GT"/>
        </w:rPr>
        <w:t xml:space="preserve"> 4.0.</w:t>
      </w:r>
    </w:p>
    <w:tbl>
      <w:tblPr>
        <w:tblW w:w="11398" w:type="dxa"/>
        <w:tblInd w:w="-1139" w:type="dxa"/>
        <w:tblCellMar>
          <w:left w:w="70" w:type="dxa"/>
          <w:right w:w="70" w:type="dxa"/>
        </w:tblCellMar>
        <w:tblLook w:val="04A0" w:firstRow="1" w:lastRow="0" w:firstColumn="1" w:lastColumn="0" w:noHBand="0" w:noVBand="1"/>
      </w:tblPr>
      <w:tblGrid>
        <w:gridCol w:w="2731"/>
        <w:gridCol w:w="1476"/>
        <w:gridCol w:w="1664"/>
        <w:gridCol w:w="1535"/>
        <w:gridCol w:w="1476"/>
        <w:gridCol w:w="1476"/>
        <w:gridCol w:w="1040"/>
      </w:tblGrid>
      <w:tr w:rsidR="00DD60A7" w:rsidRPr="0014010A" w14:paraId="74EB1A72" w14:textId="77777777" w:rsidTr="003C4FA5">
        <w:trPr>
          <w:cantSplit/>
          <w:trHeight w:val="1211"/>
        </w:trPr>
        <w:tc>
          <w:tcPr>
            <w:tcW w:w="27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7E2BE6"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Name</w:t>
            </w:r>
          </w:p>
        </w:tc>
        <w:tc>
          <w:tcPr>
            <w:tcW w:w="1476"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670406"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sidRPr="0014010A">
              <w:rPr>
                <w:rFonts w:asciiTheme="majorHAnsi" w:eastAsia="Times New Roman" w:hAnsiTheme="majorHAnsi" w:cstheme="majorHAnsi"/>
                <w:b/>
                <w:szCs w:val="24"/>
                <w:lang w:eastAsia="es-MX"/>
              </w:rPr>
              <w:t>Does</w:t>
            </w:r>
            <w:r>
              <w:rPr>
                <w:rFonts w:asciiTheme="majorHAnsi" w:eastAsia="Times New Roman" w:hAnsiTheme="majorHAnsi" w:cstheme="majorHAnsi"/>
                <w:b/>
                <w:szCs w:val="24"/>
                <w:lang w:eastAsia="es-MX"/>
              </w:rPr>
              <w:t xml:space="preserve"> </w:t>
            </w:r>
            <w:r w:rsidRPr="0014010A">
              <w:rPr>
                <w:rFonts w:asciiTheme="majorHAnsi" w:eastAsia="Times New Roman" w:hAnsiTheme="majorHAnsi" w:cstheme="majorHAnsi"/>
                <w:b/>
                <w:szCs w:val="24"/>
                <w:lang w:eastAsia="es-MX"/>
              </w:rPr>
              <w:t xml:space="preserve">the </w:t>
            </w: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have substantial financial resources that can be used to influence the policy?</w:t>
            </w:r>
          </w:p>
        </w:tc>
        <w:tc>
          <w:tcPr>
            <w:tcW w:w="1664" w:type="dxa"/>
            <w:tcBorders>
              <w:top w:val="single" w:sz="4" w:space="0" w:color="auto"/>
              <w:left w:val="nil"/>
              <w:bottom w:val="single" w:sz="4" w:space="0" w:color="auto"/>
              <w:right w:val="single" w:sz="4" w:space="0" w:color="auto"/>
            </w:tcBorders>
            <w:shd w:val="clear" w:color="auto" w:fill="FFFFFF" w:themeFill="background1"/>
            <w:vAlign w:val="center"/>
            <w:hideMark/>
          </w:tcPr>
          <w:p w14:paraId="5F12427A"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sidRPr="0014010A">
              <w:rPr>
                <w:rFonts w:asciiTheme="majorHAnsi" w:eastAsia="Times New Roman" w:hAnsiTheme="majorHAnsi" w:cstheme="majorHAnsi"/>
                <w:b/>
                <w:szCs w:val="24"/>
                <w:lang w:eastAsia="es-MX"/>
              </w:rPr>
              <w:t xml:space="preserve">Does the </w:t>
            </w: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have significant organizational resources that can be used to influence the policy?</w:t>
            </w:r>
          </w:p>
        </w:tc>
        <w:tc>
          <w:tcPr>
            <w:tcW w:w="1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5A8D3C87"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sidRPr="0014010A">
              <w:rPr>
                <w:rFonts w:asciiTheme="majorHAnsi" w:eastAsia="Times New Roman" w:hAnsiTheme="majorHAnsi" w:cstheme="majorHAnsi"/>
                <w:b/>
                <w:szCs w:val="24"/>
                <w:lang w:eastAsia="es-MX"/>
              </w:rPr>
              <w:t xml:space="preserve">Does the </w:t>
            </w: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have significant symbolic resources that can be used to influence the policy?</w:t>
            </w:r>
          </w:p>
        </w:tc>
        <w:tc>
          <w:tcPr>
            <w:tcW w:w="1476"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57EAB2"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sidRPr="0014010A">
              <w:rPr>
                <w:rFonts w:asciiTheme="majorHAnsi" w:eastAsia="Times New Roman" w:hAnsiTheme="majorHAnsi" w:cstheme="majorHAnsi"/>
                <w:b/>
                <w:szCs w:val="24"/>
                <w:lang w:eastAsia="es-MX"/>
              </w:rPr>
              <w:t xml:space="preserve">Does the </w:t>
            </w: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have easy and direct access to the decision-maker on the policy?</w:t>
            </w:r>
          </w:p>
        </w:tc>
        <w:tc>
          <w:tcPr>
            <w:tcW w:w="147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2D39ED6" w14:textId="77777777" w:rsidR="00DD60A7" w:rsidRPr="0014010A" w:rsidRDefault="00DD60A7" w:rsidP="003C4FA5">
            <w:pPr>
              <w:spacing w:after="0" w:line="240" w:lineRule="auto"/>
              <w:jc w:val="center"/>
              <w:rPr>
                <w:rFonts w:asciiTheme="majorHAnsi" w:eastAsia="Times New Roman" w:hAnsiTheme="majorHAnsi" w:cstheme="majorHAnsi"/>
                <w:b/>
                <w:szCs w:val="24"/>
                <w:lang w:eastAsia="es-MX"/>
              </w:rPr>
            </w:pPr>
            <w:r w:rsidRPr="0014010A">
              <w:rPr>
                <w:rFonts w:asciiTheme="majorHAnsi" w:eastAsia="Times New Roman" w:hAnsiTheme="majorHAnsi" w:cstheme="majorHAnsi"/>
                <w:b/>
                <w:szCs w:val="24"/>
                <w:lang w:eastAsia="es-MX"/>
              </w:rPr>
              <w:t xml:space="preserve">Does the </w:t>
            </w:r>
            <w:r>
              <w:rPr>
                <w:rFonts w:asciiTheme="majorHAnsi" w:eastAsia="Times New Roman" w:hAnsiTheme="majorHAnsi" w:cstheme="majorHAnsi"/>
                <w:b/>
                <w:szCs w:val="24"/>
                <w:lang w:eastAsia="es-MX"/>
              </w:rPr>
              <w:t>actor</w:t>
            </w:r>
            <w:r w:rsidRPr="0014010A">
              <w:rPr>
                <w:rFonts w:asciiTheme="majorHAnsi" w:eastAsia="Times New Roman" w:hAnsiTheme="majorHAnsi" w:cstheme="majorHAnsi"/>
                <w:b/>
                <w:szCs w:val="24"/>
                <w:lang w:eastAsia="es-MX"/>
              </w:rPr>
              <w:t xml:space="preserve"> have easy and direct access to the mass media?</w:t>
            </w:r>
          </w:p>
        </w:tc>
        <w:tc>
          <w:tcPr>
            <w:tcW w:w="104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B812813" w14:textId="77777777" w:rsidR="00DD60A7" w:rsidRPr="0014010A" w:rsidRDefault="00DD60A7" w:rsidP="003C4FA5">
            <w:pPr>
              <w:spacing w:after="0" w:line="240" w:lineRule="auto"/>
              <w:jc w:val="center"/>
              <w:rPr>
                <w:rFonts w:asciiTheme="majorHAnsi" w:eastAsia="Times New Roman" w:hAnsiTheme="majorHAnsi" w:cstheme="majorHAnsi"/>
                <w:b/>
                <w:bCs/>
                <w:szCs w:val="24"/>
                <w:lang w:eastAsia="es-MX"/>
              </w:rPr>
            </w:pPr>
            <w:r w:rsidRPr="0014010A">
              <w:rPr>
                <w:rFonts w:asciiTheme="majorHAnsi" w:eastAsia="Times New Roman" w:hAnsiTheme="majorHAnsi" w:cstheme="majorHAnsi"/>
                <w:b/>
                <w:bCs/>
                <w:szCs w:val="24"/>
                <w:lang w:eastAsia="es-MX"/>
              </w:rPr>
              <w:t>Power</w:t>
            </w:r>
          </w:p>
        </w:tc>
      </w:tr>
      <w:tr w:rsidR="00DD60A7" w:rsidRPr="00DD60A7" w14:paraId="318BC79D" w14:textId="77777777" w:rsidTr="003C4FA5">
        <w:trPr>
          <w:trHeight w:val="269"/>
        </w:trPr>
        <w:tc>
          <w:tcPr>
            <w:tcW w:w="11398" w:type="dxa"/>
            <w:gridSpan w:val="7"/>
            <w:tcBorders>
              <w:top w:val="nil"/>
              <w:left w:val="single" w:sz="4" w:space="0" w:color="auto"/>
              <w:bottom w:val="single" w:sz="4" w:space="0" w:color="auto"/>
              <w:right w:val="single" w:sz="4" w:space="0" w:color="auto"/>
            </w:tcBorders>
            <w:shd w:val="clear" w:color="000000" w:fill="FFFFFF"/>
            <w:vAlign w:val="center"/>
          </w:tcPr>
          <w:p w14:paraId="7A628B6D" w14:textId="77777777" w:rsidR="00DD60A7" w:rsidRPr="00261BD5" w:rsidRDefault="00DD60A7" w:rsidP="003C4FA5">
            <w:pPr>
              <w:spacing w:after="0" w:line="240" w:lineRule="auto"/>
              <w:jc w:val="center"/>
              <w:rPr>
                <w:rFonts w:asciiTheme="majorHAnsi" w:eastAsia="Times New Roman" w:hAnsiTheme="majorHAnsi" w:cstheme="majorHAnsi"/>
                <w:b/>
                <w:szCs w:val="24"/>
                <w:lang w:val="es-MX" w:eastAsia="es-MX"/>
              </w:rPr>
            </w:pPr>
            <w:r w:rsidRPr="00261BD5">
              <w:rPr>
                <w:rFonts w:asciiTheme="majorHAnsi" w:eastAsia="Times New Roman" w:hAnsiTheme="majorHAnsi" w:cstheme="majorHAnsi"/>
                <w:b/>
                <w:szCs w:val="24"/>
                <w:lang w:val="es-MX" w:eastAsia="es-MX"/>
              </w:rPr>
              <w:t>Actores de la industria alimentaria</w:t>
            </w:r>
          </w:p>
        </w:tc>
      </w:tr>
      <w:tr w:rsidR="00DD60A7" w:rsidRPr="0014010A" w14:paraId="76129185"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5A75A4FB"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proofErr w:type="spellStart"/>
            <w:r w:rsidRPr="0014010A">
              <w:rPr>
                <w:rFonts w:asciiTheme="majorHAnsi" w:eastAsia="Times New Roman" w:hAnsiTheme="majorHAnsi" w:cstheme="majorHAnsi"/>
                <w:szCs w:val="24"/>
                <w:lang w:eastAsia="es-MX"/>
              </w:rPr>
              <w:t>Postobón</w:t>
            </w:r>
            <w:proofErr w:type="spellEnd"/>
            <w:r w:rsidRPr="0014010A">
              <w:rPr>
                <w:rFonts w:asciiTheme="majorHAnsi" w:eastAsia="Times New Roman" w:hAnsiTheme="majorHAnsi" w:cstheme="majorHAnsi"/>
                <w:szCs w:val="24"/>
                <w:lang w:eastAsia="es-MX"/>
              </w:rPr>
              <w:t xml:space="preserve"> S.A.</w:t>
            </w:r>
          </w:p>
        </w:tc>
        <w:tc>
          <w:tcPr>
            <w:tcW w:w="1476" w:type="dxa"/>
            <w:tcBorders>
              <w:top w:val="single" w:sz="4" w:space="0" w:color="auto"/>
              <w:left w:val="nil"/>
              <w:bottom w:val="single" w:sz="4" w:space="0" w:color="auto"/>
              <w:right w:val="single" w:sz="4" w:space="0" w:color="auto"/>
            </w:tcBorders>
            <w:shd w:val="clear" w:color="auto" w:fill="262626" w:themeFill="text1" w:themeFillTint="D9"/>
            <w:noWrap/>
            <w:vAlign w:val="center"/>
          </w:tcPr>
          <w:p w14:paraId="6E470DF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single" w:sz="4" w:space="0" w:color="auto"/>
              <w:left w:val="nil"/>
              <w:bottom w:val="single" w:sz="4" w:space="0" w:color="auto"/>
              <w:right w:val="single" w:sz="4" w:space="0" w:color="auto"/>
            </w:tcBorders>
            <w:shd w:val="clear" w:color="auto" w:fill="262626" w:themeFill="text1" w:themeFillTint="D9"/>
            <w:noWrap/>
            <w:vAlign w:val="center"/>
          </w:tcPr>
          <w:p w14:paraId="36EED1C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single" w:sz="4" w:space="0" w:color="auto"/>
              <w:left w:val="nil"/>
              <w:bottom w:val="single" w:sz="4" w:space="0" w:color="auto"/>
              <w:right w:val="single" w:sz="4" w:space="0" w:color="auto"/>
            </w:tcBorders>
            <w:shd w:val="clear" w:color="auto" w:fill="262626" w:themeFill="text1" w:themeFillTint="D9"/>
            <w:noWrap/>
            <w:vAlign w:val="center"/>
          </w:tcPr>
          <w:p w14:paraId="02F3C46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single" w:sz="4" w:space="0" w:color="auto"/>
              <w:left w:val="nil"/>
              <w:bottom w:val="single" w:sz="4" w:space="0" w:color="auto"/>
              <w:right w:val="single" w:sz="4" w:space="0" w:color="auto"/>
            </w:tcBorders>
            <w:shd w:val="clear" w:color="auto" w:fill="262626" w:themeFill="text1" w:themeFillTint="D9"/>
            <w:noWrap/>
            <w:vAlign w:val="center"/>
          </w:tcPr>
          <w:p w14:paraId="5CC23A7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single" w:sz="4" w:space="0" w:color="auto"/>
              <w:left w:val="nil"/>
              <w:bottom w:val="single" w:sz="4" w:space="0" w:color="auto"/>
              <w:right w:val="single" w:sz="4" w:space="0" w:color="auto"/>
            </w:tcBorders>
            <w:shd w:val="clear" w:color="auto" w:fill="262626" w:themeFill="text1" w:themeFillTint="D9"/>
            <w:noWrap/>
            <w:vAlign w:val="center"/>
          </w:tcPr>
          <w:p w14:paraId="224AF1E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302E2A1E"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6802E33F"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4165863D"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proofErr w:type="spellStart"/>
            <w:r w:rsidRPr="0014010A">
              <w:rPr>
                <w:rFonts w:asciiTheme="majorHAnsi" w:eastAsia="Times New Roman" w:hAnsiTheme="majorHAnsi" w:cstheme="majorHAnsi"/>
                <w:color w:val="000000"/>
                <w:szCs w:val="24"/>
                <w:lang w:eastAsia="es-MX"/>
              </w:rPr>
              <w:t>Alqueria</w:t>
            </w:r>
            <w:proofErr w:type="spellEnd"/>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EDBB3C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7D8D403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2EE59DA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39DDEC8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11C6ECB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17746993"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27EDA534"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51D4E697"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proofErr w:type="spellStart"/>
            <w:r w:rsidRPr="0014010A">
              <w:rPr>
                <w:rFonts w:asciiTheme="majorHAnsi" w:eastAsia="Times New Roman" w:hAnsiTheme="majorHAnsi" w:cstheme="majorHAnsi"/>
                <w:color w:val="000000"/>
                <w:szCs w:val="24"/>
                <w:lang w:eastAsia="es-MX"/>
              </w:rPr>
              <w:t>Alpina</w:t>
            </w:r>
            <w:proofErr w:type="spellEnd"/>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F9F0E9C"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44007C1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61A6781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4A5916F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6D2E60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73D0AF9A"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1DF7E9E9"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62E771EA"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Golden Arches Unlimited –McDonald’s</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409F66C"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6D3F73F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36507F5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4931A72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10E5B99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580DA175"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2AC3E3A2"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4AD55268"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proofErr w:type="spellStart"/>
            <w:r w:rsidRPr="0014010A">
              <w:rPr>
                <w:rFonts w:asciiTheme="majorHAnsi" w:eastAsia="Times New Roman" w:hAnsiTheme="majorHAnsi" w:cstheme="majorHAnsi"/>
                <w:szCs w:val="24"/>
                <w:lang w:eastAsia="es-MX"/>
              </w:rPr>
              <w:t>Nutresa</w:t>
            </w:r>
            <w:proofErr w:type="spellEnd"/>
            <w:r w:rsidRPr="0014010A">
              <w:rPr>
                <w:rFonts w:asciiTheme="majorHAnsi" w:eastAsia="Times New Roman" w:hAnsiTheme="majorHAnsi" w:cstheme="majorHAnsi"/>
                <w:szCs w:val="24"/>
                <w:lang w:eastAsia="es-MX"/>
              </w:rPr>
              <w:t xml:space="preserve"> </w:t>
            </w:r>
            <w:r>
              <w:rPr>
                <w:rFonts w:ascii="Calibri" w:eastAsia="Calibri" w:hAnsi="Calibri" w:cs="Calibri"/>
                <w:szCs w:val="24"/>
              </w:rPr>
              <w:t>Group</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4C7338C"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191184E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5024ACA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2A00132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FEB978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6C2035FC"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4D9DB5C1"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380084A9"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r w:rsidRPr="0014010A">
              <w:rPr>
                <w:rFonts w:asciiTheme="majorHAnsi" w:eastAsia="Times New Roman" w:hAnsiTheme="majorHAnsi" w:cstheme="majorHAnsi"/>
                <w:szCs w:val="24"/>
                <w:lang w:eastAsia="es-MX"/>
              </w:rPr>
              <w:t>Bavaria</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06EE13D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767B439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71DDE68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8E2ADA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B2BBD7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380FB4F4"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2A842E7F"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36528109"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proofErr w:type="spellStart"/>
            <w:r w:rsidRPr="0014010A">
              <w:rPr>
                <w:rFonts w:asciiTheme="majorHAnsi" w:eastAsia="Times New Roman" w:hAnsiTheme="majorHAnsi" w:cstheme="majorHAnsi"/>
                <w:szCs w:val="24"/>
                <w:lang w:eastAsia="es-MX"/>
              </w:rPr>
              <w:t>Aldor</w:t>
            </w:r>
            <w:proofErr w:type="spellEnd"/>
            <w:r>
              <w:rPr>
                <w:rFonts w:asciiTheme="majorHAnsi" w:eastAsia="Times New Roman" w:hAnsiTheme="majorHAnsi" w:cstheme="majorHAnsi"/>
                <w:szCs w:val="24"/>
                <w:lang w:eastAsia="es-MX"/>
              </w:rPr>
              <w:t xml:space="preserve"> </w:t>
            </w:r>
            <w:r w:rsidRPr="00370FDE">
              <w:rPr>
                <w:rFonts w:ascii="Calibri" w:eastAsia="Calibri" w:hAnsi="Calibri" w:cs="Calibri"/>
                <w:color w:val="000000"/>
                <w:szCs w:val="24"/>
                <w:lang w:eastAsia="es-CO"/>
              </w:rPr>
              <w:t>Groceries</w:t>
            </w:r>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162CFA8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5693F91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05C7BE5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ADE31C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19276F4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18E529E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1850ACEF"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2BF899DA"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r w:rsidRPr="0014010A">
              <w:rPr>
                <w:rFonts w:asciiTheme="majorHAnsi" w:eastAsia="Times New Roman" w:hAnsiTheme="majorHAnsi" w:cstheme="majorHAnsi"/>
                <w:szCs w:val="24"/>
                <w:lang w:eastAsia="es-MX"/>
              </w:rPr>
              <w:lastRenderedPageBreak/>
              <w:t xml:space="preserve">Comestibles </w:t>
            </w:r>
            <w:proofErr w:type="spellStart"/>
            <w:r w:rsidRPr="0014010A">
              <w:rPr>
                <w:rFonts w:asciiTheme="majorHAnsi" w:eastAsia="Times New Roman" w:hAnsiTheme="majorHAnsi" w:cstheme="majorHAnsi"/>
                <w:szCs w:val="24"/>
                <w:lang w:eastAsia="es-MX"/>
              </w:rPr>
              <w:t>Frikaz</w:t>
            </w:r>
            <w:proofErr w:type="spellEnd"/>
          </w:p>
        </w:tc>
        <w:tc>
          <w:tcPr>
            <w:tcW w:w="1476" w:type="dxa"/>
            <w:tcBorders>
              <w:top w:val="nil"/>
              <w:left w:val="nil"/>
              <w:bottom w:val="single" w:sz="4" w:space="0" w:color="auto"/>
              <w:right w:val="single" w:sz="4" w:space="0" w:color="auto"/>
            </w:tcBorders>
            <w:shd w:val="clear" w:color="000000" w:fill="FFFFFF"/>
            <w:noWrap/>
            <w:vAlign w:val="center"/>
          </w:tcPr>
          <w:p w14:paraId="7B33004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AEAAAA" w:themeFill="background2" w:themeFillShade="BF"/>
            <w:noWrap/>
            <w:vAlign w:val="center"/>
          </w:tcPr>
          <w:p w14:paraId="6E9DC96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364558B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1D68BFD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56947BC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195CCDD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27799BA8"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6A0716C7"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r w:rsidRPr="0014010A">
              <w:rPr>
                <w:rFonts w:asciiTheme="majorHAnsi" w:eastAsia="Times New Roman" w:hAnsiTheme="majorHAnsi" w:cstheme="majorHAnsi"/>
                <w:szCs w:val="24"/>
                <w:lang w:eastAsia="es-MX"/>
              </w:rPr>
              <w:t>ÉXITO</w:t>
            </w:r>
            <w:r>
              <w:rPr>
                <w:rFonts w:asciiTheme="majorHAnsi" w:eastAsia="Times New Roman" w:hAnsiTheme="majorHAnsi" w:cstheme="majorHAnsi"/>
                <w:szCs w:val="24"/>
                <w:lang w:eastAsia="es-MX"/>
              </w:rPr>
              <w:t xml:space="preserve"> Group</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2D01B4D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3583B98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197161F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2DC6EB4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433C303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7712CE19"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3C7D120A"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7F553832"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r w:rsidRPr="0014010A">
              <w:rPr>
                <w:rFonts w:asciiTheme="majorHAnsi" w:eastAsia="Times New Roman" w:hAnsiTheme="majorHAnsi" w:cstheme="majorHAnsi"/>
                <w:szCs w:val="24"/>
                <w:lang w:eastAsia="es-MX"/>
              </w:rPr>
              <w:t>Nestlé de Colombia</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0359D0E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27AFCF6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1EB4D06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19ABD06B"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F6759E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6AF10C98"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2A0C9740"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2529D5FD"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r w:rsidRPr="0014010A">
              <w:rPr>
                <w:rFonts w:asciiTheme="majorHAnsi" w:eastAsia="Times New Roman" w:hAnsiTheme="majorHAnsi" w:cstheme="majorHAnsi"/>
                <w:szCs w:val="24"/>
                <w:lang w:eastAsia="es-MX"/>
              </w:rPr>
              <w:t>Manitoba S.A.S.</w:t>
            </w:r>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510301E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7B6D078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20C7D07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2C95451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75875CD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6502734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54E87621"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401337C9" w14:textId="77777777" w:rsidR="00DD60A7" w:rsidRPr="0014010A" w:rsidRDefault="00DD60A7" w:rsidP="003C4FA5">
            <w:pPr>
              <w:spacing w:after="0" w:line="240" w:lineRule="auto"/>
              <w:jc w:val="left"/>
              <w:rPr>
                <w:rFonts w:asciiTheme="majorHAnsi" w:eastAsia="Times New Roman" w:hAnsiTheme="majorHAnsi" w:cstheme="majorHAnsi"/>
                <w:szCs w:val="24"/>
                <w:lang w:eastAsia="es-MX"/>
              </w:rPr>
            </w:pPr>
            <w:proofErr w:type="spellStart"/>
            <w:r w:rsidRPr="0014010A">
              <w:rPr>
                <w:rFonts w:asciiTheme="majorHAnsi" w:eastAsia="Times New Roman" w:hAnsiTheme="majorHAnsi" w:cstheme="majorHAnsi"/>
                <w:szCs w:val="24"/>
                <w:lang w:eastAsia="es-MX"/>
              </w:rPr>
              <w:t>Ramo</w:t>
            </w:r>
            <w:proofErr w:type="spellEnd"/>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3C4FE31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5FC72D9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772BC91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65CEB17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457B76A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2C83BCA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551530" w14:paraId="7535AC8A" w14:textId="77777777" w:rsidTr="003C4FA5">
        <w:trPr>
          <w:trHeight w:val="562"/>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7508C3AD"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The Nation</w:t>
            </w:r>
            <w:r>
              <w:rPr>
                <w:rFonts w:asciiTheme="majorHAnsi" w:eastAsia="Times New Roman" w:hAnsiTheme="majorHAnsi" w:cstheme="majorHAnsi"/>
                <w:color w:val="000000"/>
                <w:szCs w:val="24"/>
                <w:lang w:eastAsia="es-MX"/>
              </w:rPr>
              <w:t>al Trade Federation of Colombia</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C47AF1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15141CA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3F9D22A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0A46C8D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893C31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37AFFACF"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024EDEE5"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27292611"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Coca-Cola</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0A61E6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2FEA745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507F37A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3B86E50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410CEB7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27B2680F"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7F7C66B5"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26C9A9B2"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Unilever</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217FD57B"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402D828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2CF68E9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09C97DF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11F151C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71DB2737"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544E34B0"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627D2629"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370FDE">
              <w:rPr>
                <w:rFonts w:asciiTheme="majorHAnsi" w:eastAsia="Times New Roman" w:hAnsiTheme="majorHAnsi" w:cstheme="majorHAnsi"/>
                <w:color w:val="000000"/>
                <w:szCs w:val="24"/>
                <w:lang w:eastAsia="es-MX"/>
              </w:rPr>
              <w:t>Santo Domingo Group</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62DEF3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5B3E5E7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02BB5E5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91EF84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427E9B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6A3D7F6C"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79BABF1F"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574837B3"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proofErr w:type="spellStart"/>
            <w:r w:rsidRPr="00370FDE">
              <w:rPr>
                <w:rFonts w:asciiTheme="majorHAnsi" w:eastAsia="Times New Roman" w:hAnsiTheme="majorHAnsi" w:cstheme="majorHAnsi"/>
                <w:color w:val="000000"/>
                <w:szCs w:val="24"/>
                <w:lang w:eastAsia="es-MX"/>
              </w:rPr>
              <w:t>Ardila</w:t>
            </w:r>
            <w:proofErr w:type="spellEnd"/>
            <w:r w:rsidRPr="00370FDE">
              <w:rPr>
                <w:rFonts w:asciiTheme="majorHAnsi" w:eastAsia="Times New Roman" w:hAnsiTheme="majorHAnsi" w:cstheme="majorHAnsi"/>
                <w:color w:val="000000"/>
                <w:szCs w:val="24"/>
                <w:lang w:eastAsia="es-MX"/>
              </w:rPr>
              <w:t xml:space="preserve"> </w:t>
            </w:r>
            <w:proofErr w:type="spellStart"/>
            <w:r w:rsidRPr="00370FDE">
              <w:rPr>
                <w:rFonts w:asciiTheme="majorHAnsi" w:eastAsia="Times New Roman" w:hAnsiTheme="majorHAnsi" w:cstheme="majorHAnsi"/>
                <w:color w:val="000000"/>
                <w:szCs w:val="24"/>
                <w:lang w:eastAsia="es-MX"/>
              </w:rPr>
              <w:t>Lülle</w:t>
            </w:r>
            <w:proofErr w:type="spellEnd"/>
            <w:r w:rsidRPr="00370FDE">
              <w:rPr>
                <w:rFonts w:asciiTheme="majorHAnsi" w:eastAsia="Times New Roman" w:hAnsiTheme="majorHAnsi" w:cstheme="majorHAnsi"/>
                <w:color w:val="000000"/>
                <w:szCs w:val="24"/>
                <w:lang w:eastAsia="es-MX"/>
              </w:rPr>
              <w:t xml:space="preserve"> Organization</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088DC03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4113F74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3602AEA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1FF2C4D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3F7617D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307E561F"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00E2636A" w14:textId="77777777" w:rsidTr="003C4FA5">
        <w:trPr>
          <w:trHeight w:val="269"/>
        </w:trPr>
        <w:tc>
          <w:tcPr>
            <w:tcW w:w="11398" w:type="dxa"/>
            <w:gridSpan w:val="7"/>
            <w:tcBorders>
              <w:top w:val="nil"/>
              <w:left w:val="single" w:sz="4" w:space="0" w:color="auto"/>
              <w:bottom w:val="single" w:sz="4" w:space="0" w:color="auto"/>
              <w:right w:val="single" w:sz="4" w:space="0" w:color="auto"/>
            </w:tcBorders>
            <w:shd w:val="clear" w:color="auto" w:fill="FFFFFF" w:themeFill="background1"/>
            <w:vAlign w:val="center"/>
          </w:tcPr>
          <w:p w14:paraId="0C42FCA1" w14:textId="77777777" w:rsidR="00DD60A7" w:rsidRPr="00261BD5" w:rsidRDefault="00DD60A7" w:rsidP="003C4FA5">
            <w:pPr>
              <w:spacing w:after="0" w:line="240" w:lineRule="auto"/>
              <w:jc w:val="center"/>
              <w:rPr>
                <w:rFonts w:asciiTheme="majorHAnsi" w:eastAsia="Times New Roman" w:hAnsiTheme="majorHAnsi" w:cstheme="majorHAnsi"/>
                <w:b/>
                <w:color w:val="FFFFFF"/>
                <w:szCs w:val="24"/>
                <w:lang w:eastAsia="es-MX"/>
              </w:rPr>
            </w:pPr>
            <w:proofErr w:type="spellStart"/>
            <w:r w:rsidRPr="00261BD5">
              <w:rPr>
                <w:rFonts w:asciiTheme="majorHAnsi" w:eastAsia="Times New Roman" w:hAnsiTheme="majorHAnsi" w:cstheme="majorHAnsi"/>
                <w:b/>
                <w:szCs w:val="24"/>
                <w:lang w:eastAsia="es-MX"/>
              </w:rPr>
              <w:t>Actores</w:t>
            </w:r>
            <w:proofErr w:type="spellEnd"/>
            <w:r w:rsidRPr="00261BD5">
              <w:rPr>
                <w:rFonts w:asciiTheme="majorHAnsi" w:eastAsia="Times New Roman" w:hAnsiTheme="majorHAnsi" w:cstheme="majorHAnsi"/>
                <w:b/>
                <w:szCs w:val="24"/>
                <w:lang w:eastAsia="es-MX"/>
              </w:rPr>
              <w:t xml:space="preserve"> </w:t>
            </w:r>
            <w:proofErr w:type="spellStart"/>
            <w:r w:rsidRPr="00261BD5">
              <w:rPr>
                <w:rFonts w:asciiTheme="majorHAnsi" w:eastAsia="Times New Roman" w:hAnsiTheme="majorHAnsi" w:cstheme="majorHAnsi"/>
                <w:b/>
                <w:szCs w:val="24"/>
                <w:lang w:eastAsia="es-MX"/>
              </w:rPr>
              <w:t>políticos</w:t>
            </w:r>
            <w:proofErr w:type="spellEnd"/>
          </w:p>
        </w:tc>
      </w:tr>
      <w:tr w:rsidR="00DD60A7" w:rsidRPr="0014010A" w14:paraId="09F843AA"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080C9275"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Ministry of sports</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55B47C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79DD884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42C0F76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7FE144A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001380A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073B5353"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551530" w14:paraId="57A3B606" w14:textId="77777777" w:rsidTr="003C4FA5">
        <w:trPr>
          <w:trHeight w:val="497"/>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14488DD9"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Ministry of Health and Social Protection</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3E766AE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5FEF387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7755DEC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344F94C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C0BDAD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1DD6E1DE"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294D7320"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3E8ADCBF"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Bogota City Hall</w:t>
            </w:r>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704359A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AEAAAA" w:themeFill="background2" w:themeFillShade="BF"/>
            <w:noWrap/>
            <w:vAlign w:val="center"/>
          </w:tcPr>
          <w:p w14:paraId="62D487A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0E65264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5979468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1C92BA3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FFFFFF" w:themeFill="background1"/>
            <w:noWrap/>
            <w:vAlign w:val="center"/>
          </w:tcPr>
          <w:p w14:paraId="43FF041C"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551530" w14:paraId="4B6B6916"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1B465B02"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14010A">
              <w:rPr>
                <w:rFonts w:asciiTheme="majorHAnsi" w:eastAsia="Times New Roman" w:hAnsiTheme="majorHAnsi" w:cstheme="majorHAnsi"/>
                <w:color w:val="000000"/>
                <w:szCs w:val="24"/>
                <w:lang w:eastAsia="es-MX"/>
              </w:rPr>
              <w:t xml:space="preserve">Presidency of the Republic – </w:t>
            </w:r>
            <w:proofErr w:type="spellStart"/>
            <w:r w:rsidRPr="0014010A">
              <w:rPr>
                <w:rFonts w:asciiTheme="majorHAnsi" w:eastAsia="Times New Roman" w:hAnsiTheme="majorHAnsi" w:cstheme="majorHAnsi"/>
                <w:color w:val="000000"/>
                <w:szCs w:val="24"/>
                <w:lang w:eastAsia="es-MX"/>
              </w:rPr>
              <w:t>Iván</w:t>
            </w:r>
            <w:proofErr w:type="spellEnd"/>
            <w:r w:rsidRPr="0014010A">
              <w:rPr>
                <w:rFonts w:asciiTheme="majorHAnsi" w:eastAsia="Times New Roman" w:hAnsiTheme="majorHAnsi" w:cstheme="majorHAnsi"/>
                <w:color w:val="000000"/>
                <w:szCs w:val="24"/>
                <w:lang w:eastAsia="es-MX"/>
              </w:rPr>
              <w:t xml:space="preserve"> Duque</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51E210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1FE630C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5CEA52A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2472B7E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6004DDF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35C46BE1"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5729F0A0"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72AB3C5E"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20178B">
              <w:rPr>
                <w:rFonts w:asciiTheme="majorHAnsi" w:eastAsia="Times New Roman" w:hAnsiTheme="majorHAnsi" w:cstheme="majorHAnsi"/>
                <w:color w:val="000000"/>
                <w:szCs w:val="24"/>
                <w:lang w:eastAsia="es-MX"/>
              </w:rPr>
              <w:t>Democratic Center Party</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2E37D80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2F66BA4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1305828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56C254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30DE877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63FF609A"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3861B5A3"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7F010D8D" w14:textId="77777777" w:rsidR="00DD60A7" w:rsidRPr="0020178B" w:rsidRDefault="00DD60A7" w:rsidP="003C4FA5">
            <w:pPr>
              <w:spacing w:after="0" w:line="240" w:lineRule="auto"/>
              <w:jc w:val="left"/>
              <w:rPr>
                <w:rFonts w:asciiTheme="majorHAnsi" w:eastAsia="Times New Roman" w:hAnsiTheme="majorHAnsi" w:cstheme="majorHAnsi"/>
                <w:color w:val="000000"/>
                <w:szCs w:val="24"/>
                <w:lang w:eastAsia="es-MX"/>
              </w:rPr>
            </w:pPr>
            <w:r w:rsidRPr="0020178B">
              <w:rPr>
                <w:rFonts w:asciiTheme="majorHAnsi" w:eastAsia="Calibri" w:hAnsiTheme="majorHAnsi" w:cstheme="majorHAnsi"/>
                <w:bCs/>
                <w:szCs w:val="24"/>
              </w:rPr>
              <w:t>Radical Change</w:t>
            </w:r>
            <w:r w:rsidRPr="0020178B">
              <w:rPr>
                <w:rFonts w:asciiTheme="majorHAnsi" w:eastAsia="Calibri" w:hAnsiTheme="majorHAnsi" w:cstheme="majorHAnsi"/>
                <w:szCs w:val="24"/>
              </w:rPr>
              <w:t xml:space="preserve"> Party</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6671DBD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390BF6F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1B0E211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08196F5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52D2191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262626" w:themeFill="text1" w:themeFillTint="D9"/>
            <w:noWrap/>
            <w:vAlign w:val="center"/>
          </w:tcPr>
          <w:p w14:paraId="6119DDE0"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551530" w14:paraId="7930688A"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17821133" w14:textId="77777777" w:rsidR="00DD60A7" w:rsidRPr="00350877" w:rsidRDefault="00DD60A7" w:rsidP="003C4FA5">
            <w:pPr>
              <w:spacing w:after="0" w:line="240" w:lineRule="auto"/>
              <w:jc w:val="left"/>
              <w:rPr>
                <w:rFonts w:asciiTheme="majorHAnsi" w:eastAsia="Times New Roman" w:hAnsiTheme="majorHAnsi" w:cstheme="majorHAnsi"/>
                <w:color w:val="000000"/>
                <w:szCs w:val="24"/>
                <w:lang w:eastAsia="es-MX"/>
              </w:rPr>
            </w:pPr>
            <w:r w:rsidRPr="00350877">
              <w:rPr>
                <w:rFonts w:asciiTheme="majorHAnsi" w:eastAsia="Times New Roman" w:hAnsiTheme="majorHAnsi" w:cstheme="majorHAnsi"/>
                <w:color w:val="000000"/>
                <w:szCs w:val="24"/>
                <w:lang w:eastAsia="es-MX"/>
              </w:rPr>
              <w:t>The Union </w:t>
            </w:r>
            <w:r w:rsidRPr="00350877">
              <w:rPr>
                <w:rFonts w:asciiTheme="majorHAnsi" w:eastAsia="Times New Roman" w:hAnsiTheme="majorHAnsi" w:cstheme="majorHAnsi"/>
                <w:bCs/>
                <w:color w:val="000000"/>
                <w:szCs w:val="24"/>
                <w:lang w:eastAsia="es-MX"/>
              </w:rPr>
              <w:t>Party</w:t>
            </w:r>
            <w:r>
              <w:rPr>
                <w:rFonts w:asciiTheme="majorHAnsi" w:eastAsia="Times New Roman" w:hAnsiTheme="majorHAnsi" w:cstheme="majorHAnsi"/>
                <w:color w:val="000000"/>
                <w:szCs w:val="24"/>
                <w:lang w:eastAsia="es-MX"/>
              </w:rPr>
              <w:t> for the People</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3DA82F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20DFAC87"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3FEA8CB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2424070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152DFE72"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208714A9"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203BA9A9"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51276B78"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Pr>
                <w:rFonts w:asciiTheme="majorHAnsi" w:eastAsia="Times New Roman" w:hAnsiTheme="majorHAnsi" w:cstheme="majorHAnsi"/>
                <w:color w:val="000000"/>
                <w:szCs w:val="24"/>
                <w:lang w:eastAsia="es-MX"/>
              </w:rPr>
              <w:t xml:space="preserve">Colombian </w:t>
            </w:r>
            <w:r w:rsidRPr="00350877">
              <w:rPr>
                <w:rFonts w:asciiTheme="majorHAnsi" w:eastAsia="Times New Roman" w:hAnsiTheme="majorHAnsi" w:cstheme="majorHAnsi"/>
                <w:color w:val="000000"/>
                <w:szCs w:val="24"/>
                <w:lang w:eastAsia="es-MX"/>
              </w:rPr>
              <w:t>Liberal Party</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7052C5D0"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327BB9F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262626" w:themeFill="text1" w:themeFillTint="D9"/>
            <w:vAlign w:val="center"/>
          </w:tcPr>
          <w:p w14:paraId="4F9B21C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0D6CE88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262626" w:themeFill="text1" w:themeFillTint="D9"/>
            <w:vAlign w:val="center"/>
          </w:tcPr>
          <w:p w14:paraId="262247B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262626"/>
            <w:noWrap/>
            <w:vAlign w:val="center"/>
          </w:tcPr>
          <w:p w14:paraId="0C25C678" w14:textId="77777777" w:rsidR="00DD60A7" w:rsidRPr="0014010A" w:rsidRDefault="00DD60A7" w:rsidP="003C4FA5">
            <w:pPr>
              <w:spacing w:after="0" w:line="240" w:lineRule="auto"/>
              <w:jc w:val="center"/>
              <w:rPr>
                <w:rFonts w:asciiTheme="majorHAnsi" w:eastAsia="Times New Roman" w:hAnsiTheme="majorHAnsi" w:cstheme="majorHAnsi"/>
                <w:color w:val="FFFFFF"/>
                <w:szCs w:val="24"/>
                <w:lang w:eastAsia="es-MX"/>
              </w:rPr>
            </w:pPr>
          </w:p>
        </w:tc>
      </w:tr>
      <w:tr w:rsidR="00DD60A7" w:rsidRPr="0014010A" w14:paraId="04B9874B"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2BE8777C" w14:textId="77777777" w:rsidR="00DD60A7" w:rsidRPr="0020178B" w:rsidRDefault="00DD60A7" w:rsidP="003C4FA5">
            <w:pPr>
              <w:spacing w:after="0" w:line="240" w:lineRule="auto"/>
              <w:jc w:val="left"/>
              <w:rPr>
                <w:rFonts w:asciiTheme="majorHAnsi" w:eastAsia="Times New Roman" w:hAnsiTheme="majorHAnsi" w:cstheme="majorHAnsi"/>
                <w:color w:val="000000"/>
                <w:szCs w:val="24"/>
                <w:lang w:eastAsia="es-MX"/>
              </w:rPr>
            </w:pPr>
            <w:r w:rsidRPr="0020178B">
              <w:rPr>
                <w:rFonts w:asciiTheme="majorHAnsi" w:hAnsiTheme="majorHAnsi" w:cstheme="majorHAnsi"/>
                <w:szCs w:val="24"/>
              </w:rPr>
              <w:t>Conservative Party</w:t>
            </w:r>
          </w:p>
        </w:tc>
        <w:tc>
          <w:tcPr>
            <w:tcW w:w="1476" w:type="dxa"/>
            <w:tcBorders>
              <w:top w:val="nil"/>
              <w:left w:val="nil"/>
              <w:bottom w:val="single" w:sz="4" w:space="0" w:color="auto"/>
              <w:right w:val="single" w:sz="4" w:space="0" w:color="auto"/>
            </w:tcBorders>
            <w:shd w:val="clear" w:color="auto" w:fill="262626" w:themeFill="text1" w:themeFillTint="D9"/>
            <w:noWrap/>
            <w:vAlign w:val="center"/>
          </w:tcPr>
          <w:p w14:paraId="103CA7A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262626" w:themeFill="text1" w:themeFillTint="D9"/>
            <w:noWrap/>
            <w:vAlign w:val="center"/>
          </w:tcPr>
          <w:p w14:paraId="01F7FF0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21FF1E6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533D7EF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auto" w:fill="AEAAAA" w:themeFill="background2" w:themeFillShade="BF"/>
            <w:vAlign w:val="center"/>
          </w:tcPr>
          <w:p w14:paraId="793C2FF4"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AEAAAA" w:themeFill="background2" w:themeFillShade="BF"/>
            <w:noWrap/>
            <w:vAlign w:val="center"/>
          </w:tcPr>
          <w:p w14:paraId="1508914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551530" w14:paraId="7455650A" w14:textId="77777777" w:rsidTr="003C4FA5">
        <w:trPr>
          <w:trHeight w:val="573"/>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5C87F474" w14:textId="77777777" w:rsidR="00DD60A7" w:rsidRPr="00350877" w:rsidRDefault="00DD60A7" w:rsidP="003C4FA5">
            <w:pPr>
              <w:spacing w:after="0" w:line="240" w:lineRule="auto"/>
              <w:jc w:val="left"/>
              <w:rPr>
                <w:rFonts w:asciiTheme="majorHAnsi" w:eastAsia="Times New Roman" w:hAnsiTheme="majorHAnsi" w:cstheme="majorHAnsi"/>
                <w:color w:val="000000"/>
                <w:szCs w:val="24"/>
                <w:lang w:eastAsia="es-MX"/>
              </w:rPr>
            </w:pPr>
            <w:r w:rsidRPr="00350877">
              <w:rPr>
                <w:rFonts w:asciiTheme="majorHAnsi" w:eastAsia="Times New Roman" w:hAnsiTheme="majorHAnsi" w:cstheme="majorHAnsi"/>
                <w:color w:val="000000"/>
                <w:szCs w:val="24"/>
                <w:lang w:eastAsia="es-MX"/>
              </w:rPr>
              <w:t>Indigenous and Social Alternative Movement</w:t>
            </w:r>
          </w:p>
        </w:tc>
        <w:tc>
          <w:tcPr>
            <w:tcW w:w="1476" w:type="dxa"/>
            <w:tcBorders>
              <w:top w:val="nil"/>
              <w:left w:val="nil"/>
              <w:bottom w:val="single" w:sz="4" w:space="0" w:color="auto"/>
              <w:right w:val="single" w:sz="4" w:space="0" w:color="auto"/>
            </w:tcBorders>
            <w:shd w:val="clear" w:color="000000" w:fill="FFFFFF"/>
            <w:noWrap/>
            <w:vAlign w:val="center"/>
          </w:tcPr>
          <w:p w14:paraId="66B9E66C"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000000" w:fill="FFFFFF"/>
            <w:noWrap/>
            <w:vAlign w:val="center"/>
          </w:tcPr>
          <w:p w14:paraId="04C9A6BD"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000000" w:fill="FFFFFF"/>
            <w:vAlign w:val="center"/>
          </w:tcPr>
          <w:p w14:paraId="470E4A8C"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0A4EA4F2"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061A815A"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auto" w:fill="FFFFFF" w:themeFill="background1"/>
            <w:noWrap/>
            <w:vAlign w:val="center"/>
          </w:tcPr>
          <w:p w14:paraId="41E11E54" w14:textId="77777777" w:rsidR="00DD60A7" w:rsidRPr="00350877"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40822C36" w14:textId="77777777" w:rsidTr="003C4FA5">
        <w:trPr>
          <w:trHeight w:val="269"/>
        </w:trPr>
        <w:tc>
          <w:tcPr>
            <w:tcW w:w="2731" w:type="dxa"/>
            <w:tcBorders>
              <w:top w:val="nil"/>
              <w:left w:val="single" w:sz="4" w:space="0" w:color="auto"/>
              <w:bottom w:val="single" w:sz="4" w:space="0" w:color="auto"/>
              <w:right w:val="single" w:sz="4" w:space="0" w:color="auto"/>
            </w:tcBorders>
            <w:shd w:val="clear" w:color="FFFF00" w:fill="FFFFFF"/>
            <w:vAlign w:val="center"/>
            <w:hideMark/>
          </w:tcPr>
          <w:p w14:paraId="0B121963" w14:textId="77777777" w:rsidR="00DD60A7" w:rsidRPr="0014010A" w:rsidRDefault="00DD60A7" w:rsidP="003C4FA5">
            <w:pPr>
              <w:spacing w:after="0" w:line="240" w:lineRule="auto"/>
              <w:jc w:val="left"/>
              <w:rPr>
                <w:rFonts w:asciiTheme="majorHAnsi" w:eastAsia="Times New Roman" w:hAnsiTheme="majorHAnsi" w:cstheme="majorHAnsi"/>
                <w:color w:val="000000"/>
                <w:szCs w:val="24"/>
                <w:lang w:eastAsia="es-MX"/>
              </w:rPr>
            </w:pPr>
            <w:r w:rsidRPr="00350877">
              <w:rPr>
                <w:rFonts w:asciiTheme="majorHAnsi" w:eastAsia="Times New Roman" w:hAnsiTheme="majorHAnsi" w:cstheme="majorHAnsi"/>
                <w:color w:val="000000"/>
                <w:szCs w:val="24"/>
                <w:lang w:eastAsia="es-MX"/>
              </w:rPr>
              <w:t>Green Alliance Party</w:t>
            </w:r>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50649C0B"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AEAAAA" w:themeFill="background2" w:themeFillShade="BF"/>
            <w:noWrap/>
            <w:vAlign w:val="center"/>
          </w:tcPr>
          <w:p w14:paraId="3EC32ADD"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60502418"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7D85955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08BE342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FFFFFF"/>
            <w:noWrap/>
            <w:vAlign w:val="center"/>
          </w:tcPr>
          <w:p w14:paraId="03E342B1"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r w:rsidR="00DD60A7" w:rsidRPr="0014010A" w14:paraId="582592FF" w14:textId="77777777" w:rsidTr="003C4FA5">
        <w:trPr>
          <w:trHeight w:val="269"/>
        </w:trPr>
        <w:tc>
          <w:tcPr>
            <w:tcW w:w="2731" w:type="dxa"/>
            <w:tcBorders>
              <w:top w:val="nil"/>
              <w:left w:val="single" w:sz="4" w:space="0" w:color="auto"/>
              <w:bottom w:val="single" w:sz="4" w:space="0" w:color="auto"/>
              <w:right w:val="single" w:sz="4" w:space="0" w:color="auto"/>
            </w:tcBorders>
            <w:shd w:val="clear" w:color="000000" w:fill="FFFFFF"/>
            <w:vAlign w:val="center"/>
            <w:hideMark/>
          </w:tcPr>
          <w:p w14:paraId="48B08839" w14:textId="3001E13B" w:rsidR="00DD60A7" w:rsidRPr="00FC5C2F" w:rsidRDefault="00DD60A7" w:rsidP="00FC5C2F">
            <w:pPr>
              <w:spacing w:after="0" w:line="240" w:lineRule="auto"/>
              <w:jc w:val="left"/>
              <w:rPr>
                <w:rFonts w:asciiTheme="majorHAnsi" w:eastAsia="Times New Roman" w:hAnsiTheme="majorHAnsi" w:cstheme="majorHAnsi"/>
                <w:color w:val="000000"/>
                <w:szCs w:val="24"/>
                <w:lang w:eastAsia="es-MX"/>
              </w:rPr>
            </w:pPr>
            <w:r w:rsidRPr="0020178B">
              <w:rPr>
                <w:rFonts w:asciiTheme="majorHAnsi" w:eastAsia="Times New Roman" w:hAnsiTheme="majorHAnsi" w:cstheme="majorHAnsi"/>
                <w:color w:val="000000"/>
                <w:szCs w:val="24"/>
                <w:lang w:eastAsia="es-MX"/>
              </w:rPr>
              <w:t>Alternative Democratic Pole Party</w:t>
            </w:r>
          </w:p>
        </w:tc>
        <w:tc>
          <w:tcPr>
            <w:tcW w:w="1476" w:type="dxa"/>
            <w:tcBorders>
              <w:top w:val="nil"/>
              <w:left w:val="nil"/>
              <w:bottom w:val="single" w:sz="4" w:space="0" w:color="auto"/>
              <w:right w:val="single" w:sz="4" w:space="0" w:color="auto"/>
            </w:tcBorders>
            <w:shd w:val="clear" w:color="auto" w:fill="AEAAAA" w:themeFill="background2" w:themeFillShade="BF"/>
            <w:noWrap/>
            <w:vAlign w:val="center"/>
          </w:tcPr>
          <w:p w14:paraId="1EFA582A"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664" w:type="dxa"/>
            <w:tcBorders>
              <w:top w:val="nil"/>
              <w:left w:val="nil"/>
              <w:bottom w:val="single" w:sz="4" w:space="0" w:color="auto"/>
              <w:right w:val="single" w:sz="4" w:space="0" w:color="auto"/>
            </w:tcBorders>
            <w:shd w:val="clear" w:color="auto" w:fill="AEAAAA" w:themeFill="background2" w:themeFillShade="BF"/>
            <w:noWrap/>
            <w:vAlign w:val="center"/>
          </w:tcPr>
          <w:p w14:paraId="05151203"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535" w:type="dxa"/>
            <w:tcBorders>
              <w:top w:val="nil"/>
              <w:left w:val="nil"/>
              <w:bottom w:val="single" w:sz="4" w:space="0" w:color="auto"/>
              <w:right w:val="single" w:sz="4" w:space="0" w:color="auto"/>
            </w:tcBorders>
            <w:shd w:val="clear" w:color="auto" w:fill="AEAAAA" w:themeFill="background2" w:themeFillShade="BF"/>
            <w:vAlign w:val="center"/>
          </w:tcPr>
          <w:p w14:paraId="1460ACE6"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5BD5A2AF"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476" w:type="dxa"/>
            <w:tcBorders>
              <w:top w:val="nil"/>
              <w:left w:val="nil"/>
              <w:bottom w:val="single" w:sz="4" w:space="0" w:color="auto"/>
              <w:right w:val="single" w:sz="4" w:space="0" w:color="auto"/>
            </w:tcBorders>
            <w:shd w:val="clear" w:color="000000" w:fill="FFFFFF"/>
            <w:vAlign w:val="center"/>
          </w:tcPr>
          <w:p w14:paraId="2DCEF715"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c>
          <w:tcPr>
            <w:tcW w:w="1040" w:type="dxa"/>
            <w:tcBorders>
              <w:top w:val="nil"/>
              <w:left w:val="nil"/>
              <w:bottom w:val="single" w:sz="4" w:space="0" w:color="auto"/>
              <w:right w:val="single" w:sz="4" w:space="0" w:color="auto"/>
            </w:tcBorders>
            <w:shd w:val="clear" w:color="000000" w:fill="FFFFFF"/>
            <w:noWrap/>
            <w:vAlign w:val="center"/>
          </w:tcPr>
          <w:p w14:paraId="77E99C7E" w14:textId="77777777" w:rsidR="00DD60A7" w:rsidRPr="0014010A" w:rsidRDefault="00DD60A7" w:rsidP="003C4FA5">
            <w:pPr>
              <w:spacing w:after="0" w:line="240" w:lineRule="auto"/>
              <w:jc w:val="center"/>
              <w:rPr>
                <w:rFonts w:asciiTheme="majorHAnsi" w:eastAsia="Times New Roman" w:hAnsiTheme="majorHAnsi" w:cstheme="majorHAnsi"/>
                <w:szCs w:val="24"/>
                <w:lang w:eastAsia="es-MX"/>
              </w:rPr>
            </w:pPr>
          </w:p>
        </w:tc>
      </w:tr>
    </w:tbl>
    <w:p w14:paraId="57E427E2" w14:textId="74BB0AAC" w:rsidR="0057073B" w:rsidRPr="00C40046" w:rsidRDefault="00B13041" w:rsidP="000D6B6F">
      <w:pPr>
        <w:pStyle w:val="Ttulo2"/>
        <w:snapToGrid w:val="0"/>
        <w:spacing w:before="0" w:after="0" w:line="360" w:lineRule="auto"/>
        <w:contextualSpacing/>
        <w:rPr>
          <w:rFonts w:ascii="Times New Roman" w:hAnsi="Times New Roman" w:cs="Times New Roman"/>
          <w:b w:val="0"/>
          <w:bCs/>
          <w:color w:val="0070C0"/>
          <w:sz w:val="32"/>
          <w:szCs w:val="32"/>
          <w:lang w:val="es-GT"/>
        </w:rPr>
      </w:pPr>
      <w:r w:rsidRPr="00C40046">
        <w:rPr>
          <w:rFonts w:ascii="Times New Roman" w:hAnsi="Times New Roman" w:cs="Times New Roman"/>
          <w:color w:val="0070C0"/>
          <w:sz w:val="32"/>
          <w:szCs w:val="32"/>
          <w:lang w:val="es-GT"/>
        </w:rPr>
        <w:lastRenderedPageBreak/>
        <w:t>Tipos de incentivos</w:t>
      </w:r>
    </w:p>
    <w:p w14:paraId="6490D031" w14:textId="68DEA336" w:rsidR="0057073B" w:rsidRPr="000D6B6F" w:rsidRDefault="00B13041"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t xml:space="preserve">Los incentivos más frecuentes fueron el financiamiento de campañas para </w:t>
      </w:r>
      <w:r w:rsidR="0057073B" w:rsidRPr="000D6B6F">
        <w:rPr>
          <w:rFonts w:ascii="Times New Roman" w:hAnsi="Times New Roman" w:cs="Times New Roman"/>
          <w:b w:val="0"/>
          <w:bCs/>
          <w:lang w:val="es-GT"/>
        </w:rPr>
        <w:t xml:space="preserve">las </w:t>
      </w:r>
      <w:r w:rsidRPr="000D6B6F">
        <w:rPr>
          <w:rFonts w:ascii="Times New Roman" w:hAnsi="Times New Roman" w:cs="Times New Roman"/>
          <w:b w:val="0"/>
          <w:bCs/>
          <w:lang w:val="es-GT"/>
        </w:rPr>
        <w:t xml:space="preserve">elecciones de congresistas y líderes ejecutivos, incluidos alcaldes, gobernadores y </w:t>
      </w:r>
      <w:r w:rsidR="00875D3F" w:rsidRPr="008F3731">
        <w:rPr>
          <w:rFonts w:ascii="Times New Roman" w:hAnsi="Times New Roman" w:cs="Times New Roman"/>
          <w:b w:val="0"/>
          <w:bCs/>
          <w:lang w:val="es-MX"/>
        </w:rPr>
        <w:t xml:space="preserve">candidatos a </w:t>
      </w:r>
      <w:r w:rsidRPr="000D6B6F">
        <w:rPr>
          <w:rFonts w:ascii="Times New Roman" w:hAnsi="Times New Roman" w:cs="Times New Roman"/>
          <w:b w:val="0"/>
          <w:bCs/>
          <w:lang w:val="es-GT"/>
        </w:rPr>
        <w:t>la Presidencia de la República</w:t>
      </w:r>
      <w:r w:rsidR="0057073B" w:rsidRPr="000D6B6F">
        <w:rPr>
          <w:rFonts w:ascii="Times New Roman" w:hAnsi="Times New Roman" w:cs="Times New Roman"/>
          <w:b w:val="0"/>
          <w:bCs/>
          <w:lang w:val="es-GT"/>
        </w:rPr>
        <w:t xml:space="preserve"> de Colombia</w:t>
      </w:r>
      <w:r w:rsidRPr="000D6B6F">
        <w:rPr>
          <w:rFonts w:ascii="Times New Roman" w:hAnsi="Times New Roman" w:cs="Times New Roman"/>
          <w:b w:val="0"/>
          <w:bCs/>
          <w:lang w:val="es-GT"/>
        </w:rPr>
        <w:t xml:space="preserve">. Las contribuciones financieras de la industria de las SSB a campañas electorales individuales oscilaron entre 7,471,436.20 y 1,168,688,829.28 COP (1,829.31 y 286,142.33 USD). La Tabla 3 describe los partidos políticos con el mayor nivel de financiamiento declarado de la industria de las SSB para sus candidatos al Congreso (2018-2022) [A14] (Gómez, 2020). </w:t>
      </w:r>
    </w:p>
    <w:p w14:paraId="4A9B1B47" w14:textId="77777777" w:rsidR="00FC5C2F" w:rsidRPr="00FC5C2F" w:rsidRDefault="00FC5C2F" w:rsidP="00FC5C2F">
      <w:pPr>
        <w:pStyle w:val="Descripcin"/>
        <w:keepNext/>
        <w:spacing w:line="360" w:lineRule="auto"/>
        <w:rPr>
          <w:rFonts w:ascii="Times New Roman" w:hAnsi="Times New Roman" w:cs="Times New Roman"/>
          <w:i w:val="0"/>
          <w:color w:val="auto"/>
          <w:sz w:val="24"/>
          <w:lang w:val="es-MX"/>
        </w:rPr>
      </w:pPr>
      <w:r w:rsidRPr="00FC5C2F">
        <w:rPr>
          <w:rFonts w:ascii="Times New Roman" w:hAnsi="Times New Roman" w:cs="Times New Roman"/>
          <w:b/>
          <w:i w:val="0"/>
          <w:color w:val="auto"/>
          <w:sz w:val="24"/>
          <w:lang w:val="es-MX"/>
        </w:rPr>
        <w:t xml:space="preserve">Tabla </w:t>
      </w:r>
      <w:r w:rsidRPr="00FC5C2F">
        <w:rPr>
          <w:rFonts w:ascii="Times New Roman" w:hAnsi="Times New Roman" w:cs="Times New Roman"/>
          <w:b/>
          <w:i w:val="0"/>
          <w:color w:val="auto"/>
          <w:sz w:val="24"/>
        </w:rPr>
        <w:fldChar w:fldCharType="begin"/>
      </w:r>
      <w:r w:rsidRPr="00FC5C2F">
        <w:rPr>
          <w:rFonts w:ascii="Times New Roman" w:hAnsi="Times New Roman" w:cs="Times New Roman"/>
          <w:b/>
          <w:i w:val="0"/>
          <w:color w:val="auto"/>
          <w:sz w:val="24"/>
          <w:lang w:val="es-MX"/>
        </w:rPr>
        <w:instrText xml:space="preserve"> SEQ Tabla \* ARABIC </w:instrText>
      </w:r>
      <w:r w:rsidRPr="00FC5C2F">
        <w:rPr>
          <w:rFonts w:ascii="Times New Roman" w:hAnsi="Times New Roman" w:cs="Times New Roman"/>
          <w:b/>
          <w:i w:val="0"/>
          <w:color w:val="auto"/>
          <w:sz w:val="24"/>
        </w:rPr>
        <w:fldChar w:fldCharType="separate"/>
      </w:r>
      <w:r w:rsidRPr="00FC5C2F">
        <w:rPr>
          <w:rFonts w:ascii="Times New Roman" w:hAnsi="Times New Roman" w:cs="Times New Roman"/>
          <w:b/>
          <w:i w:val="0"/>
          <w:noProof/>
          <w:color w:val="auto"/>
          <w:sz w:val="24"/>
          <w:lang w:val="es-MX"/>
        </w:rPr>
        <w:t>3</w:t>
      </w:r>
      <w:r w:rsidRPr="00FC5C2F">
        <w:rPr>
          <w:rFonts w:ascii="Times New Roman" w:hAnsi="Times New Roman" w:cs="Times New Roman"/>
          <w:b/>
          <w:i w:val="0"/>
          <w:color w:val="auto"/>
          <w:sz w:val="24"/>
        </w:rPr>
        <w:fldChar w:fldCharType="end"/>
      </w:r>
      <w:r w:rsidRPr="00FC5C2F">
        <w:rPr>
          <w:rFonts w:ascii="Times New Roman" w:hAnsi="Times New Roman" w:cs="Times New Roman"/>
          <w:b/>
          <w:i w:val="0"/>
          <w:color w:val="auto"/>
          <w:sz w:val="24"/>
          <w:lang w:val="es-MX"/>
        </w:rPr>
        <w:t>.</w:t>
      </w:r>
      <w:r w:rsidRPr="00FC5C2F">
        <w:rPr>
          <w:rFonts w:ascii="Times New Roman" w:hAnsi="Times New Roman" w:cs="Times New Roman"/>
          <w:i w:val="0"/>
          <w:color w:val="auto"/>
          <w:sz w:val="24"/>
          <w:lang w:val="es-MX"/>
        </w:rPr>
        <w:t xml:space="preserve"> Partidos que más dinero recibieron de las corporaciones de bebidas azucaradas para sus candidatos al Congreso del 2018-22, en pesos colombianos y dólares según la tasa de cambio para 2018</w:t>
      </w:r>
    </w:p>
    <w:tbl>
      <w:tblPr>
        <w:tblStyle w:val="Tabladecuadrcula2-nfasis1"/>
        <w:tblW w:w="9428" w:type="dxa"/>
        <w:tblLook w:val="04A0" w:firstRow="1" w:lastRow="0" w:firstColumn="1" w:lastColumn="0" w:noHBand="0" w:noVBand="1"/>
      </w:tblPr>
      <w:tblGrid>
        <w:gridCol w:w="3681"/>
        <w:gridCol w:w="2977"/>
        <w:gridCol w:w="2770"/>
      </w:tblGrid>
      <w:tr w:rsidR="00FC5C2F" w:rsidRPr="00FC5C2F" w14:paraId="23434447" w14:textId="77777777" w:rsidTr="00FC5C2F">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681" w:type="dxa"/>
          </w:tcPr>
          <w:p w14:paraId="3B724A3C" w14:textId="77777777" w:rsidR="00FC5C2F" w:rsidRPr="00FC5C2F" w:rsidRDefault="00FC5C2F" w:rsidP="003C4FA5">
            <w:pPr>
              <w:spacing w:line="360" w:lineRule="auto"/>
              <w:jc w:val="center"/>
              <w:rPr>
                <w:rFonts w:ascii="Times New Roman" w:hAnsi="Times New Roman" w:cs="Times New Roman"/>
                <w:b w:val="0"/>
                <w:szCs w:val="24"/>
              </w:rPr>
            </w:pPr>
            <w:proofErr w:type="spellStart"/>
            <w:r w:rsidRPr="00FC5C2F">
              <w:rPr>
                <w:rFonts w:ascii="Times New Roman" w:hAnsi="Times New Roman" w:cs="Times New Roman"/>
                <w:szCs w:val="24"/>
              </w:rPr>
              <w:t>Partido</w:t>
            </w:r>
            <w:proofErr w:type="spellEnd"/>
            <w:r w:rsidRPr="00FC5C2F">
              <w:rPr>
                <w:rFonts w:ascii="Times New Roman" w:hAnsi="Times New Roman" w:cs="Times New Roman"/>
                <w:szCs w:val="24"/>
              </w:rPr>
              <w:t xml:space="preserve"> </w:t>
            </w:r>
            <w:proofErr w:type="spellStart"/>
            <w:r w:rsidRPr="00FC5C2F">
              <w:rPr>
                <w:rFonts w:ascii="Times New Roman" w:hAnsi="Times New Roman" w:cs="Times New Roman"/>
                <w:szCs w:val="24"/>
              </w:rPr>
              <w:t>Político</w:t>
            </w:r>
            <w:proofErr w:type="spellEnd"/>
          </w:p>
        </w:tc>
        <w:tc>
          <w:tcPr>
            <w:tcW w:w="2977" w:type="dxa"/>
          </w:tcPr>
          <w:p w14:paraId="2A96B8AA" w14:textId="77777777" w:rsidR="00FC5C2F" w:rsidRPr="00FC5C2F" w:rsidRDefault="00FC5C2F" w:rsidP="003C4F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proofErr w:type="spellStart"/>
            <w:r w:rsidRPr="00FC5C2F">
              <w:rPr>
                <w:rFonts w:ascii="Times New Roman" w:hAnsi="Times New Roman" w:cs="Times New Roman"/>
                <w:szCs w:val="24"/>
              </w:rPr>
              <w:t>Dinero</w:t>
            </w:r>
            <w:proofErr w:type="spellEnd"/>
            <w:r w:rsidRPr="00FC5C2F">
              <w:rPr>
                <w:rFonts w:ascii="Times New Roman" w:hAnsi="Times New Roman" w:cs="Times New Roman"/>
                <w:szCs w:val="24"/>
              </w:rPr>
              <w:t xml:space="preserve"> </w:t>
            </w:r>
            <w:proofErr w:type="spellStart"/>
            <w:r w:rsidRPr="00FC5C2F">
              <w:rPr>
                <w:rFonts w:ascii="Times New Roman" w:hAnsi="Times New Roman" w:cs="Times New Roman"/>
                <w:szCs w:val="24"/>
              </w:rPr>
              <w:t>reportado</w:t>
            </w:r>
            <w:proofErr w:type="spellEnd"/>
            <w:r w:rsidRPr="00FC5C2F">
              <w:rPr>
                <w:rFonts w:ascii="Times New Roman" w:hAnsi="Times New Roman" w:cs="Times New Roman"/>
                <w:szCs w:val="24"/>
              </w:rPr>
              <w:t xml:space="preserve"> (COP)</w:t>
            </w:r>
          </w:p>
        </w:tc>
        <w:tc>
          <w:tcPr>
            <w:tcW w:w="2770" w:type="dxa"/>
          </w:tcPr>
          <w:p w14:paraId="73371591" w14:textId="77777777" w:rsidR="00FC5C2F" w:rsidRPr="00FC5C2F" w:rsidRDefault="00FC5C2F" w:rsidP="003C4F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4"/>
              </w:rPr>
            </w:pPr>
            <w:proofErr w:type="spellStart"/>
            <w:r w:rsidRPr="00FC5C2F">
              <w:rPr>
                <w:rFonts w:ascii="Times New Roman" w:hAnsi="Times New Roman" w:cs="Times New Roman"/>
                <w:szCs w:val="24"/>
              </w:rPr>
              <w:t>Dinero</w:t>
            </w:r>
            <w:proofErr w:type="spellEnd"/>
            <w:r w:rsidRPr="00FC5C2F">
              <w:rPr>
                <w:rFonts w:ascii="Times New Roman" w:hAnsi="Times New Roman" w:cs="Times New Roman"/>
                <w:szCs w:val="24"/>
              </w:rPr>
              <w:t xml:space="preserve"> </w:t>
            </w:r>
            <w:proofErr w:type="spellStart"/>
            <w:r w:rsidRPr="00FC5C2F">
              <w:rPr>
                <w:rFonts w:ascii="Times New Roman" w:hAnsi="Times New Roman" w:cs="Times New Roman"/>
                <w:szCs w:val="24"/>
              </w:rPr>
              <w:t>reportado</w:t>
            </w:r>
            <w:proofErr w:type="spellEnd"/>
            <w:r w:rsidRPr="00FC5C2F">
              <w:rPr>
                <w:rFonts w:ascii="Times New Roman" w:hAnsi="Times New Roman" w:cs="Times New Roman"/>
                <w:szCs w:val="24"/>
              </w:rPr>
              <w:t xml:space="preserve"> (USD)</w:t>
            </w:r>
          </w:p>
        </w:tc>
      </w:tr>
      <w:tr w:rsidR="00FC5C2F" w:rsidRPr="00FC5C2F" w14:paraId="6100D728" w14:textId="77777777" w:rsidTr="00FC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69F2125" w14:textId="77777777" w:rsidR="00FC5C2F" w:rsidRPr="00FC5C2F" w:rsidRDefault="00FC5C2F" w:rsidP="003C4FA5">
            <w:pPr>
              <w:spacing w:line="360" w:lineRule="auto"/>
              <w:jc w:val="center"/>
              <w:rPr>
                <w:rFonts w:ascii="Times New Roman" w:hAnsi="Times New Roman" w:cs="Times New Roman"/>
                <w:szCs w:val="24"/>
              </w:rPr>
            </w:pPr>
            <w:proofErr w:type="spellStart"/>
            <w:r w:rsidRPr="00FC5C2F">
              <w:rPr>
                <w:rFonts w:ascii="Times New Roman" w:hAnsi="Times New Roman" w:cs="Times New Roman"/>
                <w:szCs w:val="24"/>
              </w:rPr>
              <w:t>Partido</w:t>
            </w:r>
            <w:proofErr w:type="spellEnd"/>
            <w:r w:rsidRPr="00FC5C2F">
              <w:rPr>
                <w:rFonts w:ascii="Times New Roman" w:hAnsi="Times New Roman" w:cs="Times New Roman"/>
                <w:szCs w:val="24"/>
              </w:rPr>
              <w:t xml:space="preserve"> </w:t>
            </w:r>
            <w:proofErr w:type="spellStart"/>
            <w:r w:rsidRPr="00FC5C2F">
              <w:rPr>
                <w:rFonts w:ascii="Times New Roman" w:hAnsi="Times New Roman" w:cs="Times New Roman"/>
                <w:szCs w:val="24"/>
              </w:rPr>
              <w:t>Cambio</w:t>
            </w:r>
            <w:proofErr w:type="spellEnd"/>
            <w:r w:rsidRPr="00FC5C2F">
              <w:rPr>
                <w:rFonts w:ascii="Times New Roman" w:hAnsi="Times New Roman" w:cs="Times New Roman"/>
                <w:szCs w:val="24"/>
              </w:rPr>
              <w:t xml:space="preserve"> Radical</w:t>
            </w:r>
          </w:p>
        </w:tc>
        <w:tc>
          <w:tcPr>
            <w:tcW w:w="2977" w:type="dxa"/>
          </w:tcPr>
          <w:p w14:paraId="01C781FB" w14:textId="77777777" w:rsidR="00FC5C2F" w:rsidRPr="00FC5C2F" w:rsidRDefault="00FC5C2F" w:rsidP="003C4F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2.306.630.000</w:t>
            </w:r>
          </w:p>
        </w:tc>
        <w:tc>
          <w:tcPr>
            <w:tcW w:w="2770" w:type="dxa"/>
          </w:tcPr>
          <w:p w14:paraId="5DD21F1F" w14:textId="77777777" w:rsidR="00FC5C2F" w:rsidRPr="00FC5C2F" w:rsidRDefault="00FC5C2F" w:rsidP="003C4F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780.207,89</w:t>
            </w:r>
          </w:p>
        </w:tc>
      </w:tr>
      <w:tr w:rsidR="00FC5C2F" w:rsidRPr="00FC5C2F" w14:paraId="1B5EB0CF" w14:textId="77777777" w:rsidTr="00FC5C2F">
        <w:tc>
          <w:tcPr>
            <w:cnfStyle w:val="001000000000" w:firstRow="0" w:lastRow="0" w:firstColumn="1" w:lastColumn="0" w:oddVBand="0" w:evenVBand="0" w:oddHBand="0" w:evenHBand="0" w:firstRowFirstColumn="0" w:firstRowLastColumn="0" w:lastRowFirstColumn="0" w:lastRowLastColumn="0"/>
            <w:tcW w:w="3681" w:type="dxa"/>
          </w:tcPr>
          <w:p w14:paraId="784B03C7" w14:textId="77777777" w:rsidR="00FC5C2F" w:rsidRPr="00FC5C2F" w:rsidRDefault="00FC5C2F" w:rsidP="003C4FA5">
            <w:pPr>
              <w:spacing w:line="360" w:lineRule="auto"/>
              <w:jc w:val="center"/>
              <w:rPr>
                <w:rFonts w:ascii="Times New Roman" w:hAnsi="Times New Roman" w:cs="Times New Roman"/>
                <w:szCs w:val="24"/>
              </w:rPr>
            </w:pPr>
            <w:proofErr w:type="spellStart"/>
            <w:r w:rsidRPr="00FC5C2F">
              <w:rPr>
                <w:rFonts w:ascii="Times New Roman" w:hAnsi="Times New Roman" w:cs="Times New Roman"/>
                <w:szCs w:val="24"/>
              </w:rPr>
              <w:t>Partido</w:t>
            </w:r>
            <w:proofErr w:type="spellEnd"/>
            <w:r w:rsidRPr="00FC5C2F">
              <w:rPr>
                <w:rFonts w:ascii="Times New Roman" w:hAnsi="Times New Roman" w:cs="Times New Roman"/>
                <w:szCs w:val="24"/>
              </w:rPr>
              <w:t xml:space="preserve"> </w:t>
            </w:r>
            <w:proofErr w:type="spellStart"/>
            <w:r w:rsidRPr="00FC5C2F">
              <w:rPr>
                <w:rFonts w:ascii="Times New Roman" w:hAnsi="Times New Roman" w:cs="Times New Roman"/>
                <w:szCs w:val="24"/>
              </w:rPr>
              <w:t>Conservador</w:t>
            </w:r>
            <w:proofErr w:type="spellEnd"/>
          </w:p>
        </w:tc>
        <w:tc>
          <w:tcPr>
            <w:tcW w:w="2977" w:type="dxa"/>
          </w:tcPr>
          <w:p w14:paraId="70DCD8DC" w14:textId="77777777" w:rsidR="00FC5C2F" w:rsidRPr="00FC5C2F" w:rsidRDefault="00FC5C2F" w:rsidP="003C4F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1.953.288.000</w:t>
            </w:r>
          </w:p>
        </w:tc>
        <w:tc>
          <w:tcPr>
            <w:tcW w:w="2770" w:type="dxa"/>
          </w:tcPr>
          <w:p w14:paraId="63785B98" w14:textId="77777777" w:rsidR="00FC5C2F" w:rsidRPr="00FC5C2F" w:rsidRDefault="00FC5C2F" w:rsidP="003C4F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660.691,44</w:t>
            </w:r>
          </w:p>
        </w:tc>
      </w:tr>
      <w:tr w:rsidR="00FC5C2F" w:rsidRPr="00FC5C2F" w14:paraId="45207DA2" w14:textId="77777777" w:rsidTr="00FC5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AB1BFD5" w14:textId="77777777" w:rsidR="00FC5C2F" w:rsidRPr="00FC5C2F" w:rsidRDefault="00FC5C2F" w:rsidP="003C4FA5">
            <w:pPr>
              <w:spacing w:line="360" w:lineRule="auto"/>
              <w:jc w:val="center"/>
              <w:rPr>
                <w:rFonts w:ascii="Times New Roman" w:hAnsi="Times New Roman" w:cs="Times New Roman"/>
                <w:szCs w:val="24"/>
              </w:rPr>
            </w:pPr>
            <w:proofErr w:type="spellStart"/>
            <w:r w:rsidRPr="00FC5C2F">
              <w:rPr>
                <w:rFonts w:ascii="Times New Roman" w:hAnsi="Times New Roman" w:cs="Times New Roman"/>
                <w:szCs w:val="24"/>
              </w:rPr>
              <w:t>Partido</w:t>
            </w:r>
            <w:proofErr w:type="spellEnd"/>
            <w:r w:rsidRPr="00FC5C2F">
              <w:rPr>
                <w:rFonts w:ascii="Times New Roman" w:hAnsi="Times New Roman" w:cs="Times New Roman"/>
                <w:szCs w:val="24"/>
              </w:rPr>
              <w:t xml:space="preserve"> Centro </w:t>
            </w:r>
            <w:proofErr w:type="spellStart"/>
            <w:r w:rsidRPr="00FC5C2F">
              <w:rPr>
                <w:rFonts w:ascii="Times New Roman" w:hAnsi="Times New Roman" w:cs="Times New Roman"/>
                <w:szCs w:val="24"/>
              </w:rPr>
              <w:t>Democrático</w:t>
            </w:r>
            <w:proofErr w:type="spellEnd"/>
          </w:p>
        </w:tc>
        <w:tc>
          <w:tcPr>
            <w:tcW w:w="2977" w:type="dxa"/>
          </w:tcPr>
          <w:p w14:paraId="3018FE8F" w14:textId="77777777" w:rsidR="00FC5C2F" w:rsidRPr="00FC5C2F" w:rsidRDefault="00FC5C2F" w:rsidP="003C4F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212.968.000</w:t>
            </w:r>
          </w:p>
        </w:tc>
        <w:tc>
          <w:tcPr>
            <w:tcW w:w="2770" w:type="dxa"/>
          </w:tcPr>
          <w:p w14:paraId="49EA85EC" w14:textId="77777777" w:rsidR="00FC5C2F" w:rsidRPr="00FC5C2F" w:rsidRDefault="00FC5C2F" w:rsidP="003C4F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72.035,53</w:t>
            </w:r>
          </w:p>
        </w:tc>
      </w:tr>
      <w:tr w:rsidR="00FC5C2F" w:rsidRPr="00FC5C2F" w14:paraId="02FC1FD8" w14:textId="77777777" w:rsidTr="00FC5C2F">
        <w:tc>
          <w:tcPr>
            <w:cnfStyle w:val="001000000000" w:firstRow="0" w:lastRow="0" w:firstColumn="1" w:lastColumn="0" w:oddVBand="0" w:evenVBand="0" w:oddHBand="0" w:evenHBand="0" w:firstRowFirstColumn="0" w:firstRowLastColumn="0" w:lastRowFirstColumn="0" w:lastRowLastColumn="0"/>
            <w:tcW w:w="3681" w:type="dxa"/>
          </w:tcPr>
          <w:p w14:paraId="0A8093F6" w14:textId="77777777" w:rsidR="00FC5C2F" w:rsidRPr="00FC5C2F" w:rsidRDefault="00FC5C2F" w:rsidP="003C4FA5">
            <w:pPr>
              <w:spacing w:line="360" w:lineRule="auto"/>
              <w:jc w:val="center"/>
              <w:rPr>
                <w:rFonts w:ascii="Times New Roman" w:hAnsi="Times New Roman" w:cs="Times New Roman"/>
                <w:szCs w:val="24"/>
              </w:rPr>
            </w:pPr>
            <w:proofErr w:type="spellStart"/>
            <w:r w:rsidRPr="00FC5C2F">
              <w:rPr>
                <w:rFonts w:ascii="Times New Roman" w:hAnsi="Times New Roman" w:cs="Times New Roman"/>
                <w:szCs w:val="24"/>
              </w:rPr>
              <w:t>Partido</w:t>
            </w:r>
            <w:proofErr w:type="spellEnd"/>
            <w:r w:rsidRPr="00FC5C2F">
              <w:rPr>
                <w:rFonts w:ascii="Times New Roman" w:hAnsi="Times New Roman" w:cs="Times New Roman"/>
                <w:szCs w:val="24"/>
              </w:rPr>
              <w:t xml:space="preserve"> de la </w:t>
            </w:r>
            <w:proofErr w:type="spellStart"/>
            <w:r w:rsidRPr="00FC5C2F">
              <w:rPr>
                <w:rFonts w:ascii="Times New Roman" w:hAnsi="Times New Roman" w:cs="Times New Roman"/>
                <w:szCs w:val="24"/>
              </w:rPr>
              <w:t>Unidad</w:t>
            </w:r>
            <w:proofErr w:type="spellEnd"/>
          </w:p>
        </w:tc>
        <w:tc>
          <w:tcPr>
            <w:tcW w:w="2977" w:type="dxa"/>
          </w:tcPr>
          <w:p w14:paraId="01B8EB42" w14:textId="77777777" w:rsidR="00FC5C2F" w:rsidRPr="00FC5C2F" w:rsidRDefault="00FC5C2F" w:rsidP="003C4F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60.894.000</w:t>
            </w:r>
          </w:p>
        </w:tc>
        <w:tc>
          <w:tcPr>
            <w:tcW w:w="2770" w:type="dxa"/>
          </w:tcPr>
          <w:p w14:paraId="2E2600DE" w14:textId="77777777" w:rsidR="00FC5C2F" w:rsidRPr="00FC5C2F" w:rsidRDefault="00FC5C2F" w:rsidP="003C4F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FC5C2F">
              <w:rPr>
                <w:rFonts w:ascii="Times New Roman" w:hAnsi="Times New Roman" w:cs="Times New Roman"/>
                <w:szCs w:val="24"/>
              </w:rPr>
              <w:t>20.597,14</w:t>
            </w:r>
          </w:p>
        </w:tc>
      </w:tr>
    </w:tbl>
    <w:p w14:paraId="2AD665C8" w14:textId="77777777" w:rsidR="00FC5C2F" w:rsidRDefault="00FC5C2F" w:rsidP="00FC5C2F">
      <w:pPr>
        <w:spacing w:line="360" w:lineRule="auto"/>
        <w:ind w:left="720"/>
        <w:rPr>
          <w:rFonts w:ascii="Times New Roman" w:hAnsi="Times New Roman" w:cs="Times New Roman"/>
          <w:szCs w:val="24"/>
          <w:lang w:val="es-MX"/>
        </w:rPr>
      </w:pPr>
    </w:p>
    <w:p w14:paraId="1D5E47C2" w14:textId="0A6DA16C" w:rsidR="00FC5C2F" w:rsidRPr="00FC5C2F" w:rsidRDefault="00FC5C2F" w:rsidP="00FC5C2F">
      <w:pPr>
        <w:spacing w:line="360" w:lineRule="auto"/>
        <w:ind w:left="720"/>
        <w:rPr>
          <w:rFonts w:ascii="Times New Roman" w:hAnsi="Times New Roman" w:cs="Times New Roman"/>
          <w:szCs w:val="24"/>
        </w:rPr>
      </w:pPr>
      <w:r w:rsidRPr="00FC5C2F">
        <w:rPr>
          <w:rFonts w:ascii="Times New Roman" w:hAnsi="Times New Roman" w:cs="Times New Roman"/>
          <w:szCs w:val="24"/>
          <w:lang w:val="es-MX"/>
        </w:rPr>
        <w:t xml:space="preserve">Información recopilada por los autores. Fuente: </w:t>
      </w:r>
      <w:r w:rsidRPr="00FC5C2F">
        <w:rPr>
          <w:rFonts w:ascii="Times New Roman" w:hAnsi="Times New Roman" w:cs="Times New Roman"/>
          <w:lang w:val="es-MX"/>
        </w:rPr>
        <w:t xml:space="preserve">La Liga Contra el Silencio. El ‘agridulce’ imperio del lobby en el Congreso de Colombia. </w:t>
      </w:r>
      <w:r w:rsidRPr="00FC5C2F">
        <w:rPr>
          <w:rFonts w:ascii="Times New Roman" w:hAnsi="Times New Roman" w:cs="Times New Roman"/>
        </w:rPr>
        <w:t>2018 [cited 2020 Sep 11]; Available from: https://ligacontraelsilencio.com/2018/08/23/el-agridulce-imperio-del-lobby-en-el-congreso-de-colombia/</w:t>
      </w:r>
    </w:p>
    <w:p w14:paraId="02F728D4" w14:textId="77777777" w:rsidR="00A07317" w:rsidRPr="000D6B6F" w:rsidRDefault="00B13041" w:rsidP="000D6B6F">
      <w:pPr>
        <w:pStyle w:val="Ttulo2"/>
        <w:snapToGrid w:val="0"/>
        <w:spacing w:before="0" w:after="0" w:line="360" w:lineRule="auto"/>
        <w:contextualSpacing/>
        <w:rPr>
          <w:rFonts w:ascii="Times New Roman" w:hAnsi="Times New Roman" w:cs="Times New Roman"/>
          <w:b w:val="0"/>
          <w:bCs/>
          <w:lang w:val="es-GT"/>
        </w:rPr>
      </w:pPr>
      <w:r w:rsidRPr="000D6B6F">
        <w:rPr>
          <w:rFonts w:ascii="Times New Roman" w:hAnsi="Times New Roman" w:cs="Times New Roman"/>
          <w:b w:val="0"/>
          <w:bCs/>
          <w:lang w:val="es-GT"/>
        </w:rPr>
        <w:t>Uno de los participantes se refirió al financiamiento de campañas electorales como un tipo especial de incentivo:</w:t>
      </w:r>
    </w:p>
    <w:p w14:paraId="2EE28D1F" w14:textId="0FEEB623" w:rsidR="00B13041" w:rsidRPr="000D6B6F" w:rsidRDefault="00B13041" w:rsidP="00C40046">
      <w:pPr>
        <w:pStyle w:val="Ttulo2"/>
        <w:snapToGrid w:val="0"/>
        <w:spacing w:before="0" w:after="0" w:line="360" w:lineRule="auto"/>
        <w:ind w:left="720"/>
        <w:contextualSpacing/>
        <w:rPr>
          <w:rFonts w:ascii="Times New Roman" w:hAnsi="Times New Roman" w:cs="Times New Roman"/>
          <w:b w:val="0"/>
          <w:bCs/>
          <w:lang w:val="es-GT"/>
        </w:rPr>
      </w:pPr>
      <w:r w:rsidRPr="000D6B6F">
        <w:rPr>
          <w:rFonts w:ascii="Times New Roman" w:hAnsi="Times New Roman" w:cs="Times New Roman"/>
          <w:b w:val="0"/>
          <w:bCs/>
          <w:i/>
          <w:iCs/>
          <w:lang w:val="es-GT"/>
        </w:rPr>
        <w:t xml:space="preserve">“Postobón, por ejemplo, </w:t>
      </w:r>
      <w:r w:rsidR="007F507C" w:rsidRPr="000D6B6F">
        <w:rPr>
          <w:rFonts w:ascii="Times New Roman" w:hAnsi="Times New Roman" w:cs="Times New Roman"/>
          <w:b w:val="0"/>
          <w:bCs/>
          <w:i/>
          <w:iCs/>
          <w:lang w:val="es-GT"/>
        </w:rPr>
        <w:t>creó</w:t>
      </w:r>
      <w:r w:rsidRPr="000D6B6F">
        <w:rPr>
          <w:rFonts w:ascii="Times New Roman" w:hAnsi="Times New Roman" w:cs="Times New Roman"/>
          <w:b w:val="0"/>
          <w:bCs/>
          <w:i/>
          <w:iCs/>
          <w:lang w:val="es-GT"/>
        </w:rPr>
        <w:t xml:space="preserve"> una estrategia en la que financió a todos los candidatos al Congreso</w:t>
      </w:r>
      <w:r w:rsidR="00A07317" w:rsidRPr="000D6B6F">
        <w:rPr>
          <w:rFonts w:ascii="Times New Roman" w:hAnsi="Times New Roman" w:cs="Times New Roman"/>
          <w:b w:val="0"/>
          <w:bCs/>
          <w:i/>
          <w:iCs/>
          <w:lang w:val="es-GT"/>
        </w:rPr>
        <w:t xml:space="preserve"> de la República de </w:t>
      </w:r>
      <w:r w:rsidR="00EE7F7F" w:rsidRPr="000D6B6F">
        <w:rPr>
          <w:rFonts w:ascii="Times New Roman" w:hAnsi="Times New Roman" w:cs="Times New Roman"/>
          <w:b w:val="0"/>
          <w:bCs/>
          <w:i/>
          <w:iCs/>
          <w:lang w:val="es-GT"/>
        </w:rPr>
        <w:t>Colombia</w:t>
      </w:r>
      <w:r w:rsidRPr="000D6B6F">
        <w:rPr>
          <w:rFonts w:ascii="Times New Roman" w:hAnsi="Times New Roman" w:cs="Times New Roman"/>
          <w:b w:val="0"/>
          <w:bCs/>
          <w:i/>
          <w:iCs/>
          <w:lang w:val="es-GT"/>
        </w:rPr>
        <w:t xml:space="preserve"> les </w:t>
      </w:r>
      <w:r w:rsidR="00A07317" w:rsidRPr="000D6B6F">
        <w:rPr>
          <w:rFonts w:ascii="Times New Roman" w:hAnsi="Times New Roman" w:cs="Times New Roman"/>
          <w:b w:val="0"/>
          <w:bCs/>
          <w:i/>
          <w:iCs/>
          <w:lang w:val="es-GT"/>
        </w:rPr>
        <w:t>entregó</w:t>
      </w:r>
      <w:r w:rsidRPr="000D6B6F">
        <w:rPr>
          <w:rFonts w:ascii="Times New Roman" w:hAnsi="Times New Roman" w:cs="Times New Roman"/>
          <w:b w:val="0"/>
          <w:bCs/>
          <w:i/>
          <w:iCs/>
          <w:lang w:val="es-GT"/>
        </w:rPr>
        <w:t xml:space="preserve"> seis millones de pesos por igual, de tal manera que marcó a todos con un conflicto de intereses, a todos, a los que ganaron, a los que no ganaron.” y es</w:t>
      </w:r>
      <w:r w:rsidR="00A07317" w:rsidRPr="000D6B6F">
        <w:rPr>
          <w:rFonts w:ascii="Times New Roman" w:hAnsi="Times New Roman" w:cs="Times New Roman"/>
          <w:b w:val="0"/>
          <w:bCs/>
          <w:i/>
          <w:iCs/>
          <w:lang w:val="es-GT"/>
        </w:rPr>
        <w:t xml:space="preserve">e </w:t>
      </w:r>
      <w:r w:rsidR="008F615E" w:rsidRPr="000D6B6F">
        <w:rPr>
          <w:rFonts w:ascii="Times New Roman" w:hAnsi="Times New Roman" w:cs="Times New Roman"/>
          <w:b w:val="0"/>
          <w:bCs/>
          <w:i/>
          <w:iCs/>
          <w:lang w:val="es-GT"/>
        </w:rPr>
        <w:t>es otro</w:t>
      </w:r>
      <w:r w:rsidRPr="000D6B6F">
        <w:rPr>
          <w:rFonts w:ascii="Times New Roman" w:hAnsi="Times New Roman" w:cs="Times New Roman"/>
          <w:b w:val="0"/>
          <w:bCs/>
          <w:i/>
          <w:iCs/>
          <w:lang w:val="es-GT"/>
        </w:rPr>
        <w:t xml:space="preserve"> tipo de incentivo</w:t>
      </w:r>
      <w:r w:rsidR="00A07317" w:rsidRPr="000D6B6F">
        <w:rPr>
          <w:rFonts w:ascii="Times New Roman" w:hAnsi="Times New Roman" w:cs="Times New Roman"/>
          <w:b w:val="0"/>
          <w:bCs/>
          <w:i/>
          <w:iCs/>
          <w:lang w:val="es-GT"/>
        </w:rPr>
        <w:t xml:space="preserve"> </w:t>
      </w:r>
      <w:r w:rsidR="008F615E" w:rsidRPr="000D6B6F">
        <w:rPr>
          <w:rFonts w:ascii="Times New Roman" w:hAnsi="Times New Roman" w:cs="Times New Roman"/>
          <w:b w:val="0"/>
          <w:bCs/>
          <w:i/>
          <w:iCs/>
          <w:lang w:val="es-GT"/>
        </w:rPr>
        <w:t>al que</w:t>
      </w:r>
      <w:r w:rsidRPr="000D6B6F">
        <w:rPr>
          <w:rFonts w:ascii="Times New Roman" w:hAnsi="Times New Roman" w:cs="Times New Roman"/>
          <w:b w:val="0"/>
          <w:bCs/>
          <w:i/>
          <w:iCs/>
          <w:lang w:val="es-GT"/>
        </w:rPr>
        <w:t xml:space="preserve"> llaman algo así como “apoyo a la democracia</w:t>
      </w:r>
      <w:r w:rsidR="008F615E" w:rsidRPr="000D6B6F">
        <w:rPr>
          <w:rFonts w:ascii="Times New Roman" w:hAnsi="Times New Roman" w:cs="Times New Roman"/>
          <w:b w:val="0"/>
          <w:bCs/>
          <w:i/>
          <w:iCs/>
          <w:lang w:val="es-GT"/>
        </w:rPr>
        <w:t>””</w:t>
      </w:r>
      <w:r w:rsidRPr="000D6B6F">
        <w:rPr>
          <w:rFonts w:ascii="Times New Roman" w:hAnsi="Times New Roman" w:cs="Times New Roman"/>
          <w:b w:val="0"/>
          <w:bCs/>
          <w:i/>
          <w:iCs/>
          <w:lang w:val="es-GT"/>
        </w:rPr>
        <w:t>. [A139].</w:t>
      </w:r>
    </w:p>
    <w:p w14:paraId="3599FF54" w14:textId="0A8FE82C" w:rsidR="00A07317" w:rsidRPr="000D6B6F" w:rsidRDefault="00A07317" w:rsidP="000D6B6F">
      <w:pPr>
        <w:snapToGrid w:val="0"/>
        <w:spacing w:after="0" w:line="360" w:lineRule="auto"/>
        <w:contextualSpacing/>
        <w:rPr>
          <w:rFonts w:ascii="Times New Roman" w:hAnsi="Times New Roman" w:cs="Times New Roman"/>
          <w:lang w:val="es-GT"/>
        </w:rPr>
      </w:pPr>
    </w:p>
    <w:p w14:paraId="6CA6FCF1" w14:textId="69C5654A" w:rsidR="007F507C" w:rsidRDefault="00B13041" w:rsidP="00C40046">
      <w:pPr>
        <w:pStyle w:val="Ttulo2"/>
        <w:snapToGrid w:val="0"/>
        <w:spacing w:before="0" w:after="0" w:line="360" w:lineRule="auto"/>
        <w:ind w:firstLine="720"/>
        <w:contextualSpacing/>
        <w:rPr>
          <w:rFonts w:ascii="Times New Roman" w:hAnsi="Times New Roman" w:cs="Times New Roman"/>
          <w:b w:val="0"/>
          <w:bCs/>
          <w:lang w:val="es-GT"/>
        </w:rPr>
      </w:pPr>
      <w:r w:rsidRPr="000D6B6F">
        <w:rPr>
          <w:rFonts w:ascii="Times New Roman" w:hAnsi="Times New Roman" w:cs="Times New Roman"/>
          <w:b w:val="0"/>
          <w:bCs/>
          <w:lang w:val="es-GT"/>
        </w:rPr>
        <w:lastRenderedPageBreak/>
        <w:t xml:space="preserve">Otro tipo de incentivo son las donaciones financieras, que se refieren a transferencias de efectivo. Las donaciones financieras se informan regularmente en sitios web gubernamentales, en los medios de comunicación [A18-A20] y en las cuentas de Twitter de las empresas de la industria alimentaria. Los actores de la industria donaron dinero al poder ejecutivo nacional durante campañas políticas o a programas encargados de transferir estos recursos a sectores vulnerables de la población o en condiciones de pobreza que fueron afectados por la pandemia de COVID-19. </w:t>
      </w:r>
      <w:r w:rsidR="007F507C" w:rsidRPr="000D6B6F">
        <w:rPr>
          <w:rFonts w:ascii="Times New Roman" w:hAnsi="Times New Roman" w:cs="Times New Roman"/>
          <w:b w:val="0"/>
          <w:bCs/>
          <w:lang w:val="es-GT"/>
        </w:rPr>
        <w:t>A pesar de ello</w:t>
      </w:r>
      <w:r w:rsidRPr="000D6B6F">
        <w:rPr>
          <w:rFonts w:ascii="Times New Roman" w:hAnsi="Times New Roman" w:cs="Times New Roman"/>
          <w:b w:val="0"/>
          <w:bCs/>
          <w:lang w:val="es-GT"/>
        </w:rPr>
        <w:t xml:space="preserve">, las donaciones financieras fueron recibidas inicialmente por entidades como la Alcaldía de Bogotá o la Presidencia de la República. Algunos de los entrevistados mencionaron que la industria alimentaria puede proporcionar grandes sumas de dinero, que son difíciles de rastrear, </w:t>
      </w:r>
      <w:r w:rsidR="0043457A" w:rsidRPr="000D6B6F">
        <w:rPr>
          <w:rFonts w:ascii="Times New Roman" w:hAnsi="Times New Roman" w:cs="Times New Roman"/>
          <w:b w:val="0"/>
          <w:bCs/>
          <w:lang w:val="es-GT"/>
        </w:rPr>
        <w:t xml:space="preserve">las cuales son </w:t>
      </w:r>
      <w:r w:rsidRPr="000D6B6F">
        <w:rPr>
          <w:rFonts w:ascii="Times New Roman" w:hAnsi="Times New Roman" w:cs="Times New Roman"/>
          <w:b w:val="0"/>
          <w:bCs/>
          <w:lang w:val="es-GT"/>
        </w:rPr>
        <w:t xml:space="preserve">dirigidas directamente a congresistas involucrados en proyectos de ley que buscan regular los productos de la industria. Un entrevistado explicó, </w:t>
      </w:r>
    </w:p>
    <w:p w14:paraId="49364714" w14:textId="30A497D4" w:rsidR="005B79DD" w:rsidRPr="005B79DD" w:rsidRDefault="005B79DD" w:rsidP="005B79DD">
      <w:pPr>
        <w:pStyle w:val="Ttulo2"/>
        <w:snapToGrid w:val="0"/>
        <w:spacing w:before="0" w:after="0" w:line="360" w:lineRule="auto"/>
        <w:ind w:left="720"/>
        <w:contextualSpacing/>
        <w:rPr>
          <w:rFonts w:ascii="Times New Roman" w:hAnsi="Times New Roman" w:cs="Times New Roman"/>
          <w:b w:val="0"/>
          <w:bCs/>
          <w:i/>
          <w:iCs/>
          <w:lang w:val="es-GT"/>
        </w:rPr>
      </w:pPr>
      <w:r w:rsidRPr="000D6B6F">
        <w:rPr>
          <w:rFonts w:ascii="Times New Roman" w:hAnsi="Times New Roman" w:cs="Times New Roman"/>
          <w:b w:val="0"/>
          <w:bCs/>
          <w:i/>
          <w:iCs/>
          <w:lang w:val="es-GT"/>
        </w:rPr>
        <w:t>"...un voto en contra del impuesto podría valer 50, 100, 200 millones de pesos colombianos... depende de qué tan avanzado esté el proyecto y su impacto". [A147].</w:t>
      </w:r>
    </w:p>
    <w:p w14:paraId="69799C87" w14:textId="77777777" w:rsidR="005B79DD" w:rsidRDefault="005B79DD" w:rsidP="005B79DD">
      <w:pPr>
        <w:pStyle w:val="Ttulo2"/>
        <w:snapToGrid w:val="0"/>
        <w:spacing w:before="0" w:after="0" w:line="360" w:lineRule="auto"/>
        <w:ind w:firstLine="720"/>
        <w:contextualSpacing/>
        <w:rPr>
          <w:rFonts w:ascii="Times New Roman" w:hAnsi="Times New Roman" w:cs="Times New Roman"/>
          <w:b w:val="0"/>
          <w:lang w:val="es-GT"/>
        </w:rPr>
      </w:pPr>
    </w:p>
    <w:p w14:paraId="7C1E7A95" w14:textId="3EEEC7F3" w:rsidR="005B79DD" w:rsidRDefault="00C6192E"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También identificamos donaciones en especie, en las que muchos de los tuits analizados aludían a este tipo de incentivo. Algunas corporaciones proporcionaron agua, cupones de alimentos y paquetes de alimentos con artículos de sus catálogos de marcas, como SSB y productos alimenticios ultra procesados</w:t>
      </w:r>
      <w:r w:rsidR="00A00137" w:rsidRPr="005B79DD">
        <w:rPr>
          <w:rFonts w:ascii="Times New Roman" w:hAnsi="Times New Roman" w:cs="Times New Roman"/>
          <w:b w:val="0"/>
          <w:lang w:val="es-GT"/>
        </w:rPr>
        <w:t>; los</w:t>
      </w:r>
      <w:r w:rsidRPr="005B79DD">
        <w:rPr>
          <w:rFonts w:ascii="Times New Roman" w:hAnsi="Times New Roman" w:cs="Times New Roman"/>
          <w:b w:val="0"/>
          <w:lang w:val="es-GT"/>
        </w:rPr>
        <w:t xml:space="preserve"> que se entregaron a alcaldes y gobernadores para ser asignados a poblaciones vulnerables en sus </w:t>
      </w:r>
      <w:r w:rsidR="00A00137" w:rsidRPr="005B79DD">
        <w:rPr>
          <w:rFonts w:ascii="Times New Roman" w:hAnsi="Times New Roman" w:cs="Times New Roman"/>
          <w:b w:val="0"/>
          <w:lang w:val="es-GT"/>
        </w:rPr>
        <w:t xml:space="preserve">respectivas </w:t>
      </w:r>
      <w:r w:rsidRPr="005B79DD">
        <w:rPr>
          <w:rFonts w:ascii="Times New Roman" w:hAnsi="Times New Roman" w:cs="Times New Roman"/>
          <w:b w:val="0"/>
          <w:lang w:val="es-GT"/>
        </w:rPr>
        <w:t>regiones [A18, A20, A21, A24]. La industria alimentaria también donó bicicletas [A99, A115] y muebles escolares [A102]</w:t>
      </w:r>
      <w:r w:rsidR="00A00137" w:rsidRPr="005B79DD">
        <w:rPr>
          <w:rFonts w:ascii="Times New Roman" w:hAnsi="Times New Roman" w:cs="Times New Roman"/>
          <w:b w:val="0"/>
          <w:lang w:val="es-GT"/>
        </w:rPr>
        <w:t>. Además</w:t>
      </w:r>
      <w:r w:rsidRPr="005B79DD">
        <w:rPr>
          <w:rFonts w:ascii="Times New Roman" w:hAnsi="Times New Roman" w:cs="Times New Roman"/>
          <w:b w:val="0"/>
          <w:lang w:val="es-GT"/>
        </w:rPr>
        <w:t xml:space="preserve"> (en el contexto de COVID-19) ofreció productos de higiene, mascarillas, gel </w:t>
      </w:r>
      <w:proofErr w:type="spellStart"/>
      <w:r w:rsidRPr="005B79DD">
        <w:rPr>
          <w:rFonts w:ascii="Times New Roman" w:hAnsi="Times New Roman" w:cs="Times New Roman"/>
          <w:b w:val="0"/>
          <w:lang w:val="es-GT"/>
        </w:rPr>
        <w:t>antibacteria</w:t>
      </w:r>
      <w:proofErr w:type="spellEnd"/>
      <w:r w:rsidR="00313DF8" w:rsidRPr="008F3731">
        <w:rPr>
          <w:rFonts w:ascii="Times New Roman" w:hAnsi="Times New Roman" w:cs="Times New Roman"/>
          <w:b w:val="0"/>
          <w:lang w:val="es-MX"/>
        </w:rPr>
        <w:t>l</w:t>
      </w:r>
      <w:r w:rsidRPr="005B79DD">
        <w:rPr>
          <w:rFonts w:ascii="Times New Roman" w:hAnsi="Times New Roman" w:cs="Times New Roman"/>
          <w:b w:val="0"/>
          <w:lang w:val="es-GT"/>
        </w:rPr>
        <w:t xml:space="preserve">, equipos médicos e incluso pagó por el desarrollo de un hospital para atender a personas enfermas [A108, A110]. Los </w:t>
      </w:r>
      <w:r w:rsidR="008F615E" w:rsidRPr="005B79DD">
        <w:rPr>
          <w:rFonts w:ascii="Times New Roman" w:hAnsi="Times New Roman" w:cs="Times New Roman"/>
          <w:b w:val="0"/>
          <w:lang w:val="es-GT"/>
        </w:rPr>
        <w:t>entrevistados,</w:t>
      </w:r>
      <w:r w:rsidRPr="005B79DD">
        <w:rPr>
          <w:rFonts w:ascii="Times New Roman" w:hAnsi="Times New Roman" w:cs="Times New Roman"/>
          <w:b w:val="0"/>
          <w:lang w:val="es-GT"/>
        </w:rPr>
        <w:t xml:space="preserve"> </w:t>
      </w:r>
      <w:r w:rsidR="009600C2" w:rsidRPr="005B79DD">
        <w:rPr>
          <w:rFonts w:ascii="Times New Roman" w:hAnsi="Times New Roman" w:cs="Times New Roman"/>
          <w:b w:val="0"/>
          <w:lang w:val="es-GT"/>
        </w:rPr>
        <w:t>por su parte</w:t>
      </w:r>
      <w:r w:rsidRPr="005B79DD">
        <w:rPr>
          <w:rFonts w:ascii="Times New Roman" w:hAnsi="Times New Roman" w:cs="Times New Roman"/>
          <w:b w:val="0"/>
          <w:lang w:val="es-GT"/>
        </w:rPr>
        <w:t>, afirmaron que la industria alimentaria entregó refrigerios gratuitos para eventos patrocinados organizados por agencias gubernamentales.</w:t>
      </w:r>
    </w:p>
    <w:p w14:paraId="3707DA8C" w14:textId="77777777" w:rsidR="005B79DD" w:rsidRPr="005B79DD" w:rsidRDefault="00C6192E"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 xml:space="preserve">Los regalos de la industria alimentaria a los actores políticos incluyeron invitaciones a restaurantes, cenas en días festivos como Navidad y </w:t>
      </w:r>
      <w:r w:rsidR="00AE343F" w:rsidRPr="008F3731">
        <w:rPr>
          <w:rFonts w:ascii="Times New Roman" w:hAnsi="Times New Roman" w:cs="Times New Roman"/>
          <w:b w:val="0"/>
          <w:lang w:val="es-MX"/>
        </w:rPr>
        <w:t>Año Nuevo</w:t>
      </w:r>
      <w:r w:rsidRPr="005B79DD">
        <w:rPr>
          <w:rFonts w:ascii="Times New Roman" w:hAnsi="Times New Roman" w:cs="Times New Roman"/>
          <w:b w:val="0"/>
          <w:lang w:val="es-GT"/>
        </w:rPr>
        <w:t xml:space="preserve"> y paseos en yate. La industria alimentaria también financió viajes nacionales e internacionales y</w:t>
      </w:r>
      <w:r w:rsidR="009600C2" w:rsidRPr="005B79DD">
        <w:rPr>
          <w:rFonts w:ascii="Times New Roman" w:hAnsi="Times New Roman" w:cs="Times New Roman"/>
          <w:b w:val="0"/>
          <w:lang w:val="es-GT"/>
        </w:rPr>
        <w:t>,</w:t>
      </w:r>
      <w:r w:rsidRPr="005B79DD">
        <w:rPr>
          <w:rFonts w:ascii="Times New Roman" w:hAnsi="Times New Roman" w:cs="Times New Roman"/>
          <w:b w:val="0"/>
          <w:lang w:val="es-GT"/>
        </w:rPr>
        <w:t xml:space="preserve"> en un caso, pagó por toda la familia de un legislador. Esto también se señaló en un artículo de periódico: </w:t>
      </w:r>
    </w:p>
    <w:p w14:paraId="5D09161A" w14:textId="77777777" w:rsidR="005B79DD" w:rsidRPr="005B79DD" w:rsidRDefault="00C6192E" w:rsidP="005B79DD">
      <w:pPr>
        <w:pStyle w:val="Ttulo2"/>
        <w:snapToGrid w:val="0"/>
        <w:spacing w:before="0" w:after="0" w:line="360" w:lineRule="auto"/>
        <w:ind w:left="720"/>
        <w:contextualSpacing/>
        <w:rPr>
          <w:rFonts w:ascii="Times New Roman" w:hAnsi="Times New Roman" w:cs="Times New Roman"/>
          <w:b w:val="0"/>
          <w:i/>
          <w:iCs/>
          <w:lang w:val="es-GT"/>
        </w:rPr>
      </w:pPr>
      <w:r w:rsidRPr="005B79DD">
        <w:rPr>
          <w:rFonts w:ascii="Times New Roman" w:hAnsi="Times New Roman" w:cs="Times New Roman"/>
          <w:b w:val="0"/>
          <w:i/>
          <w:iCs/>
          <w:lang w:val="es-GT"/>
        </w:rPr>
        <w:lastRenderedPageBreak/>
        <w:t>"Es probable que Cartagena de Indias sea el mayor 'resort de relaciones' del país. Entre los congresos anuales organizados por sindicatos y entidades privadas, los boletos y los gastos de viaje suelen reservarse para que algunos parlamentarios viajen con sus parejas o familiares"</w:t>
      </w:r>
      <w:r w:rsidR="009600C2" w:rsidRPr="005B79DD">
        <w:rPr>
          <w:rFonts w:ascii="Times New Roman" w:hAnsi="Times New Roman" w:cs="Times New Roman"/>
          <w:b w:val="0"/>
          <w:i/>
          <w:iCs/>
          <w:lang w:val="es-GT"/>
        </w:rPr>
        <w:t>.</w:t>
      </w:r>
      <w:r w:rsidRPr="005B79DD">
        <w:rPr>
          <w:rFonts w:ascii="Times New Roman" w:hAnsi="Times New Roman" w:cs="Times New Roman"/>
          <w:b w:val="0"/>
          <w:i/>
          <w:iCs/>
          <w:lang w:val="es-GT"/>
        </w:rPr>
        <w:t xml:space="preserve"> [A14].</w:t>
      </w:r>
    </w:p>
    <w:p w14:paraId="112F8660"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i/>
          <w:iCs/>
          <w:lang w:val="es-GT"/>
        </w:rPr>
      </w:pPr>
    </w:p>
    <w:p w14:paraId="2993CD0A" w14:textId="77777777" w:rsidR="005B79DD" w:rsidRPr="005B79DD" w:rsidRDefault="009600C2"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De igual manera</w:t>
      </w:r>
      <w:r w:rsidR="00C6192E" w:rsidRPr="005B79DD">
        <w:rPr>
          <w:rFonts w:ascii="Times New Roman" w:hAnsi="Times New Roman" w:cs="Times New Roman"/>
          <w:b w:val="0"/>
          <w:lang w:val="es-GT"/>
        </w:rPr>
        <w:t>, la industria proporcionó incentivos de entretenimiento, como boletos para conciertos y partidos de fútbol, y organizó eventos sindicales relacionados con la salud, la alimentación y la nutrición en lugares turísticos. Otros tipos de incentivos incluyen ayuda para facilitar la admisión a universidades para los hijos de los actores políticos y pagar los gastos asociados con educación superior.</w:t>
      </w:r>
    </w:p>
    <w:p w14:paraId="3267B0D3" w14:textId="77777777" w:rsidR="005B79DD" w:rsidRPr="005B79DD" w:rsidRDefault="00C6192E"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 xml:space="preserve">A los congresistas de las provincias de Colombia se les ofreció apoyo financiero y en especie para su residencia en Bogotá, la ciudad donde se encuentra el recinto parlamentario. La industria también conectó a proveedores con diferentes tomadores de decisiones a nivel nacional. </w:t>
      </w:r>
      <w:r w:rsidR="009600C2" w:rsidRPr="005B79DD">
        <w:rPr>
          <w:rFonts w:ascii="Times New Roman" w:hAnsi="Times New Roman" w:cs="Times New Roman"/>
          <w:b w:val="0"/>
          <w:lang w:val="es-GT"/>
        </w:rPr>
        <w:t>A</w:t>
      </w:r>
      <w:proofErr w:type="spellStart"/>
      <w:r w:rsidR="00E26FF6" w:rsidRPr="008F3731">
        <w:rPr>
          <w:rFonts w:ascii="Times New Roman" w:hAnsi="Times New Roman" w:cs="Times New Roman"/>
          <w:b w:val="0"/>
          <w:lang w:val="es-MX"/>
        </w:rPr>
        <w:t>dicionalmente</w:t>
      </w:r>
      <w:proofErr w:type="spellEnd"/>
      <w:r w:rsidRPr="005B79DD">
        <w:rPr>
          <w:rFonts w:ascii="Times New Roman" w:hAnsi="Times New Roman" w:cs="Times New Roman"/>
          <w:b w:val="0"/>
          <w:lang w:val="es-GT"/>
        </w:rPr>
        <w:t xml:space="preserve">, cuando los actores políticos quieren construir parques y escuelas en sus regiones, la industria alimentaria los apoya. </w:t>
      </w:r>
      <w:r w:rsidR="002D3E2A" w:rsidRPr="008F3731">
        <w:rPr>
          <w:rFonts w:ascii="Times New Roman" w:hAnsi="Times New Roman" w:cs="Times New Roman"/>
          <w:b w:val="0"/>
          <w:lang w:val="es-MX"/>
        </w:rPr>
        <w:t xml:space="preserve">Así lo explica </w:t>
      </w:r>
      <w:r w:rsidRPr="005B79DD">
        <w:rPr>
          <w:rFonts w:ascii="Times New Roman" w:hAnsi="Times New Roman" w:cs="Times New Roman"/>
          <w:b w:val="0"/>
          <w:lang w:val="es-GT"/>
        </w:rPr>
        <w:t xml:space="preserve">un entrevistado, </w:t>
      </w:r>
    </w:p>
    <w:p w14:paraId="21F82299" w14:textId="77777777" w:rsidR="005B79DD" w:rsidRPr="005B79DD" w:rsidRDefault="00C6192E" w:rsidP="005B79DD">
      <w:pPr>
        <w:pStyle w:val="Ttulo2"/>
        <w:snapToGrid w:val="0"/>
        <w:spacing w:before="0" w:after="0" w:line="360" w:lineRule="auto"/>
        <w:ind w:left="720"/>
        <w:contextualSpacing/>
        <w:rPr>
          <w:rFonts w:ascii="Times New Roman" w:hAnsi="Times New Roman" w:cs="Times New Roman"/>
          <w:b w:val="0"/>
          <w:i/>
          <w:iCs/>
          <w:lang w:val="es-GT"/>
        </w:rPr>
      </w:pPr>
      <w:r w:rsidRPr="005B79DD">
        <w:rPr>
          <w:rFonts w:ascii="Times New Roman" w:hAnsi="Times New Roman" w:cs="Times New Roman"/>
          <w:b w:val="0"/>
          <w:i/>
          <w:iCs/>
          <w:lang w:val="es-GT"/>
        </w:rPr>
        <w:t xml:space="preserve">"...antes de convertirse en congresista, [el actor político] era alcalde de [la región] y desarrolló una agenda fuerte con todos los parques en [la región], con escuelas hechas por Postobón... así que esos también son ciertos favores que las industrias les ofrecen, ya que los </w:t>
      </w:r>
      <w:r w:rsidR="00224B12" w:rsidRPr="005B79DD">
        <w:rPr>
          <w:rFonts w:ascii="Times New Roman" w:hAnsi="Times New Roman" w:cs="Times New Roman"/>
          <w:b w:val="0"/>
          <w:i/>
          <w:iCs/>
          <w:lang w:val="es-GT"/>
        </w:rPr>
        <w:t>congresistas,</w:t>
      </w:r>
      <w:r w:rsidRPr="005B79DD">
        <w:rPr>
          <w:rFonts w:ascii="Times New Roman" w:hAnsi="Times New Roman" w:cs="Times New Roman"/>
          <w:b w:val="0"/>
          <w:i/>
          <w:iCs/>
          <w:lang w:val="es-GT"/>
        </w:rPr>
        <w:t xml:space="preserve"> en cualquier caso, tienen un lugar donde obtienen sus votos, lo que hace la industria es decir “¿</w:t>
      </w:r>
      <w:r w:rsidR="009600C2" w:rsidRPr="005B79DD">
        <w:rPr>
          <w:rFonts w:ascii="Times New Roman" w:hAnsi="Times New Roman" w:cs="Times New Roman"/>
          <w:b w:val="0"/>
          <w:i/>
          <w:iCs/>
          <w:lang w:val="es-GT"/>
        </w:rPr>
        <w:t>Q</w:t>
      </w:r>
      <w:r w:rsidRPr="005B79DD">
        <w:rPr>
          <w:rFonts w:ascii="Times New Roman" w:hAnsi="Times New Roman" w:cs="Times New Roman"/>
          <w:b w:val="0"/>
          <w:i/>
          <w:iCs/>
          <w:lang w:val="es-GT"/>
        </w:rPr>
        <w:t xml:space="preserve">ué hacemos en tu pueblo?” Hagamos parques, demos bicicletas para los niños, y veamos si Postobón puede llegar allí &gt;&gt;. Por </w:t>
      </w:r>
      <w:r w:rsidR="009600C2" w:rsidRPr="005B79DD">
        <w:rPr>
          <w:rFonts w:ascii="Times New Roman" w:hAnsi="Times New Roman" w:cs="Times New Roman"/>
          <w:b w:val="0"/>
          <w:i/>
          <w:iCs/>
          <w:lang w:val="es-GT"/>
        </w:rPr>
        <w:t>consiguiente</w:t>
      </w:r>
      <w:r w:rsidRPr="005B79DD">
        <w:rPr>
          <w:rFonts w:ascii="Times New Roman" w:hAnsi="Times New Roman" w:cs="Times New Roman"/>
          <w:b w:val="0"/>
          <w:i/>
          <w:iCs/>
          <w:lang w:val="es-GT"/>
        </w:rPr>
        <w:t xml:space="preserve">, en la vida política de estas personas, Postobón </w:t>
      </w:r>
      <w:r w:rsidR="009600C2" w:rsidRPr="005B79DD">
        <w:rPr>
          <w:rFonts w:ascii="Times New Roman" w:hAnsi="Times New Roman" w:cs="Times New Roman"/>
          <w:b w:val="0"/>
          <w:i/>
          <w:iCs/>
          <w:lang w:val="es-GT"/>
        </w:rPr>
        <w:t xml:space="preserve">u otras </w:t>
      </w:r>
      <w:r w:rsidRPr="005B79DD">
        <w:rPr>
          <w:rFonts w:ascii="Times New Roman" w:hAnsi="Times New Roman" w:cs="Times New Roman"/>
          <w:b w:val="0"/>
          <w:i/>
          <w:iCs/>
          <w:lang w:val="es-GT"/>
        </w:rPr>
        <w:t>industrias se convierten en una alternativa para financiar sus programas, su visibilidad política." [A139].</w:t>
      </w:r>
    </w:p>
    <w:p w14:paraId="7ED2BD96"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i/>
          <w:iCs/>
          <w:lang w:val="es-GT"/>
        </w:rPr>
      </w:pPr>
    </w:p>
    <w:p w14:paraId="7CEF15C8" w14:textId="77777777" w:rsidR="005B79DD" w:rsidRPr="005B79DD" w:rsidRDefault="00C6192E"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 xml:space="preserve">La Figura 3 muestra las relaciones entre los actores políticos y la industria alimentaria, así como los tipos de incentivos que se otorgaron. </w:t>
      </w:r>
    </w:p>
    <w:p w14:paraId="1CE1408E"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lang w:val="es-GT"/>
        </w:rPr>
      </w:pPr>
    </w:p>
    <w:p w14:paraId="3666408A" w14:textId="58D49E36" w:rsidR="005B79DD" w:rsidRPr="005B79DD" w:rsidRDefault="009A4FFD" w:rsidP="005B79DD">
      <w:pPr>
        <w:pStyle w:val="Ttulo2"/>
        <w:snapToGrid w:val="0"/>
        <w:spacing w:before="0" w:after="0" w:line="360" w:lineRule="auto"/>
        <w:contextualSpacing/>
        <w:rPr>
          <w:rFonts w:ascii="Times New Roman" w:hAnsi="Times New Roman" w:cs="Times New Roman"/>
          <w:b w:val="0"/>
          <w:lang w:val="es-GT"/>
        </w:rPr>
      </w:pPr>
      <w:r w:rsidRPr="009A4FFD">
        <w:rPr>
          <w:rFonts w:ascii="Times New Roman" w:hAnsi="Times New Roman" w:cs="Times New Roman"/>
          <w:b w:val="0"/>
          <w:noProof/>
          <w:lang w:val="es-MX" w:eastAsia="es-MX"/>
        </w:rPr>
        <w:lastRenderedPageBreak/>
        <w:drawing>
          <wp:inline distT="0" distB="0" distL="0" distR="0" wp14:anchorId="0AA2F2D7" wp14:editId="5D460DD3">
            <wp:extent cx="5943600" cy="3176608"/>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176608"/>
                    </a:xfrm>
                    <a:prstGeom prst="rect">
                      <a:avLst/>
                    </a:prstGeom>
                    <a:noFill/>
                    <a:ln>
                      <a:noFill/>
                    </a:ln>
                  </pic:spPr>
                </pic:pic>
              </a:graphicData>
            </a:graphic>
          </wp:inline>
        </w:drawing>
      </w:r>
    </w:p>
    <w:p w14:paraId="1636861C" w14:textId="4455F083" w:rsidR="005B79DD" w:rsidRDefault="005B79DD" w:rsidP="005B79DD">
      <w:pPr>
        <w:pStyle w:val="Ttulo2"/>
        <w:snapToGrid w:val="0"/>
        <w:spacing w:before="0" w:after="0" w:line="360" w:lineRule="auto"/>
        <w:contextualSpacing/>
        <w:rPr>
          <w:rFonts w:ascii="Times New Roman" w:hAnsi="Times New Roman" w:cs="Times New Roman"/>
          <w:b w:val="0"/>
          <w:lang w:val="es-GT"/>
        </w:rPr>
      </w:pPr>
    </w:p>
    <w:p w14:paraId="4E37A749" w14:textId="77777777" w:rsidR="005B79DD" w:rsidRPr="005B79DD" w:rsidRDefault="00C6192E" w:rsidP="005B79DD">
      <w:pPr>
        <w:pStyle w:val="Ttulo2"/>
        <w:snapToGrid w:val="0"/>
        <w:spacing w:before="0" w:after="0" w:line="360" w:lineRule="auto"/>
        <w:contextualSpacing/>
        <w:rPr>
          <w:rFonts w:ascii="Times New Roman" w:hAnsi="Times New Roman" w:cs="Times New Roman"/>
          <w:b w:val="0"/>
          <w:color w:val="0070C0"/>
          <w:sz w:val="32"/>
          <w:szCs w:val="32"/>
          <w:lang w:val="es-GT"/>
        </w:rPr>
      </w:pPr>
      <w:r w:rsidRPr="005B79DD">
        <w:rPr>
          <w:rFonts w:ascii="Times New Roman" w:hAnsi="Times New Roman" w:cs="Times New Roman"/>
          <w:b w:val="0"/>
          <w:color w:val="0070C0"/>
          <w:sz w:val="32"/>
          <w:szCs w:val="32"/>
          <w:lang w:val="es-GT"/>
        </w:rPr>
        <w:t>Mecanismos a través de los cuales se otorgan incentivos</w:t>
      </w:r>
    </w:p>
    <w:p w14:paraId="526AFF56" w14:textId="77777777" w:rsidR="005B79DD" w:rsidRPr="005B79DD" w:rsidRDefault="00C6192E"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lang w:val="es-GT"/>
        </w:rPr>
        <w:t xml:space="preserve">Según los entrevistados, la industria alimentaria rara vez interactúa directamente con los actores políticos; en su lugar, contrata agencias de cabildeo que se presentan como representantes de relaciones públicas o unidades de comunicación estratégica, bufetes de abogados o consultores, que visitan lugares legislativos y oficinas del Congreso. Para cada tema generado en el ámbito legislativo, la industria alimentaria utiliza diferentes grupos de presión, generalmente contratando personas físicamente “atractivas” que negocian directamente con los actores políticos y repiten los puntos de conversación de la industria alimentaria. Un entrevistado explicó, </w:t>
      </w:r>
    </w:p>
    <w:p w14:paraId="6ACC1576" w14:textId="77777777" w:rsidR="005B79DD" w:rsidRPr="005B79DD" w:rsidRDefault="00C6192E" w:rsidP="005B79DD">
      <w:pPr>
        <w:pStyle w:val="Ttulo2"/>
        <w:snapToGrid w:val="0"/>
        <w:spacing w:before="0" w:after="0" w:line="360" w:lineRule="auto"/>
        <w:ind w:left="720"/>
        <w:contextualSpacing/>
        <w:rPr>
          <w:rFonts w:ascii="Times New Roman" w:hAnsi="Times New Roman" w:cs="Times New Roman"/>
          <w:b w:val="0"/>
          <w:i/>
          <w:iCs/>
          <w:lang w:val="es-GT"/>
        </w:rPr>
      </w:pPr>
      <w:r w:rsidRPr="005B79DD">
        <w:rPr>
          <w:rFonts w:ascii="Times New Roman" w:hAnsi="Times New Roman" w:cs="Times New Roman"/>
          <w:b w:val="0"/>
          <w:i/>
          <w:iCs/>
          <w:lang w:val="es-GT"/>
        </w:rPr>
        <w:t xml:space="preserve">"[El enfoque] es el mismo en todo el mundo, todas las empresas, sindicatos, etc., tienen personas llamadas 'enlaces' y es </w:t>
      </w:r>
      <w:r w:rsidR="00224B12" w:rsidRPr="005B79DD">
        <w:rPr>
          <w:rFonts w:ascii="Times New Roman" w:hAnsi="Times New Roman" w:cs="Times New Roman"/>
          <w:b w:val="0"/>
          <w:i/>
          <w:iCs/>
          <w:lang w:val="es-GT"/>
        </w:rPr>
        <w:t xml:space="preserve">de lo más </w:t>
      </w:r>
      <w:r w:rsidRPr="005B79DD">
        <w:rPr>
          <w:rFonts w:ascii="Times New Roman" w:hAnsi="Times New Roman" w:cs="Times New Roman"/>
          <w:b w:val="0"/>
          <w:i/>
          <w:iCs/>
          <w:lang w:val="es-GT"/>
        </w:rPr>
        <w:t xml:space="preserve">normal, conocen los proyectos... </w:t>
      </w:r>
      <w:r w:rsidR="00624571" w:rsidRPr="005B79DD">
        <w:rPr>
          <w:rFonts w:ascii="Times New Roman" w:hAnsi="Times New Roman" w:cs="Times New Roman"/>
          <w:b w:val="0"/>
          <w:i/>
          <w:iCs/>
          <w:lang w:val="es-GT"/>
        </w:rPr>
        <w:t xml:space="preserve">Cuáles </w:t>
      </w:r>
      <w:r w:rsidRPr="005B79DD">
        <w:rPr>
          <w:rFonts w:ascii="Times New Roman" w:hAnsi="Times New Roman" w:cs="Times New Roman"/>
          <w:b w:val="0"/>
          <w:i/>
          <w:iCs/>
          <w:lang w:val="es-GT"/>
        </w:rPr>
        <w:t xml:space="preserve">apoyan </w:t>
      </w:r>
      <w:r w:rsidR="00E21FD7" w:rsidRPr="005B79DD">
        <w:rPr>
          <w:rFonts w:ascii="Times New Roman" w:hAnsi="Times New Roman" w:cs="Times New Roman"/>
          <w:b w:val="0"/>
          <w:i/>
          <w:iCs/>
          <w:lang w:val="es-GT"/>
        </w:rPr>
        <w:t>y cuáles no</w:t>
      </w:r>
      <w:r w:rsidRPr="005B79DD">
        <w:rPr>
          <w:rFonts w:ascii="Times New Roman" w:hAnsi="Times New Roman" w:cs="Times New Roman"/>
          <w:b w:val="0"/>
          <w:i/>
          <w:iCs/>
          <w:lang w:val="es-GT"/>
        </w:rPr>
        <w:t>... Son</w:t>
      </w:r>
      <w:r w:rsidR="00624571" w:rsidRPr="005B79DD">
        <w:rPr>
          <w:rFonts w:ascii="Times New Roman" w:hAnsi="Times New Roman" w:cs="Times New Roman"/>
          <w:b w:val="0"/>
          <w:i/>
          <w:iCs/>
          <w:lang w:val="es-GT"/>
        </w:rPr>
        <w:t xml:space="preserve"> representantes</w:t>
      </w:r>
      <w:r w:rsidR="00E21FD7" w:rsidRPr="005B79DD">
        <w:rPr>
          <w:rFonts w:ascii="Times New Roman" w:hAnsi="Times New Roman" w:cs="Times New Roman"/>
          <w:b w:val="0"/>
          <w:i/>
          <w:iCs/>
          <w:lang w:val="es-GT"/>
        </w:rPr>
        <w:t xml:space="preserve"> y</w:t>
      </w:r>
      <w:r w:rsidRPr="005B79DD">
        <w:rPr>
          <w:rFonts w:ascii="Times New Roman" w:hAnsi="Times New Roman" w:cs="Times New Roman"/>
          <w:b w:val="0"/>
          <w:i/>
          <w:iCs/>
          <w:lang w:val="es-GT"/>
        </w:rPr>
        <w:t xml:space="preserve"> están al tanto de </w:t>
      </w:r>
      <w:r w:rsidR="00E21FD7" w:rsidRPr="005B79DD">
        <w:rPr>
          <w:rFonts w:ascii="Times New Roman" w:hAnsi="Times New Roman" w:cs="Times New Roman"/>
          <w:b w:val="0"/>
          <w:i/>
          <w:iCs/>
          <w:lang w:val="es-GT"/>
        </w:rPr>
        <w:t xml:space="preserve">ellos </w:t>
      </w:r>
      <w:r w:rsidRPr="005B79DD">
        <w:rPr>
          <w:rFonts w:ascii="Times New Roman" w:hAnsi="Times New Roman" w:cs="Times New Roman"/>
          <w:b w:val="0"/>
          <w:i/>
          <w:iCs/>
          <w:lang w:val="es-GT"/>
        </w:rPr>
        <w:t>y si hay alguno</w:t>
      </w:r>
      <w:r w:rsidR="00E21FD7" w:rsidRPr="005B79DD">
        <w:rPr>
          <w:rFonts w:ascii="Times New Roman" w:hAnsi="Times New Roman" w:cs="Times New Roman"/>
          <w:b w:val="0"/>
          <w:i/>
          <w:iCs/>
          <w:lang w:val="es-GT"/>
        </w:rPr>
        <w:t xml:space="preserve"> proceso</w:t>
      </w:r>
      <w:r w:rsidRPr="005B79DD">
        <w:rPr>
          <w:rFonts w:ascii="Times New Roman" w:hAnsi="Times New Roman" w:cs="Times New Roman"/>
          <w:b w:val="0"/>
          <w:i/>
          <w:iCs/>
          <w:lang w:val="es-GT"/>
        </w:rPr>
        <w:t xml:space="preserve">, </w:t>
      </w:r>
      <w:r w:rsidR="00E21FD7" w:rsidRPr="005B79DD">
        <w:rPr>
          <w:rFonts w:ascii="Times New Roman" w:hAnsi="Times New Roman" w:cs="Times New Roman"/>
          <w:b w:val="0"/>
          <w:i/>
          <w:iCs/>
          <w:lang w:val="es-GT"/>
        </w:rPr>
        <w:t xml:space="preserve">estos “enlaces” </w:t>
      </w:r>
      <w:r w:rsidR="00224B12" w:rsidRPr="005B79DD">
        <w:rPr>
          <w:rFonts w:ascii="Times New Roman" w:hAnsi="Times New Roman" w:cs="Times New Roman"/>
          <w:b w:val="0"/>
          <w:i/>
          <w:iCs/>
          <w:lang w:val="es-GT"/>
        </w:rPr>
        <w:t xml:space="preserve">se acercan al legislador para hablar con él... ¿Por qué está de acuerdo?, ¿Por qué no? Si hay alguna debilidad legislativa, </w:t>
      </w:r>
      <w:r w:rsidR="00624571" w:rsidRPr="005B79DD">
        <w:rPr>
          <w:rFonts w:ascii="Times New Roman" w:hAnsi="Times New Roman" w:cs="Times New Roman"/>
          <w:b w:val="0"/>
          <w:i/>
          <w:iCs/>
          <w:lang w:val="es-GT"/>
        </w:rPr>
        <w:t>los enlaces las utilizan para tomar ventaja</w:t>
      </w:r>
      <w:r w:rsidR="00224B12" w:rsidRPr="005B79DD">
        <w:rPr>
          <w:rFonts w:ascii="Times New Roman" w:hAnsi="Times New Roman" w:cs="Times New Roman"/>
          <w:b w:val="0"/>
          <w:i/>
          <w:iCs/>
          <w:lang w:val="es-GT"/>
        </w:rPr>
        <w:t>. Es el pan de cada día, y sucede en todas partes del mundo”</w:t>
      </w:r>
      <w:r w:rsidR="009600C2" w:rsidRPr="005B79DD">
        <w:rPr>
          <w:rFonts w:ascii="Times New Roman" w:hAnsi="Times New Roman" w:cs="Times New Roman"/>
          <w:b w:val="0"/>
          <w:i/>
          <w:iCs/>
          <w:lang w:val="es-GT"/>
        </w:rPr>
        <w:t>.</w:t>
      </w:r>
      <w:r w:rsidR="00224B12" w:rsidRPr="005B79DD">
        <w:rPr>
          <w:rFonts w:ascii="Times New Roman" w:hAnsi="Times New Roman" w:cs="Times New Roman"/>
          <w:b w:val="0"/>
          <w:i/>
          <w:iCs/>
          <w:lang w:val="es-GT"/>
        </w:rPr>
        <w:t xml:space="preserve"> [A143].</w:t>
      </w:r>
    </w:p>
    <w:p w14:paraId="08C05439"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i/>
          <w:iCs/>
          <w:lang w:val="es-GT"/>
        </w:rPr>
      </w:pPr>
    </w:p>
    <w:p w14:paraId="4B79EC63" w14:textId="77777777" w:rsidR="005B79DD" w:rsidRPr="005B79DD" w:rsidRDefault="00791D99" w:rsidP="005B79DD">
      <w:pPr>
        <w:pStyle w:val="Ttulo2"/>
        <w:snapToGrid w:val="0"/>
        <w:spacing w:before="0" w:after="0" w:line="360" w:lineRule="auto"/>
        <w:ind w:firstLine="720"/>
        <w:contextualSpacing/>
        <w:rPr>
          <w:rFonts w:ascii="Times New Roman" w:hAnsi="Times New Roman" w:cs="Times New Roman"/>
          <w:b w:val="0"/>
          <w:szCs w:val="24"/>
          <w:lang w:val="es-GT"/>
        </w:rPr>
      </w:pPr>
      <w:r w:rsidRPr="005B79DD">
        <w:rPr>
          <w:rFonts w:ascii="Times New Roman" w:hAnsi="Times New Roman" w:cs="Times New Roman"/>
          <w:b w:val="0"/>
          <w:szCs w:val="24"/>
          <w:lang w:val="es-GT"/>
        </w:rPr>
        <w:lastRenderedPageBreak/>
        <w:t xml:space="preserve">Un participante explicó que las empresas alternan portavoces y enfoques según su reputación con el público y en un momento dado (Anaf et al, 2020). Según un entrevistado, la industria alimentaria y sus cabilderos estudiaron las necesidades e intereses de los actores políticos antes de ofrecer incentivos y declararon lo siguiente: </w:t>
      </w:r>
    </w:p>
    <w:p w14:paraId="3EA621AD"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szCs w:val="24"/>
          <w:lang w:val="es-GT"/>
        </w:rPr>
      </w:pPr>
    </w:p>
    <w:p w14:paraId="3E31BC28" w14:textId="77777777" w:rsidR="005B79DD" w:rsidRPr="005B79DD" w:rsidRDefault="00791D99" w:rsidP="005B79DD">
      <w:pPr>
        <w:pStyle w:val="Ttulo2"/>
        <w:snapToGrid w:val="0"/>
        <w:spacing w:before="0" w:after="0" w:line="360" w:lineRule="auto"/>
        <w:ind w:left="720"/>
        <w:contextualSpacing/>
        <w:rPr>
          <w:rFonts w:ascii="Times New Roman" w:hAnsi="Times New Roman" w:cs="Times New Roman"/>
          <w:b w:val="0"/>
          <w:i/>
          <w:iCs/>
          <w:szCs w:val="24"/>
          <w:lang w:val="es-GT"/>
        </w:rPr>
      </w:pPr>
      <w:r w:rsidRPr="005B79DD">
        <w:rPr>
          <w:rFonts w:ascii="Times New Roman" w:hAnsi="Times New Roman" w:cs="Times New Roman"/>
          <w:b w:val="0"/>
          <w:i/>
          <w:iCs/>
          <w:szCs w:val="24"/>
          <w:lang w:val="es-GT"/>
        </w:rPr>
        <w:t xml:space="preserve">“Las firmas de cabildeo llevan a cabo un monitoreo parlamentario juicioso donde evalúan el capital social, familiar y político de cada parlamentario para saber dónde entrar o acercarse a ellos para </w:t>
      </w:r>
      <w:r w:rsidR="00A60298" w:rsidRPr="005B79DD">
        <w:rPr>
          <w:rFonts w:ascii="Times New Roman" w:hAnsi="Times New Roman" w:cs="Times New Roman"/>
          <w:b w:val="0"/>
          <w:i/>
          <w:iCs/>
          <w:szCs w:val="24"/>
          <w:lang w:val="es-GT"/>
        </w:rPr>
        <w:t>alcanzar un punto de</w:t>
      </w:r>
      <w:r w:rsidRPr="005B79DD">
        <w:rPr>
          <w:rFonts w:ascii="Times New Roman" w:hAnsi="Times New Roman" w:cs="Times New Roman"/>
          <w:b w:val="0"/>
          <w:i/>
          <w:iCs/>
          <w:szCs w:val="24"/>
          <w:lang w:val="es-GT"/>
        </w:rPr>
        <w:t xml:space="preserve"> negociación o</w:t>
      </w:r>
      <w:r w:rsidR="00A60298" w:rsidRPr="005B79DD">
        <w:rPr>
          <w:rFonts w:ascii="Times New Roman" w:hAnsi="Times New Roman" w:cs="Times New Roman"/>
          <w:b w:val="0"/>
          <w:i/>
          <w:iCs/>
          <w:szCs w:val="24"/>
          <w:lang w:val="es-GT"/>
        </w:rPr>
        <w:t xml:space="preserve"> </w:t>
      </w:r>
      <w:r w:rsidR="00206098" w:rsidRPr="005B79DD">
        <w:rPr>
          <w:rFonts w:ascii="Times New Roman" w:hAnsi="Times New Roman" w:cs="Times New Roman"/>
          <w:b w:val="0"/>
          <w:i/>
          <w:iCs/>
          <w:szCs w:val="24"/>
          <w:lang w:val="es-GT"/>
        </w:rPr>
        <w:t>bien disuadirlos</w:t>
      </w:r>
      <w:r w:rsidRPr="005B79DD">
        <w:rPr>
          <w:rFonts w:ascii="Times New Roman" w:hAnsi="Times New Roman" w:cs="Times New Roman"/>
          <w:b w:val="0"/>
          <w:i/>
          <w:iCs/>
          <w:szCs w:val="24"/>
          <w:lang w:val="es-GT"/>
        </w:rPr>
        <w:t>”</w:t>
      </w:r>
      <w:r w:rsidR="00206098" w:rsidRPr="005B79DD">
        <w:rPr>
          <w:rFonts w:ascii="Times New Roman" w:hAnsi="Times New Roman" w:cs="Times New Roman"/>
          <w:b w:val="0"/>
          <w:i/>
          <w:iCs/>
          <w:szCs w:val="24"/>
          <w:lang w:val="es-GT"/>
        </w:rPr>
        <w:t>.</w:t>
      </w:r>
      <w:r w:rsidRPr="005B79DD">
        <w:rPr>
          <w:rFonts w:ascii="Times New Roman" w:hAnsi="Times New Roman" w:cs="Times New Roman"/>
          <w:b w:val="0"/>
          <w:i/>
          <w:iCs/>
          <w:szCs w:val="24"/>
          <w:lang w:val="es-GT"/>
        </w:rPr>
        <w:t xml:space="preserve"> [A150]. </w:t>
      </w:r>
    </w:p>
    <w:p w14:paraId="0E775B34"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i/>
          <w:iCs/>
          <w:szCs w:val="24"/>
          <w:lang w:val="es-GT"/>
        </w:rPr>
      </w:pPr>
    </w:p>
    <w:p w14:paraId="3B2DA72F" w14:textId="77777777" w:rsidR="005B79DD" w:rsidRPr="005B79DD" w:rsidRDefault="00791D99" w:rsidP="005B79DD">
      <w:pPr>
        <w:pStyle w:val="Ttulo2"/>
        <w:snapToGrid w:val="0"/>
        <w:spacing w:before="0" w:after="0" w:line="360" w:lineRule="auto"/>
        <w:contextualSpacing/>
        <w:rPr>
          <w:rFonts w:ascii="Times New Roman" w:hAnsi="Times New Roman" w:cs="Times New Roman"/>
          <w:b w:val="0"/>
          <w:szCs w:val="24"/>
          <w:lang w:val="es-GT"/>
        </w:rPr>
      </w:pPr>
      <w:r w:rsidRPr="005B79DD">
        <w:rPr>
          <w:rFonts w:ascii="Times New Roman" w:hAnsi="Times New Roman" w:cs="Times New Roman"/>
          <w:b w:val="0"/>
          <w:szCs w:val="24"/>
          <w:lang w:val="es-GT"/>
        </w:rPr>
        <w:t xml:space="preserve">Durante el período de análisis, muchos cabilderos, medios de comunicación, empresas de bebidas y productos </w:t>
      </w:r>
      <w:r w:rsidR="00A60298" w:rsidRPr="005B79DD">
        <w:rPr>
          <w:rFonts w:ascii="Times New Roman" w:hAnsi="Times New Roman" w:cs="Times New Roman"/>
          <w:b w:val="0"/>
          <w:szCs w:val="24"/>
          <w:lang w:val="es-GT"/>
        </w:rPr>
        <w:t>ultra procesados</w:t>
      </w:r>
      <w:r w:rsidRPr="005B79DD">
        <w:rPr>
          <w:rFonts w:ascii="Times New Roman" w:hAnsi="Times New Roman" w:cs="Times New Roman"/>
          <w:b w:val="0"/>
          <w:szCs w:val="24"/>
          <w:lang w:val="es-GT"/>
        </w:rPr>
        <w:t xml:space="preserve"> asistieron a sesiones deliberativas del Congreso, donde </w:t>
      </w:r>
      <w:r w:rsidRPr="005B79DD">
        <w:rPr>
          <w:rFonts w:ascii="Times New Roman" w:hAnsi="Times New Roman" w:cs="Times New Roman"/>
          <w:b w:val="0"/>
          <w:i/>
          <w:iCs/>
          <w:szCs w:val="24"/>
          <w:lang w:val="es-GT"/>
        </w:rPr>
        <w:t>"fluyeron ríos de plata"</w:t>
      </w:r>
      <w:r w:rsidRPr="005B79DD">
        <w:rPr>
          <w:rFonts w:ascii="Times New Roman" w:hAnsi="Times New Roman" w:cs="Times New Roman"/>
          <w:b w:val="0"/>
          <w:szCs w:val="24"/>
          <w:lang w:val="es-GT"/>
        </w:rPr>
        <w:t xml:space="preserve"> [A150]. </w:t>
      </w:r>
    </w:p>
    <w:p w14:paraId="6604CB40" w14:textId="77777777" w:rsidR="005B79DD" w:rsidRPr="005B79DD" w:rsidRDefault="00791D99" w:rsidP="005B79DD">
      <w:pPr>
        <w:pStyle w:val="Ttulo2"/>
        <w:snapToGrid w:val="0"/>
        <w:spacing w:before="0" w:after="0" w:line="360" w:lineRule="auto"/>
        <w:ind w:firstLine="720"/>
        <w:contextualSpacing/>
        <w:rPr>
          <w:rFonts w:ascii="Times New Roman" w:hAnsi="Times New Roman" w:cs="Times New Roman"/>
          <w:b w:val="0"/>
          <w:szCs w:val="24"/>
          <w:lang w:val="es-GT"/>
        </w:rPr>
      </w:pPr>
      <w:r w:rsidRPr="005B79DD">
        <w:rPr>
          <w:rFonts w:ascii="Times New Roman" w:hAnsi="Times New Roman" w:cs="Times New Roman"/>
          <w:b w:val="0"/>
          <w:szCs w:val="24"/>
          <w:lang w:val="es-GT"/>
        </w:rPr>
        <w:t>Los entrevistados explicaron que estos actores podían verse sentados junto a los legisladores durante las sesiones del Congreso. En nuestro análisis de la revisión de la literatura, descubrimos que las actividades de cabildeo y divulgación se concentran en actores del poder legislativo y no en los del poder ejecutivo [A4]. También observamos en las entrevistas que una vez que el político recibe donaciones para su campaña, la empresa donante realiza actividades de cabildeo en un corto período, ya que la donación puede no ser tan efectiva después de unos años [A4]. Los entrevistados verificaron que este enfoque se realiza a través de cabilderos [A9, A11]</w:t>
      </w:r>
      <w:r w:rsidR="00A60298" w:rsidRPr="005B79DD">
        <w:rPr>
          <w:rFonts w:ascii="Times New Roman" w:hAnsi="Times New Roman" w:cs="Times New Roman"/>
          <w:b w:val="0"/>
          <w:szCs w:val="24"/>
          <w:lang w:val="es-GT"/>
        </w:rPr>
        <w:t xml:space="preserve">; </w:t>
      </w:r>
      <w:r w:rsidRPr="005B79DD">
        <w:rPr>
          <w:rFonts w:ascii="Times New Roman" w:hAnsi="Times New Roman" w:cs="Times New Roman"/>
          <w:b w:val="0"/>
          <w:szCs w:val="24"/>
          <w:lang w:val="es-GT"/>
        </w:rPr>
        <w:t xml:space="preserve">quienes entablan conversaciones con portavoces poderosos cuando se debaten propuestas que favorecen o afectan los intereses de la industria [A5]. </w:t>
      </w:r>
      <w:r w:rsidR="00A60298" w:rsidRPr="005B79DD">
        <w:rPr>
          <w:rFonts w:ascii="Times New Roman" w:hAnsi="Times New Roman" w:cs="Times New Roman"/>
          <w:b w:val="0"/>
          <w:szCs w:val="24"/>
          <w:lang w:val="es-GT"/>
        </w:rPr>
        <w:t>No obstante</w:t>
      </w:r>
      <w:r w:rsidRPr="005B79DD">
        <w:rPr>
          <w:rFonts w:ascii="Times New Roman" w:hAnsi="Times New Roman" w:cs="Times New Roman"/>
          <w:b w:val="0"/>
          <w:szCs w:val="24"/>
          <w:lang w:val="es-GT"/>
        </w:rPr>
        <w:t xml:space="preserve">, uno de los participantes </w:t>
      </w:r>
      <w:r w:rsidR="00A60298" w:rsidRPr="005B79DD">
        <w:rPr>
          <w:rFonts w:ascii="Times New Roman" w:hAnsi="Times New Roman" w:cs="Times New Roman"/>
          <w:b w:val="0"/>
          <w:szCs w:val="24"/>
          <w:lang w:val="es-GT"/>
        </w:rPr>
        <w:t xml:space="preserve">enfrentó </w:t>
      </w:r>
      <w:r w:rsidRPr="005B79DD">
        <w:rPr>
          <w:rFonts w:ascii="Times New Roman" w:hAnsi="Times New Roman" w:cs="Times New Roman"/>
          <w:b w:val="0"/>
          <w:szCs w:val="24"/>
          <w:lang w:val="es-GT"/>
        </w:rPr>
        <w:t xml:space="preserve">una experiencia contradictoria, afirmando que </w:t>
      </w:r>
    </w:p>
    <w:p w14:paraId="33ADE6F6" w14:textId="77777777" w:rsidR="005B79DD" w:rsidRPr="005B79DD" w:rsidRDefault="00791D99" w:rsidP="005B79DD">
      <w:pPr>
        <w:pStyle w:val="Ttulo2"/>
        <w:snapToGrid w:val="0"/>
        <w:spacing w:before="0" w:after="0" w:line="360" w:lineRule="auto"/>
        <w:ind w:firstLine="720"/>
        <w:contextualSpacing/>
        <w:rPr>
          <w:rFonts w:ascii="Times New Roman" w:hAnsi="Times New Roman" w:cs="Times New Roman"/>
          <w:b w:val="0"/>
          <w:szCs w:val="24"/>
          <w:lang w:val="es-GT"/>
        </w:rPr>
      </w:pPr>
      <w:r w:rsidRPr="005B79DD">
        <w:rPr>
          <w:rFonts w:ascii="Times New Roman" w:hAnsi="Times New Roman" w:cs="Times New Roman"/>
          <w:b w:val="0"/>
          <w:i/>
          <w:iCs/>
          <w:szCs w:val="24"/>
          <w:lang w:val="es-GT"/>
        </w:rPr>
        <w:t>“Durante años, no han llegado directamente a las oficinas del Congreso”</w:t>
      </w:r>
      <w:r w:rsidR="00A60298" w:rsidRPr="005B79DD">
        <w:rPr>
          <w:rFonts w:ascii="Times New Roman" w:hAnsi="Times New Roman" w:cs="Times New Roman"/>
          <w:b w:val="0"/>
          <w:i/>
          <w:iCs/>
          <w:szCs w:val="24"/>
          <w:lang w:val="es-GT"/>
        </w:rPr>
        <w:t>.</w:t>
      </w:r>
      <w:r w:rsidRPr="005B79DD">
        <w:rPr>
          <w:rFonts w:ascii="Times New Roman" w:hAnsi="Times New Roman" w:cs="Times New Roman"/>
          <w:b w:val="0"/>
          <w:i/>
          <w:iCs/>
          <w:szCs w:val="24"/>
          <w:lang w:val="es-GT"/>
        </w:rPr>
        <w:t xml:space="preserve"> [A150].</w:t>
      </w:r>
      <w:r w:rsidRPr="005B79DD">
        <w:rPr>
          <w:rFonts w:ascii="Times New Roman" w:hAnsi="Times New Roman" w:cs="Times New Roman"/>
          <w:b w:val="0"/>
          <w:szCs w:val="24"/>
          <w:lang w:val="es-GT"/>
        </w:rPr>
        <w:t xml:space="preserve"> </w:t>
      </w:r>
    </w:p>
    <w:p w14:paraId="6989C342"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szCs w:val="24"/>
          <w:lang w:val="es-GT"/>
        </w:rPr>
      </w:pPr>
    </w:p>
    <w:p w14:paraId="533CFE33" w14:textId="77777777" w:rsidR="005B79DD" w:rsidRPr="005B79DD" w:rsidRDefault="00791D99" w:rsidP="005B79DD">
      <w:pPr>
        <w:pStyle w:val="Ttulo2"/>
        <w:snapToGrid w:val="0"/>
        <w:spacing w:before="0" w:after="0" w:line="360" w:lineRule="auto"/>
        <w:ind w:firstLine="720"/>
        <w:contextualSpacing/>
        <w:rPr>
          <w:rFonts w:ascii="Times New Roman" w:hAnsi="Times New Roman" w:cs="Times New Roman"/>
          <w:b w:val="0"/>
          <w:szCs w:val="24"/>
          <w:lang w:val="es-GT"/>
        </w:rPr>
      </w:pPr>
      <w:r w:rsidRPr="005B79DD">
        <w:rPr>
          <w:rFonts w:ascii="Times New Roman" w:hAnsi="Times New Roman" w:cs="Times New Roman"/>
          <w:b w:val="0"/>
          <w:szCs w:val="24"/>
          <w:lang w:val="es-GT"/>
        </w:rPr>
        <w:t xml:space="preserve">Las reuniones entre la industria y los actores políticos pueden tener lugar en eventos de entretenimiento a través de invitaciones a restaurantes o eventos pagados u organizados por la industria alimentaria. Los congresistas colombianos son invitados a eventos a gran escala con empresas internacionales famosas a través de organizaciones como Concordia*. Estos espacios son privados y cerrados donde los actores de la industria y los políticos establecen acuerdos sobre temas de salud pública. Al respecto, un participante comentó: </w:t>
      </w:r>
    </w:p>
    <w:p w14:paraId="715E906C" w14:textId="77777777" w:rsidR="005B79DD" w:rsidRPr="005B79DD" w:rsidRDefault="00791D99" w:rsidP="005B79DD">
      <w:pPr>
        <w:pStyle w:val="Ttulo2"/>
        <w:snapToGrid w:val="0"/>
        <w:spacing w:before="0" w:after="0" w:line="360" w:lineRule="auto"/>
        <w:ind w:left="720"/>
        <w:contextualSpacing/>
        <w:rPr>
          <w:rFonts w:ascii="Times New Roman" w:hAnsi="Times New Roman" w:cs="Times New Roman"/>
          <w:b w:val="0"/>
          <w:i/>
          <w:iCs/>
          <w:szCs w:val="24"/>
          <w:lang w:val="es-GT"/>
        </w:rPr>
      </w:pPr>
      <w:r w:rsidRPr="005B79DD">
        <w:rPr>
          <w:rFonts w:ascii="Times New Roman" w:hAnsi="Times New Roman" w:cs="Times New Roman"/>
          <w:b w:val="0"/>
          <w:i/>
          <w:iCs/>
          <w:szCs w:val="24"/>
          <w:lang w:val="es-GT"/>
        </w:rPr>
        <w:lastRenderedPageBreak/>
        <w:t xml:space="preserve">“Existen grandes relaciones entre industrias y estados, grandes organizaciones creadas en el mundo para eso, en las que de repente los congresistas colombianos comienzan a ser invitados a compartir un panel con los grandes industriales estadounidenses... Allí puedes encontrar estrategias como la de Concordia, que es una organización norteamericana cuya misión es generar vínculos entre industrias y estados. Si vas a mirar la estructura de quiénes son los socios o jefes de Concordia, vas a encontrar todas las grandes industrias alimentarias como Coca-Cola, y las industrias del tabaco... vas a encontrar que hay una especie de grupo de CEOs </w:t>
      </w:r>
      <w:r w:rsidR="00A60298" w:rsidRPr="005B79DD">
        <w:rPr>
          <w:rFonts w:ascii="Times New Roman" w:hAnsi="Times New Roman" w:cs="Times New Roman"/>
          <w:b w:val="0"/>
          <w:i/>
          <w:iCs/>
          <w:szCs w:val="24"/>
          <w:lang w:val="es-GT"/>
        </w:rPr>
        <w:t>(</w:t>
      </w:r>
      <w:r w:rsidR="00206098" w:rsidRPr="005B79DD">
        <w:rPr>
          <w:rFonts w:ascii="Times New Roman" w:hAnsi="Times New Roman" w:cs="Times New Roman"/>
          <w:b w:val="0"/>
          <w:i/>
          <w:iCs/>
          <w:szCs w:val="24"/>
          <w:lang w:val="es-GT"/>
        </w:rPr>
        <w:t>directores</w:t>
      </w:r>
      <w:r w:rsidR="00A60298" w:rsidRPr="005B79DD">
        <w:rPr>
          <w:rFonts w:ascii="Times New Roman" w:hAnsi="Times New Roman" w:cs="Times New Roman"/>
          <w:b w:val="0"/>
          <w:i/>
          <w:iCs/>
          <w:szCs w:val="24"/>
          <w:lang w:val="es-GT"/>
        </w:rPr>
        <w:t xml:space="preserve"> ejecutivos) </w:t>
      </w:r>
      <w:r w:rsidRPr="005B79DD">
        <w:rPr>
          <w:rFonts w:ascii="Times New Roman" w:hAnsi="Times New Roman" w:cs="Times New Roman"/>
          <w:b w:val="0"/>
          <w:i/>
          <w:iCs/>
          <w:szCs w:val="24"/>
          <w:lang w:val="es-GT"/>
        </w:rPr>
        <w:t xml:space="preserve">de Concordia, al menos 16 o 20 expresidentes, entre otras personas, que comparten con altos funcionarios de diferentes gobiernos. También encontrarás al exdirector de la Agencia Nacional de Inteligencia de Estados Unidos, Negroponte, exdirector de la CIA...” [A139]. </w:t>
      </w:r>
    </w:p>
    <w:p w14:paraId="092D4C4F" w14:textId="77777777" w:rsidR="005B79DD" w:rsidRPr="005B79DD" w:rsidRDefault="005B79DD" w:rsidP="005B79DD">
      <w:pPr>
        <w:pStyle w:val="Ttulo2"/>
        <w:snapToGrid w:val="0"/>
        <w:spacing w:before="0" w:after="0" w:line="360" w:lineRule="auto"/>
        <w:contextualSpacing/>
        <w:rPr>
          <w:rFonts w:ascii="Times New Roman" w:hAnsi="Times New Roman" w:cs="Times New Roman"/>
          <w:b w:val="0"/>
          <w:i/>
          <w:iCs/>
          <w:szCs w:val="24"/>
          <w:lang w:val="es-GT"/>
        </w:rPr>
      </w:pPr>
    </w:p>
    <w:p w14:paraId="3DADDFA7" w14:textId="53D7643D" w:rsidR="00A60298" w:rsidRPr="005B79DD" w:rsidRDefault="00791D99" w:rsidP="005B79DD">
      <w:pPr>
        <w:pStyle w:val="Ttulo2"/>
        <w:snapToGrid w:val="0"/>
        <w:spacing w:before="0" w:after="0" w:line="360" w:lineRule="auto"/>
        <w:ind w:firstLine="720"/>
        <w:contextualSpacing/>
        <w:rPr>
          <w:rFonts w:ascii="Times New Roman" w:hAnsi="Times New Roman" w:cs="Times New Roman"/>
          <w:b w:val="0"/>
          <w:lang w:val="es-GT"/>
        </w:rPr>
      </w:pPr>
      <w:r w:rsidRPr="005B79DD">
        <w:rPr>
          <w:rFonts w:ascii="Times New Roman" w:hAnsi="Times New Roman" w:cs="Times New Roman"/>
          <w:b w:val="0"/>
          <w:szCs w:val="24"/>
          <w:lang w:val="es-GT"/>
        </w:rPr>
        <w:t>Varios participantes describieron el fenómeno de las 'puertas giratorias' como una forma en que la industria aprende sobre las dinámicas, tiempos y reglas de operación de las cámaras legislativas del país. Con ese conocimiento, saben cómo y cuándo acercarse a los tomadores de decisiones. Uno de los entrevistados comentó:</w:t>
      </w:r>
    </w:p>
    <w:p w14:paraId="1AF0213E" w14:textId="77777777" w:rsidR="005B79DD" w:rsidRDefault="00791D99" w:rsidP="005B79DD">
      <w:pPr>
        <w:snapToGrid w:val="0"/>
        <w:spacing w:after="0" w:line="360" w:lineRule="auto"/>
        <w:ind w:left="1440"/>
        <w:contextualSpacing/>
        <w:rPr>
          <w:rFonts w:ascii="Times New Roman" w:hAnsi="Times New Roman" w:cs="Times New Roman"/>
          <w:i/>
          <w:iCs/>
          <w:szCs w:val="24"/>
          <w:lang w:val="es-GT"/>
        </w:rPr>
      </w:pPr>
      <w:r w:rsidRPr="005B79DD">
        <w:rPr>
          <w:rFonts w:ascii="Times New Roman" w:hAnsi="Times New Roman" w:cs="Times New Roman"/>
          <w:i/>
          <w:iCs/>
          <w:szCs w:val="24"/>
          <w:lang w:val="es-GT"/>
        </w:rPr>
        <w:t>“[El acercamiento entre actores] es algo que ya está muy establecido. No es algo en lo que las alianzas tengan que restablecerse cada cuatro años. Además, porque en Colombia, la política es muy estática, los mismos candidatos son reelegidos de una elección a otra, y los movimientos políticos, si cambian de nombre, suelen estar liderados por políticos que tienen una larga tradición, no solo en el Senado sino también en</w:t>
      </w:r>
      <w:r w:rsidRPr="000D6B6F">
        <w:rPr>
          <w:rFonts w:ascii="Times New Roman" w:hAnsi="Times New Roman" w:cs="Times New Roman"/>
          <w:i/>
          <w:iCs/>
          <w:szCs w:val="24"/>
          <w:lang w:val="es-GT"/>
        </w:rPr>
        <w:t xml:space="preserve"> el Congreso; sin embargo, son hijos de políticos que han estado haciendo política toda su vida. Por lo tanto, las relaciones ya están muy arraigadas.” [A131]. </w:t>
      </w:r>
    </w:p>
    <w:p w14:paraId="0068C766" w14:textId="77777777" w:rsidR="005B79DD" w:rsidRDefault="005B79DD" w:rsidP="005B79DD">
      <w:pPr>
        <w:snapToGrid w:val="0"/>
        <w:spacing w:after="0" w:line="360" w:lineRule="auto"/>
        <w:contextualSpacing/>
        <w:rPr>
          <w:rFonts w:ascii="Times New Roman" w:hAnsi="Times New Roman" w:cs="Times New Roman"/>
          <w:i/>
          <w:iCs/>
          <w:szCs w:val="24"/>
          <w:lang w:val="es-GT"/>
        </w:rPr>
      </w:pPr>
    </w:p>
    <w:p w14:paraId="62A40FF2" w14:textId="77777777" w:rsidR="005B79DD" w:rsidRDefault="00791D99"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szCs w:val="24"/>
          <w:lang w:val="es-GT"/>
        </w:rPr>
        <w:t xml:space="preserve">Los entrevistados explicaron que la transferencia de incentivos, como la financiación de campañas electorales, se realiza a través de fundaciones o entidades creadas por la industria alimentaria. Las contribuciones financieras son realizadas por entidades legales y cámaras de comercio dedicadas a otras actividades, pero pertenecen al mismo conglomerado económico de las industrias de bebidas azucaradas y </w:t>
      </w:r>
      <w:r w:rsidR="00CB5651" w:rsidRPr="000D6B6F">
        <w:rPr>
          <w:rFonts w:ascii="Times New Roman" w:hAnsi="Times New Roman" w:cs="Times New Roman"/>
          <w:szCs w:val="24"/>
          <w:lang w:val="es-GT"/>
        </w:rPr>
        <w:t>ultra procesadas</w:t>
      </w:r>
      <w:r w:rsidRPr="000D6B6F">
        <w:rPr>
          <w:rFonts w:ascii="Times New Roman" w:hAnsi="Times New Roman" w:cs="Times New Roman"/>
          <w:szCs w:val="24"/>
          <w:lang w:val="es-GT"/>
        </w:rPr>
        <w:t xml:space="preserve">. De las entrevistas, queda claro que la transferencia de incentivos, a diferencia de la financiación de campañas, es un acto que ocurre </w:t>
      </w:r>
      <w:r w:rsidR="002C6BEC" w:rsidRPr="008F3731">
        <w:rPr>
          <w:rFonts w:ascii="Times New Roman" w:hAnsi="Times New Roman" w:cs="Times New Roman"/>
          <w:szCs w:val="24"/>
          <w:lang w:val="es-MX"/>
        </w:rPr>
        <w:t>a</w:t>
      </w:r>
      <w:r w:rsidRPr="000D6B6F">
        <w:rPr>
          <w:rFonts w:ascii="Times New Roman" w:hAnsi="Times New Roman" w:cs="Times New Roman"/>
          <w:szCs w:val="24"/>
          <w:lang w:val="es-GT"/>
        </w:rPr>
        <w:t xml:space="preserve"> </w:t>
      </w:r>
      <w:r w:rsidRPr="000D6B6F">
        <w:rPr>
          <w:rFonts w:ascii="Times New Roman" w:hAnsi="Times New Roman" w:cs="Times New Roman"/>
          <w:szCs w:val="24"/>
          <w:lang w:val="es-GT"/>
        </w:rPr>
        <w:lastRenderedPageBreak/>
        <w:t xml:space="preserve">“puertas cerradas”, a menudo no registrado y no visible para un observador externo. Un participante resumió este enfoque de la siguiente manera: </w:t>
      </w:r>
    </w:p>
    <w:p w14:paraId="36C281AE" w14:textId="77777777" w:rsidR="005B79DD" w:rsidRDefault="00791D99"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i/>
          <w:iCs/>
          <w:szCs w:val="24"/>
          <w:lang w:val="es-GT"/>
        </w:rPr>
        <w:t>"Dime a quién se lo envías o qué necesitas, y no aparece... es así de simple..."</w:t>
      </w:r>
      <w:r w:rsidR="00206098" w:rsidRPr="000D6B6F">
        <w:rPr>
          <w:rFonts w:ascii="Times New Roman" w:hAnsi="Times New Roman" w:cs="Times New Roman"/>
          <w:i/>
          <w:iCs/>
          <w:szCs w:val="24"/>
          <w:lang w:val="es-GT"/>
        </w:rPr>
        <w:t xml:space="preserve">. </w:t>
      </w:r>
      <w:r w:rsidRPr="000D6B6F">
        <w:rPr>
          <w:rFonts w:ascii="Times New Roman" w:hAnsi="Times New Roman" w:cs="Times New Roman"/>
          <w:i/>
          <w:iCs/>
          <w:szCs w:val="24"/>
          <w:lang w:val="es-GT"/>
        </w:rPr>
        <w:t>[A132].</w:t>
      </w:r>
    </w:p>
    <w:p w14:paraId="44100638" w14:textId="77777777" w:rsidR="005B79DD" w:rsidRDefault="005B79DD" w:rsidP="005B79DD">
      <w:pPr>
        <w:snapToGrid w:val="0"/>
        <w:spacing w:after="0" w:line="360" w:lineRule="auto"/>
        <w:contextualSpacing/>
        <w:rPr>
          <w:rFonts w:ascii="Times New Roman" w:hAnsi="Times New Roman" w:cs="Times New Roman"/>
          <w:i/>
          <w:iCs/>
          <w:szCs w:val="24"/>
          <w:lang w:val="es-GT"/>
        </w:rPr>
      </w:pPr>
    </w:p>
    <w:p w14:paraId="32B8C81D" w14:textId="77777777" w:rsidR="005B79DD" w:rsidRDefault="00791D99"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szCs w:val="24"/>
          <w:lang w:val="es-GT"/>
        </w:rPr>
        <w:t>En cuanto al contexto y la temporalidad en que la industria alimentaria otorgó incentivos a los actores políticos, un participante explicó que los regalos, viajes y actividades de entretenimiento se otorgan constantemente a todos los congresistas, pero la oferta de dinero se realiza cuando los eventos están a punto de llevarse a cabo, como la votación de proyectos de ley. En el pasado, la industria alimentaria otorgó incentivos a los actores políticos durante los procesos de formulación y debate del impuesto a las bebidas azucaradas [A22, A24], los debates sobre la adopción de nuevos sistemas de etiquetado nutricional</w:t>
      </w:r>
      <w:r w:rsidR="00327295" w:rsidRPr="008F3731">
        <w:rPr>
          <w:rFonts w:ascii="Times New Roman" w:hAnsi="Times New Roman" w:cs="Times New Roman"/>
          <w:szCs w:val="24"/>
          <w:lang w:val="es-MX"/>
        </w:rPr>
        <w:t xml:space="preserve"> frontal</w:t>
      </w:r>
      <w:r w:rsidRPr="000D6B6F">
        <w:rPr>
          <w:rFonts w:ascii="Times New Roman" w:hAnsi="Times New Roman" w:cs="Times New Roman"/>
          <w:szCs w:val="24"/>
          <w:lang w:val="es-GT"/>
        </w:rPr>
        <w:t xml:space="preserve"> (FOPNL) y el desarrollo de restricciones de marketing para productos no saludables [A14, A23]. También encontramos evidencia de contribuciones de la industria alimentaria a campañas electorales regionales para las cámaras del Congreso de la República y las elecciones presidenciales en 2018 [A15, A26, A27]. En relación con la pandemia de COVID-19, se realizaron donaciones al Gobierno Nacional durante el período de “Aislamiento Preventivo Obligatorio”</w:t>
      </w:r>
      <w:r w:rsidR="00206098" w:rsidRPr="000D6B6F">
        <w:rPr>
          <w:rFonts w:ascii="Times New Roman" w:hAnsi="Times New Roman" w:cs="Times New Roman"/>
          <w:szCs w:val="24"/>
          <w:lang w:val="es-GT"/>
        </w:rPr>
        <w:t>,</w:t>
      </w:r>
      <w:r w:rsidRPr="000D6B6F">
        <w:rPr>
          <w:rFonts w:ascii="Times New Roman" w:hAnsi="Times New Roman" w:cs="Times New Roman"/>
          <w:szCs w:val="24"/>
          <w:lang w:val="es-GT"/>
        </w:rPr>
        <w:t xml:space="preserve"> </w:t>
      </w:r>
      <w:r w:rsidR="00206098" w:rsidRPr="000D6B6F">
        <w:rPr>
          <w:rFonts w:ascii="Times New Roman" w:hAnsi="Times New Roman" w:cs="Times New Roman"/>
          <w:szCs w:val="24"/>
          <w:lang w:val="es-GT"/>
        </w:rPr>
        <w:t xml:space="preserve">el cual </w:t>
      </w:r>
      <w:r w:rsidRPr="000D6B6F">
        <w:rPr>
          <w:rFonts w:ascii="Times New Roman" w:hAnsi="Times New Roman" w:cs="Times New Roman"/>
          <w:szCs w:val="24"/>
          <w:lang w:val="es-GT"/>
        </w:rPr>
        <w:t xml:space="preserve">comenzó en marzo de 2020 [A20, A21, A25] y durante las campañas electorales gubernamentales lanzadas durante la pandemia. Uno de estos programas </w:t>
      </w:r>
      <w:r w:rsidR="007B4A25" w:rsidRPr="008F3731">
        <w:rPr>
          <w:rFonts w:ascii="Times New Roman" w:hAnsi="Times New Roman" w:cs="Times New Roman"/>
          <w:szCs w:val="24"/>
          <w:lang w:val="es-MX"/>
        </w:rPr>
        <w:t>fue el del</w:t>
      </w:r>
      <w:r w:rsidRPr="000D6B6F">
        <w:rPr>
          <w:rFonts w:ascii="Times New Roman" w:hAnsi="Times New Roman" w:cs="Times New Roman"/>
          <w:szCs w:val="24"/>
          <w:lang w:val="es-GT"/>
        </w:rPr>
        <w:t xml:space="preserve"> Sistema Distrital de Bogotá </w:t>
      </w:r>
      <w:r w:rsidR="007B4A25" w:rsidRPr="008F3731">
        <w:rPr>
          <w:rFonts w:ascii="Times New Roman" w:hAnsi="Times New Roman" w:cs="Times New Roman"/>
          <w:szCs w:val="24"/>
          <w:lang w:val="es-MX"/>
        </w:rPr>
        <w:t>denominado</w:t>
      </w:r>
      <w:r w:rsidRPr="000D6B6F">
        <w:rPr>
          <w:rFonts w:ascii="Times New Roman" w:hAnsi="Times New Roman" w:cs="Times New Roman"/>
          <w:szCs w:val="24"/>
          <w:lang w:val="es-GT"/>
        </w:rPr>
        <w:t xml:space="preserve"> 'Ingreso Básico Bogotá', un programa de alivio económico para satisfacer las necesidades básicas durante la cuarentena </w:t>
      </w:r>
      <w:r w:rsidR="00206098" w:rsidRPr="000D6B6F">
        <w:rPr>
          <w:rFonts w:ascii="Times New Roman" w:hAnsi="Times New Roman" w:cs="Times New Roman"/>
          <w:szCs w:val="24"/>
          <w:lang w:val="es-GT"/>
        </w:rPr>
        <w:t>a</w:t>
      </w:r>
      <w:r w:rsidRPr="000D6B6F">
        <w:rPr>
          <w:rFonts w:ascii="Times New Roman" w:hAnsi="Times New Roman" w:cs="Times New Roman"/>
          <w:szCs w:val="24"/>
          <w:lang w:val="es-GT"/>
        </w:rPr>
        <w:t xml:space="preserve"> hogares en condiciones de pobreza/pobreza extrema y condiciones vulnerables [A19]. En Twitter, identificamos apoyo financiero y en especie de la industria alimentaria a la campaña 'Ayudar Nos Hace Bien' liderada por el presidente Duque [A35, A96, A101, A107, A114, A127], a estrategias estatales relacionadas con la alimentación y nutrición materna e infantil [A39-A41, A43, A47, A48, A50, A53], así </w:t>
      </w:r>
      <w:r w:rsidR="00206098" w:rsidRPr="000D6B6F">
        <w:rPr>
          <w:rFonts w:ascii="Times New Roman" w:hAnsi="Times New Roman" w:cs="Times New Roman"/>
          <w:szCs w:val="24"/>
          <w:lang w:val="es-GT"/>
        </w:rPr>
        <w:t xml:space="preserve">también </w:t>
      </w:r>
      <w:r w:rsidRPr="000D6B6F">
        <w:rPr>
          <w:rFonts w:ascii="Times New Roman" w:hAnsi="Times New Roman" w:cs="Times New Roman"/>
          <w:szCs w:val="24"/>
          <w:lang w:val="es-GT"/>
        </w:rPr>
        <w:t>donaciones en especie otorgadas al gobierno para abordar el desastre natural causado por el huracán Iota en San Andrés y Providencia en 2020 [A34, A97].</w:t>
      </w:r>
    </w:p>
    <w:p w14:paraId="497CF93F" w14:textId="77777777" w:rsidR="005B79DD" w:rsidRDefault="00AD2E4E"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szCs w:val="24"/>
          <w:lang w:val="es-GT"/>
        </w:rPr>
        <w:t xml:space="preserve">La información compartida por los participantes indicó que la industria alimentaria tiende a ser más activa cuando ocurren cambios legislativos. Los actores de la industria alimentaria han encontrado oportunidades para vincular campañas electorales para cargos políticos regionales y nacionales, la formulación y discusión de planes de seguridad alimentaria y nutricional, los procesos deliberativos de proyectos (por ejemplo, impuestos a las bebidas azucaradas, etiquetado </w:t>
      </w:r>
      <w:r w:rsidRPr="000D6B6F">
        <w:rPr>
          <w:rFonts w:ascii="Times New Roman" w:hAnsi="Times New Roman" w:cs="Times New Roman"/>
          <w:szCs w:val="24"/>
          <w:lang w:val="es-GT"/>
        </w:rPr>
        <w:lastRenderedPageBreak/>
        <w:t xml:space="preserve">frontal de alimentos), la resolución para reducir el contenido de sodio y la publicidad de productos </w:t>
      </w:r>
      <w:r w:rsidR="00630237" w:rsidRPr="000D6B6F">
        <w:rPr>
          <w:rFonts w:ascii="Times New Roman" w:hAnsi="Times New Roman" w:cs="Times New Roman"/>
          <w:szCs w:val="24"/>
          <w:lang w:val="es-GT"/>
        </w:rPr>
        <w:t>ultra procesados</w:t>
      </w:r>
      <w:r w:rsidRPr="000D6B6F">
        <w:rPr>
          <w:rFonts w:ascii="Times New Roman" w:hAnsi="Times New Roman" w:cs="Times New Roman"/>
          <w:szCs w:val="24"/>
          <w:lang w:val="es-GT"/>
        </w:rPr>
        <w:t xml:space="preserve"> dirigidos a niñas y niños. Además, un participante mencionó:</w:t>
      </w:r>
    </w:p>
    <w:p w14:paraId="1DACA49F" w14:textId="77777777" w:rsidR="005B79DD" w:rsidRDefault="00AD2E4E" w:rsidP="005B79DD">
      <w:pPr>
        <w:snapToGrid w:val="0"/>
        <w:spacing w:after="0" w:line="360" w:lineRule="auto"/>
        <w:ind w:left="720"/>
        <w:contextualSpacing/>
        <w:rPr>
          <w:rFonts w:ascii="Times New Roman" w:hAnsi="Times New Roman" w:cs="Times New Roman"/>
          <w:i/>
          <w:iCs/>
          <w:szCs w:val="24"/>
          <w:lang w:val="es-GT"/>
        </w:rPr>
      </w:pPr>
      <w:r w:rsidRPr="000D6B6F">
        <w:rPr>
          <w:rFonts w:ascii="Times New Roman" w:hAnsi="Times New Roman" w:cs="Times New Roman"/>
          <w:i/>
          <w:iCs/>
          <w:szCs w:val="24"/>
          <w:lang w:val="es-GT"/>
        </w:rPr>
        <w:t>"La pandemia [COVID-19] marcó un contexto en el que las industrias en general aprovecharon para fortalecer sus lazos y casi 'salir del armario' en esas relaciones con el Estado y con los tomadores de decisiones estatales." [A139]</w:t>
      </w:r>
    </w:p>
    <w:p w14:paraId="3C0B43CA" w14:textId="77777777" w:rsidR="005B79DD" w:rsidRDefault="005B79DD" w:rsidP="005B79DD">
      <w:pPr>
        <w:snapToGrid w:val="0"/>
        <w:spacing w:after="0" w:line="360" w:lineRule="auto"/>
        <w:contextualSpacing/>
        <w:rPr>
          <w:rFonts w:ascii="Times New Roman" w:hAnsi="Times New Roman" w:cs="Times New Roman"/>
          <w:i/>
          <w:iCs/>
          <w:szCs w:val="24"/>
          <w:lang w:val="es-GT"/>
        </w:rPr>
      </w:pPr>
    </w:p>
    <w:p w14:paraId="4DDC18AD" w14:textId="77777777" w:rsidR="005B79DD" w:rsidRDefault="00AD2E4E"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szCs w:val="24"/>
          <w:lang w:val="es-GT"/>
        </w:rPr>
        <w:t>Al discutir el propósito de los diferentes tipos de incentivos, los participantes afirmaron que financiar campañas electorales es una forma de blindar la participación política de las corporaciones; precisamente, se genera una “</w:t>
      </w:r>
      <w:r w:rsidRPr="000D6B6F">
        <w:rPr>
          <w:rFonts w:ascii="Times New Roman" w:hAnsi="Times New Roman" w:cs="Times New Roman"/>
          <w:i/>
          <w:iCs/>
          <w:szCs w:val="24"/>
          <w:lang w:val="es-GT"/>
        </w:rPr>
        <w:t>defensa pública de los intereses corporativos” [A136]</w:t>
      </w:r>
      <w:r w:rsidRPr="000D6B6F">
        <w:rPr>
          <w:rFonts w:ascii="Times New Roman" w:hAnsi="Times New Roman" w:cs="Times New Roman"/>
          <w:szCs w:val="24"/>
          <w:lang w:val="es-GT"/>
        </w:rPr>
        <w:t xml:space="preserve">, </w:t>
      </w:r>
      <w:r w:rsidR="00630237" w:rsidRPr="000D6B6F">
        <w:rPr>
          <w:rFonts w:ascii="Times New Roman" w:hAnsi="Times New Roman" w:cs="Times New Roman"/>
          <w:szCs w:val="24"/>
          <w:lang w:val="es-GT"/>
        </w:rPr>
        <w:t>además que</w:t>
      </w:r>
      <w:r w:rsidRPr="000D6B6F">
        <w:rPr>
          <w:rFonts w:ascii="Times New Roman" w:hAnsi="Times New Roman" w:cs="Times New Roman"/>
          <w:szCs w:val="24"/>
          <w:lang w:val="es-GT"/>
        </w:rPr>
        <w:t xml:space="preserve"> </w:t>
      </w:r>
      <w:r w:rsidRPr="000D6B6F">
        <w:rPr>
          <w:rFonts w:ascii="Times New Roman" w:hAnsi="Times New Roman" w:cs="Times New Roman"/>
          <w:i/>
          <w:iCs/>
          <w:szCs w:val="24"/>
          <w:lang w:val="es-GT"/>
        </w:rPr>
        <w:t>“recogen favores de los congresistas financiados”. [A139].</w:t>
      </w:r>
    </w:p>
    <w:p w14:paraId="6FD70C42" w14:textId="77777777" w:rsidR="005B79DD" w:rsidRDefault="00AD2E4E" w:rsidP="005B79DD">
      <w:pPr>
        <w:snapToGrid w:val="0"/>
        <w:spacing w:after="0" w:line="360" w:lineRule="auto"/>
        <w:ind w:firstLine="720"/>
        <w:contextualSpacing/>
        <w:rPr>
          <w:rFonts w:ascii="Times New Roman" w:hAnsi="Times New Roman" w:cs="Times New Roman"/>
          <w:i/>
          <w:iCs/>
          <w:szCs w:val="24"/>
          <w:lang w:val="es-GT"/>
        </w:rPr>
      </w:pPr>
      <w:r w:rsidRPr="000D6B6F">
        <w:rPr>
          <w:rFonts w:ascii="Times New Roman" w:hAnsi="Times New Roman" w:cs="Times New Roman"/>
          <w:szCs w:val="24"/>
          <w:lang w:val="es-GT"/>
        </w:rPr>
        <w:t xml:space="preserve">El apoyo financiero o en especie realizado por la industria alimentaria al sector ejecutivo del gobierno colombiano en el marco de campañas o para atender a poblaciones vulnerables permitió a la industria recibir publicidad por sus acciones, aumentando la visibilidad de sus productos en Twitter. La industria también fue vista como una </w:t>
      </w:r>
      <w:r w:rsidRPr="000D6B6F">
        <w:rPr>
          <w:rFonts w:ascii="Times New Roman" w:hAnsi="Times New Roman" w:cs="Times New Roman"/>
          <w:i/>
          <w:iCs/>
          <w:szCs w:val="24"/>
          <w:lang w:val="es-GT"/>
        </w:rPr>
        <w:t xml:space="preserve">“tabla de salvación en medio de la pandemia de COVID-19, a veces haciendo afirmaciones de salud sin respaldo científico”. [A24]. </w:t>
      </w:r>
      <w:r w:rsidRPr="000D6B6F">
        <w:rPr>
          <w:rFonts w:ascii="Times New Roman" w:hAnsi="Times New Roman" w:cs="Times New Roman"/>
          <w:szCs w:val="24"/>
          <w:lang w:val="es-GT"/>
        </w:rPr>
        <w:t>Sobre el tema, algunos participantes comentaron:</w:t>
      </w:r>
    </w:p>
    <w:p w14:paraId="1A9E166D" w14:textId="5DCBEF15" w:rsidR="00AD2E4E" w:rsidRPr="000D6B6F" w:rsidRDefault="00AD2E4E" w:rsidP="005B79DD">
      <w:pPr>
        <w:snapToGrid w:val="0"/>
        <w:spacing w:after="0" w:line="360" w:lineRule="auto"/>
        <w:ind w:left="720"/>
        <w:contextualSpacing/>
        <w:rPr>
          <w:rFonts w:ascii="Times New Roman" w:hAnsi="Times New Roman" w:cs="Times New Roman"/>
          <w:i/>
          <w:iCs/>
          <w:szCs w:val="24"/>
          <w:lang w:val="es-GT"/>
        </w:rPr>
      </w:pPr>
      <w:r w:rsidRPr="000D6B6F">
        <w:rPr>
          <w:rFonts w:ascii="Times New Roman" w:hAnsi="Times New Roman" w:cs="Times New Roman"/>
          <w:i/>
          <w:iCs/>
          <w:szCs w:val="24"/>
          <w:lang w:val="es-GT"/>
        </w:rPr>
        <w:t xml:space="preserve">"El riesgo [de influencia] es </w:t>
      </w:r>
      <w:r w:rsidR="007F19FD" w:rsidRPr="000D6B6F">
        <w:rPr>
          <w:rFonts w:ascii="Times New Roman" w:hAnsi="Times New Roman" w:cs="Times New Roman"/>
          <w:i/>
          <w:iCs/>
          <w:szCs w:val="24"/>
          <w:lang w:val="es-GT"/>
        </w:rPr>
        <w:t>absoluto</w:t>
      </w:r>
      <w:r w:rsidRPr="000D6B6F">
        <w:rPr>
          <w:rFonts w:ascii="Times New Roman" w:hAnsi="Times New Roman" w:cs="Times New Roman"/>
          <w:i/>
          <w:iCs/>
          <w:szCs w:val="24"/>
          <w:lang w:val="es-GT"/>
        </w:rPr>
        <w:t>, el riesgo es todo, el equilibrio se desequilibra entonces a favor del tema puramente económico y en contra del tema alimentario". [A132].</w:t>
      </w:r>
      <w:r w:rsidR="005B79DD">
        <w:rPr>
          <w:rFonts w:ascii="Times New Roman" w:hAnsi="Times New Roman" w:cs="Times New Roman"/>
          <w:i/>
          <w:iCs/>
          <w:szCs w:val="24"/>
          <w:lang w:val="es-GT"/>
        </w:rPr>
        <w:t xml:space="preserve"> </w:t>
      </w:r>
      <w:r w:rsidRPr="000D6B6F">
        <w:rPr>
          <w:rFonts w:ascii="Times New Roman" w:hAnsi="Times New Roman" w:cs="Times New Roman"/>
          <w:i/>
          <w:iCs/>
          <w:szCs w:val="24"/>
          <w:lang w:val="es-GT"/>
        </w:rPr>
        <w:t>“Se genera un conflicto de intereses porque [los actores políticos] legislan a favor de los contribuyentes a sus campañas, o de quienes ofrecen un incentivo. Se desvían del interés primario, que es la salud de la población, por un interés particular [de las industrias]”</w:t>
      </w:r>
      <w:r w:rsidR="00630237" w:rsidRPr="000D6B6F">
        <w:rPr>
          <w:rFonts w:ascii="Times New Roman" w:hAnsi="Times New Roman" w:cs="Times New Roman"/>
          <w:i/>
          <w:iCs/>
          <w:szCs w:val="24"/>
          <w:lang w:val="es-GT"/>
        </w:rPr>
        <w:t>.</w:t>
      </w:r>
      <w:r w:rsidRPr="000D6B6F">
        <w:rPr>
          <w:rFonts w:ascii="Times New Roman" w:hAnsi="Times New Roman" w:cs="Times New Roman"/>
          <w:i/>
          <w:iCs/>
          <w:szCs w:val="24"/>
          <w:lang w:val="es-GT"/>
        </w:rPr>
        <w:t xml:space="preserve"> [A148].</w:t>
      </w:r>
    </w:p>
    <w:p w14:paraId="584295C5" w14:textId="77777777" w:rsidR="005B79DD" w:rsidRDefault="005B79DD" w:rsidP="000D6B6F">
      <w:pPr>
        <w:snapToGrid w:val="0"/>
        <w:spacing w:after="0" w:line="360" w:lineRule="auto"/>
        <w:contextualSpacing/>
        <w:rPr>
          <w:rFonts w:ascii="Times New Roman" w:hAnsi="Times New Roman" w:cs="Times New Roman"/>
          <w:szCs w:val="24"/>
          <w:lang w:val="es-GT"/>
        </w:rPr>
      </w:pPr>
    </w:p>
    <w:p w14:paraId="3DCF0893" w14:textId="739FE5DF" w:rsidR="00AD2E4E" w:rsidRDefault="00AD2E4E" w:rsidP="005B79DD">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t xml:space="preserve">Los entrevistados sugirieron que la concesión de incentivos de la industria alimentaria a los actores políticos es un reflejo de lo que se conoce como “captura corporativa del Estado” [A142, A145], ya que el Congreso legisla en beneficio de las empresas y no de la población en general, generando una cogobernanza </w:t>
      </w:r>
      <w:r w:rsidR="00DF0006" w:rsidRPr="000D6B6F">
        <w:rPr>
          <w:rFonts w:ascii="Times New Roman" w:hAnsi="Times New Roman" w:cs="Times New Roman"/>
          <w:szCs w:val="24"/>
          <w:lang w:val="es-GT"/>
        </w:rPr>
        <w:t xml:space="preserve">en la cual </w:t>
      </w:r>
      <w:r w:rsidRPr="000D6B6F">
        <w:rPr>
          <w:rFonts w:ascii="Times New Roman" w:hAnsi="Times New Roman" w:cs="Times New Roman"/>
          <w:szCs w:val="24"/>
          <w:lang w:val="es-GT"/>
        </w:rPr>
        <w:t>las corporaciones influyen en la toma de decisiones legislativas y ejecutivas del gobierno en lugar de estar sujetas a control o regulación [A24].</w:t>
      </w:r>
    </w:p>
    <w:p w14:paraId="63DA1C54" w14:textId="77777777" w:rsidR="005B79DD" w:rsidRPr="000D6B6F" w:rsidRDefault="005B79DD" w:rsidP="005B79DD">
      <w:pPr>
        <w:snapToGrid w:val="0"/>
        <w:spacing w:after="0" w:line="360" w:lineRule="auto"/>
        <w:ind w:firstLine="720"/>
        <w:contextualSpacing/>
        <w:rPr>
          <w:rFonts w:ascii="Times New Roman" w:hAnsi="Times New Roman" w:cs="Times New Roman"/>
          <w:szCs w:val="24"/>
          <w:lang w:val="es-GT"/>
        </w:rPr>
      </w:pPr>
    </w:p>
    <w:p w14:paraId="4A88B2FD" w14:textId="7178A4C2" w:rsidR="00AD2E4E" w:rsidRPr="005B79DD" w:rsidRDefault="0068169A" w:rsidP="000D6B6F">
      <w:pPr>
        <w:snapToGrid w:val="0"/>
        <w:spacing w:after="0" w:line="360" w:lineRule="auto"/>
        <w:contextualSpacing/>
        <w:rPr>
          <w:rFonts w:ascii="Times New Roman" w:hAnsi="Times New Roman" w:cs="Times New Roman"/>
          <w:b/>
          <w:bCs/>
          <w:color w:val="0070C0"/>
          <w:sz w:val="40"/>
          <w:szCs w:val="40"/>
          <w:lang w:val="es-GT"/>
        </w:rPr>
      </w:pPr>
      <w:r w:rsidRPr="008F3731">
        <w:rPr>
          <w:rFonts w:ascii="Times New Roman" w:hAnsi="Times New Roman" w:cs="Times New Roman"/>
          <w:b/>
          <w:bCs/>
          <w:color w:val="0070C0"/>
          <w:sz w:val="40"/>
          <w:szCs w:val="40"/>
          <w:lang w:val="es-MX"/>
        </w:rPr>
        <w:t>D</w:t>
      </w:r>
      <w:proofErr w:type="spellStart"/>
      <w:r w:rsidR="00AD2E4E" w:rsidRPr="005B79DD">
        <w:rPr>
          <w:rFonts w:ascii="Times New Roman" w:hAnsi="Times New Roman" w:cs="Times New Roman"/>
          <w:b/>
          <w:bCs/>
          <w:color w:val="0070C0"/>
          <w:sz w:val="40"/>
          <w:szCs w:val="40"/>
          <w:lang w:val="es-GT"/>
        </w:rPr>
        <w:t>iscusión</w:t>
      </w:r>
      <w:proofErr w:type="spellEnd"/>
    </w:p>
    <w:p w14:paraId="7947679A" w14:textId="2A1152ED" w:rsidR="00AD2E4E" w:rsidRPr="000D6B6F" w:rsidRDefault="00AD2E4E" w:rsidP="005B79DD">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lastRenderedPageBreak/>
        <w:t>El análisis de la literatura y las entrevistas realizadas para este estudio arrojan luz sobre una mejor comprensión de los diferentes incentivos que la industria alimentaria ofrece a los actores políticos en Colombia. Hemos discutido cómo estos incentivos pueden influir en las políticas públicas, por ejemplo, como uno de los elementos que podrían bloquear iniciativas para imponer impuestos a las bebidas azucaradas o debilitar proyectos de ley para el etiquetado frontal de alimentos. En nuestro estudio, los actores de la industria alimentaria más activos en la concesión de incentivos fueron las empresas alimentarias en Colombia, incluidas las del sector de bebidas azucaradas (</w:t>
      </w:r>
      <w:proofErr w:type="spellStart"/>
      <w:r w:rsidRPr="000D6B6F">
        <w:rPr>
          <w:rFonts w:ascii="Times New Roman" w:hAnsi="Times New Roman" w:cs="Times New Roman"/>
          <w:szCs w:val="24"/>
          <w:lang w:val="es-GT"/>
        </w:rPr>
        <w:t>Postobón</w:t>
      </w:r>
      <w:proofErr w:type="spellEnd"/>
      <w:r w:rsidRPr="000D6B6F">
        <w:rPr>
          <w:rFonts w:ascii="Times New Roman" w:hAnsi="Times New Roman" w:cs="Times New Roman"/>
          <w:szCs w:val="24"/>
          <w:lang w:val="es-GT"/>
        </w:rPr>
        <w:t xml:space="preserve"> S</w:t>
      </w:r>
      <w:r w:rsidR="008A374E" w:rsidRPr="000D6B6F">
        <w:rPr>
          <w:rFonts w:ascii="Times New Roman" w:hAnsi="Times New Roman" w:cs="Times New Roman"/>
          <w:szCs w:val="24"/>
          <w:lang w:val="es-GT"/>
        </w:rPr>
        <w:t>.</w:t>
      </w:r>
      <w:r w:rsidRPr="000D6B6F">
        <w:rPr>
          <w:rFonts w:ascii="Times New Roman" w:hAnsi="Times New Roman" w:cs="Times New Roman"/>
          <w:szCs w:val="24"/>
          <w:lang w:val="es-GT"/>
        </w:rPr>
        <w:t>A</w:t>
      </w:r>
      <w:r w:rsidR="008A374E" w:rsidRPr="000D6B6F">
        <w:rPr>
          <w:rFonts w:ascii="Times New Roman" w:hAnsi="Times New Roman" w:cs="Times New Roman"/>
          <w:szCs w:val="24"/>
          <w:lang w:val="es-GT"/>
        </w:rPr>
        <w:t>.</w:t>
      </w:r>
      <w:r w:rsidRPr="000D6B6F">
        <w:rPr>
          <w:rFonts w:ascii="Times New Roman" w:hAnsi="Times New Roman" w:cs="Times New Roman"/>
          <w:szCs w:val="24"/>
          <w:lang w:val="es-GT"/>
        </w:rPr>
        <w:t>, Bavaria SA y Coca-Cola), el comercio</w:t>
      </w:r>
      <w:r w:rsidR="004151C7" w:rsidRPr="008F3731">
        <w:rPr>
          <w:rFonts w:ascii="Times New Roman" w:hAnsi="Times New Roman" w:cs="Times New Roman"/>
          <w:szCs w:val="24"/>
          <w:lang w:val="es-MX"/>
        </w:rPr>
        <w:t xml:space="preserve"> </w:t>
      </w:r>
      <w:r w:rsidRPr="000D6B6F">
        <w:rPr>
          <w:rFonts w:ascii="Times New Roman" w:hAnsi="Times New Roman" w:cs="Times New Roman"/>
          <w:szCs w:val="24"/>
          <w:lang w:val="es-GT"/>
        </w:rPr>
        <w:t>de alimentos (Grupo Éxito) y los productores de</w:t>
      </w:r>
      <w:r w:rsidR="006B025A" w:rsidRPr="008F3731">
        <w:rPr>
          <w:rFonts w:ascii="Times New Roman" w:hAnsi="Times New Roman" w:cs="Times New Roman"/>
          <w:szCs w:val="24"/>
          <w:lang w:val="es-MX"/>
        </w:rPr>
        <w:t xml:space="preserve"> productos comestibles ultraprocesados</w:t>
      </w:r>
      <w:r w:rsidRPr="000D6B6F">
        <w:rPr>
          <w:rFonts w:ascii="Times New Roman" w:hAnsi="Times New Roman" w:cs="Times New Roman"/>
          <w:szCs w:val="24"/>
          <w:lang w:val="es-GT"/>
        </w:rPr>
        <w:t xml:space="preserve"> y snacks (Grupo </w:t>
      </w:r>
      <w:proofErr w:type="spellStart"/>
      <w:r w:rsidRPr="000D6B6F">
        <w:rPr>
          <w:rFonts w:ascii="Times New Roman" w:hAnsi="Times New Roman" w:cs="Times New Roman"/>
          <w:szCs w:val="24"/>
          <w:lang w:val="es-GT"/>
        </w:rPr>
        <w:t>Nutresa</w:t>
      </w:r>
      <w:proofErr w:type="spellEnd"/>
      <w:r w:rsidRPr="000D6B6F">
        <w:rPr>
          <w:rFonts w:ascii="Times New Roman" w:hAnsi="Times New Roman" w:cs="Times New Roman"/>
          <w:szCs w:val="24"/>
          <w:lang w:val="es-GT"/>
        </w:rPr>
        <w:t xml:space="preserve">). Esto contrasta con otras regiones del mundo, como </w:t>
      </w:r>
      <w:r w:rsidR="002A0D13" w:rsidRPr="000D6B6F">
        <w:rPr>
          <w:rFonts w:ascii="Times New Roman" w:hAnsi="Times New Roman" w:cs="Times New Roman"/>
          <w:szCs w:val="24"/>
          <w:lang w:val="es-GT"/>
        </w:rPr>
        <w:t xml:space="preserve">en </w:t>
      </w:r>
      <w:r w:rsidRPr="000D6B6F">
        <w:rPr>
          <w:rFonts w:ascii="Times New Roman" w:hAnsi="Times New Roman" w:cs="Times New Roman"/>
          <w:szCs w:val="24"/>
          <w:lang w:val="es-GT"/>
        </w:rPr>
        <w:t>México, en las que las corporaciones transnacionales son los actores de la industria alimentaria más activos en la concesión de incentivos (Mialon et al, 2021; Stone, 2012; Nyberg, 2021; Mialon et al, 2020; Ojeda et al, 2020; UK Health Forum, 2018).</w:t>
      </w:r>
    </w:p>
    <w:p w14:paraId="435E7B07" w14:textId="77777777" w:rsidR="00AD2E4E" w:rsidRPr="000D6B6F" w:rsidRDefault="00AD2E4E" w:rsidP="005B79DD">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t>Estos resultados son consistentes con otros estudios que concluyeron que la industria tiende a financiar más a los partidos políticos que pueden asumir públicamente simpatías a favor de las corporaciones privadas (Acker et al, 2018; Le y Yalcin, 2018; Thieme, 2020). Al igual que en los Estados Unidos, las contribuciones a las campañas políticas son realizadas por corporaciones que utilizan diferentes nombres que se refieren a la misma empresa (Kim et al, 2020). Los enfoques de la industria alimentaria son principalmente a través de cabilderos y, en ocasiones, cuando se desarrollan iniciativas cercanas a sus intereses (Katsaitis, 2020). La concesión de incentivos por parte de la industria alimentaria es una estrategia recurrente para bloquear, debilitar y retrasar las iniciativas de políticas públicas (Crosbie et al, 2020).</w:t>
      </w:r>
    </w:p>
    <w:p w14:paraId="1AA28D98" w14:textId="612B32C7" w:rsidR="00AD2E4E" w:rsidRPr="000D6B6F" w:rsidRDefault="00AD2E4E" w:rsidP="005B79DD">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t xml:space="preserve">Las contribuciones a las campañas electorales fueron el tipo de incentivo con el mayor número de resultados en nuestro estudio, y es un tema del que se pueden encontrar diferentes investigaciones en términos de apoyo de alto nivel (Acker et al, 2018; Kim et al, 2020; Kypri et al, 2018; McKay, 2018; Iftinchi y Feng, 2019). El </w:t>
      </w:r>
      <w:r w:rsidR="004B3540" w:rsidRPr="008F3731">
        <w:rPr>
          <w:rFonts w:ascii="Times New Roman" w:hAnsi="Times New Roman" w:cs="Times New Roman"/>
          <w:szCs w:val="24"/>
          <w:lang w:val="es-MX"/>
        </w:rPr>
        <w:t>ex</w:t>
      </w:r>
      <w:r w:rsidRPr="000D6B6F">
        <w:rPr>
          <w:rFonts w:ascii="Times New Roman" w:hAnsi="Times New Roman" w:cs="Times New Roman"/>
          <w:szCs w:val="24"/>
          <w:lang w:val="es-GT"/>
        </w:rPr>
        <w:t>presidente colombiano Iván Duque</w:t>
      </w:r>
      <w:r w:rsidR="002A0D13" w:rsidRPr="000D6B6F">
        <w:rPr>
          <w:rFonts w:ascii="Times New Roman" w:hAnsi="Times New Roman" w:cs="Times New Roman"/>
          <w:szCs w:val="24"/>
          <w:lang w:val="es-GT"/>
        </w:rPr>
        <w:t xml:space="preserve">, </w:t>
      </w:r>
      <w:r w:rsidRPr="000D6B6F">
        <w:rPr>
          <w:rFonts w:ascii="Times New Roman" w:hAnsi="Times New Roman" w:cs="Times New Roman"/>
          <w:szCs w:val="24"/>
          <w:lang w:val="es-GT"/>
        </w:rPr>
        <w:t>recibió financiamiento de la industria alimentaria en diferentes momentos de su carrera</w:t>
      </w:r>
      <w:r w:rsidR="002A0D13" w:rsidRPr="000D6B6F">
        <w:rPr>
          <w:rFonts w:ascii="Times New Roman" w:hAnsi="Times New Roman" w:cs="Times New Roman"/>
          <w:szCs w:val="24"/>
          <w:lang w:val="es-GT"/>
        </w:rPr>
        <w:t xml:space="preserve">; </w:t>
      </w:r>
      <w:r w:rsidRPr="000D6B6F">
        <w:rPr>
          <w:rFonts w:ascii="Times New Roman" w:hAnsi="Times New Roman" w:cs="Times New Roman"/>
          <w:szCs w:val="24"/>
          <w:lang w:val="es-GT"/>
        </w:rPr>
        <w:t>un caso similar al del expresidente de México, Vicente Fox, quien anteriormente había sido ejecutivo de Coca-Cola y se benefició de recibir contribuciones para su campaña. Como resultado, Coca-Cola tuvo una gran influencia en la política de salud mexicana y bloqueó la propuesta de implementación de impuestos a las bebidas azucaradas (Gómez, 2019).</w:t>
      </w:r>
    </w:p>
    <w:p w14:paraId="7F298075" w14:textId="77777777" w:rsidR="00005C2E" w:rsidRPr="000D6B6F" w:rsidRDefault="00005C2E" w:rsidP="005B79DD">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lastRenderedPageBreak/>
        <w:t>Nuestros resultados son similares a las conclusiones de otros estudios; los incentivos se utilizan para crear relaciones entre actores políticos y de la industria alimentaria (Jaichuen et al, 2018; Acker et al, 2018; Kypri et al, 2018; Chan y Feng, 2019), y las corporaciones han reconocido el poder de la reciprocidad como una herramienta de influencia y persuasión (Marks, 2018) ya que la concesión de incentivos puede traducirse en influencia política (Jaichuen et al, 2018; Thieme, 2020; Chkir et al, 2020; Bertrand et al, 2020). Los incentivos pueden modificar la formulación de políticas públicas y los procesos de deliberación para negar cualquier impacto legislativo que afecte los intereses de la industria alimentaria. Se ha demostrado que las contribuciones a campañas políticas aumentan la probabilidad de que los actores financiados participen en actividades legislativas relacionadas con proyectos de ley que pueden estar vinculados a la corporación financiadora (Kim et al, 2020). Además, un actor político tiene 3.5 veces más probabilidades de introducir un requisito legislativo realizado por alguien que lo financió que por alguien que no lo hizo, y esa probabilidad aumenta cuando el senador comparte posiciones ideológicas con sus donantes (McKay, 2018).</w:t>
      </w:r>
    </w:p>
    <w:p w14:paraId="76320C99" w14:textId="13BF75D4" w:rsidR="00005C2E" w:rsidRPr="000D6B6F" w:rsidRDefault="00005C2E" w:rsidP="00A80903">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t>Este estudio describió una amplia gama de incentivos como apoyo en especie, regalos, entretenimiento y viajes que van más allá de la financiación de campañas electorales comúnmente descritas en otros estudios. Este estudio a su vez analizó los mecanismos a través de los cuales se otorgan incentivos a los actores políticos, en los que los involucrados crean formas de interacción que aprovechan las lagunas regulatorias y donde también se manifiestan deficiencias en la implementación de las leyes vigentes. El estudio también concluye que el fenómeno de la 'puerta giratoria' ocurre en el contexto colombiano, a pesar de que existe un estatuto anticorrupción que prohíbe a los funcionarios públicos unirse al sector privado durante los dos años posteriores a su renuncia. Al igual que en los Estados Unidos, Colombia permite a las entidades privadas financiar campañas electorales. Desde 2019, cuando se modificaron las regulaciones del Congreso, los congresistas han podido votar y discutir proyectos de ley que involucran sectores que han financiado sus campañas electorales sin declarar estos conflictos de interés (Ministerio del Interior y Justicia de la República de Colombia, 2011). Sin embargo, en septiembre de 2021, la Corte Constitucional de Colombia declaró esta actividad como inconstitucional, debido a que ignoraba los objetivos y propósitos superiores que la actividad legislativa debe perseguir; particularmente la satisfacción del interés general y el bien común (Corte Constitucional, 2021).</w:t>
      </w:r>
    </w:p>
    <w:p w14:paraId="791A52C6" w14:textId="77777777" w:rsidR="00005C2E" w:rsidRPr="000D6B6F" w:rsidRDefault="00005C2E" w:rsidP="00A80903">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lastRenderedPageBreak/>
        <w:t>La evidencia producida para Colombia lo convierte en un caso único en términos del alcance político de los incentivos. Otros autores han discutido la importancia de imponer límites a estas prácticas (Roberts et al, 2004). En la región de las Américas, Chile tiene un registro público de cabilderos; las autoridades y funcionarios públicos deben registrar las reuniones solicitadas por cabilderos cuyo propósito es influir en una decisión pública, así como los viajes que realizan como parte de sus funciones y los regalos que reciben (Gobierno de Chile, 2021).</w:t>
      </w:r>
    </w:p>
    <w:p w14:paraId="01E66640" w14:textId="77777777" w:rsidR="00005C2E" w:rsidRPr="000D6B6F" w:rsidRDefault="00005C2E" w:rsidP="00A80903">
      <w:pPr>
        <w:snapToGrid w:val="0"/>
        <w:spacing w:after="0" w:line="360" w:lineRule="auto"/>
        <w:ind w:firstLine="720"/>
        <w:contextualSpacing/>
        <w:rPr>
          <w:rFonts w:ascii="Times New Roman" w:hAnsi="Times New Roman" w:cs="Times New Roman"/>
          <w:szCs w:val="24"/>
          <w:lang w:val="es-GT"/>
        </w:rPr>
      </w:pPr>
      <w:r w:rsidRPr="000D6B6F">
        <w:rPr>
          <w:rFonts w:ascii="Times New Roman" w:hAnsi="Times New Roman" w:cs="Times New Roman"/>
          <w:szCs w:val="24"/>
          <w:lang w:val="es-GT"/>
        </w:rPr>
        <w:t>La concesión de incentivos por parte del sector corporativo a los tomadores de decisiones con fines políticos puede distorsionar la formulación de políticas públicas, favoreciendo intereses privados sobre intereses públicos y derechos humanos. Este fenómeno puede generar sesgos en la toma de decisiones, resultando en políticas que benefician a grupos poderosos y perpetúan desigualdades sociales y económicas, impactando negativamente a los más vulnerables.</w:t>
      </w:r>
    </w:p>
    <w:p w14:paraId="7EED6383" w14:textId="63B678ED" w:rsidR="00005C2E" w:rsidRDefault="00005C2E" w:rsidP="000D6B6F">
      <w:pPr>
        <w:snapToGrid w:val="0"/>
        <w:spacing w:after="0" w:line="360" w:lineRule="auto"/>
        <w:contextualSpacing/>
        <w:rPr>
          <w:rFonts w:ascii="Times New Roman" w:hAnsi="Times New Roman" w:cs="Times New Roman"/>
          <w:szCs w:val="24"/>
          <w:lang w:val="es-GT"/>
        </w:rPr>
      </w:pPr>
      <w:r w:rsidRPr="000D6B6F">
        <w:rPr>
          <w:rFonts w:ascii="Times New Roman" w:hAnsi="Times New Roman" w:cs="Times New Roman"/>
          <w:szCs w:val="24"/>
          <w:lang w:val="es-GT"/>
        </w:rPr>
        <w:t>Una limitación de nuestro estudio radicó en que tuvimos una participación limitada de actores directamente involucrados en la concesión y/o recepción de estos incentivos. La concesión de incentivos no suele hacerse de manera transparente; por lo tanto, no fue posible profundizar en estos casos. A pesar de las limitaciones de los procesos de transparencia en Colombia, se pudieron identificar varios casos de concesión de incentivos a tomadores de decisiones o partidos políticos como representación de la actividad política corporativa.</w:t>
      </w:r>
    </w:p>
    <w:p w14:paraId="5D917177" w14:textId="77777777" w:rsidR="00A80903" w:rsidRPr="000D6B6F" w:rsidRDefault="00A80903" w:rsidP="000D6B6F">
      <w:pPr>
        <w:snapToGrid w:val="0"/>
        <w:spacing w:after="0" w:line="360" w:lineRule="auto"/>
        <w:contextualSpacing/>
        <w:rPr>
          <w:rFonts w:ascii="Times New Roman" w:hAnsi="Times New Roman" w:cs="Times New Roman"/>
          <w:szCs w:val="24"/>
          <w:lang w:val="es-GT"/>
        </w:rPr>
      </w:pPr>
    </w:p>
    <w:p w14:paraId="01E90230" w14:textId="01B3039B" w:rsidR="00005C2E" w:rsidRPr="00A80903" w:rsidRDefault="00005C2E" w:rsidP="000D6B6F">
      <w:pPr>
        <w:snapToGrid w:val="0"/>
        <w:spacing w:after="0" w:line="360" w:lineRule="auto"/>
        <w:contextualSpacing/>
        <w:rPr>
          <w:rFonts w:ascii="Times New Roman" w:hAnsi="Times New Roman" w:cs="Times New Roman"/>
          <w:b/>
          <w:bCs/>
          <w:color w:val="0070C0"/>
          <w:sz w:val="40"/>
          <w:szCs w:val="40"/>
          <w:lang w:val="es-GT"/>
        </w:rPr>
      </w:pPr>
      <w:r w:rsidRPr="00A80903">
        <w:rPr>
          <w:rFonts w:ascii="Times New Roman" w:hAnsi="Times New Roman" w:cs="Times New Roman"/>
          <w:b/>
          <w:bCs/>
          <w:color w:val="0070C0"/>
          <w:sz w:val="40"/>
          <w:szCs w:val="40"/>
          <w:lang w:val="es-GT"/>
        </w:rPr>
        <w:t>Conclusi</w:t>
      </w:r>
      <w:r w:rsidR="00253E21" w:rsidRPr="00A80903">
        <w:rPr>
          <w:rFonts w:ascii="Times New Roman" w:hAnsi="Times New Roman" w:cs="Times New Roman"/>
          <w:b/>
          <w:bCs/>
          <w:color w:val="0070C0"/>
          <w:sz w:val="40"/>
          <w:szCs w:val="40"/>
          <w:lang w:val="es-GT"/>
        </w:rPr>
        <w:t>ones</w:t>
      </w:r>
    </w:p>
    <w:p w14:paraId="4B9DF666" w14:textId="001CE47E" w:rsidR="00EA37CE" w:rsidRDefault="00EA37CE" w:rsidP="00A80903">
      <w:pPr>
        <w:snapToGrid w:val="0"/>
        <w:spacing w:after="0" w:line="360" w:lineRule="auto"/>
        <w:ind w:firstLine="720"/>
        <w:contextualSpacing/>
        <w:rPr>
          <w:rFonts w:ascii="Times New Roman" w:hAnsi="Times New Roman" w:cs="Times New Roman"/>
          <w:bCs/>
          <w:szCs w:val="24"/>
          <w:lang w:val="es-GT"/>
        </w:rPr>
      </w:pPr>
      <w:r w:rsidRPr="000D6B6F">
        <w:rPr>
          <w:rFonts w:ascii="Times New Roman" w:hAnsi="Times New Roman" w:cs="Times New Roman"/>
          <w:bCs/>
          <w:szCs w:val="24"/>
          <w:lang w:val="es-GT"/>
        </w:rPr>
        <w:t>Este estudio demostró la gran influencia en la formulación de políticas públicas de la industria alimentaria en Colombia. El otorgamiento de incentivos a actores políticos por parte de este sector ha sido una práctica normalizada que no visibiliza los riesgos potenciales en la vulneración de derechos como la salud, y la alimentación saludable</w:t>
      </w:r>
      <w:r w:rsidR="006A4B34" w:rsidRPr="000D6B6F">
        <w:rPr>
          <w:rFonts w:ascii="Times New Roman" w:hAnsi="Times New Roman" w:cs="Times New Roman"/>
          <w:bCs/>
          <w:szCs w:val="24"/>
          <w:lang w:val="es-GT"/>
        </w:rPr>
        <w:t xml:space="preserve">, así como la generación de conflictos de interés en la toma de decisiones que ponen en cuestionamiento la constitucionalidad de las decisiones gubernamentales. </w:t>
      </w:r>
    </w:p>
    <w:p w14:paraId="299CF269" w14:textId="77777777" w:rsidR="00A80903" w:rsidRDefault="00A80903" w:rsidP="00A80903">
      <w:pPr>
        <w:snapToGrid w:val="0"/>
        <w:spacing w:after="0" w:line="360" w:lineRule="auto"/>
        <w:ind w:firstLine="720"/>
        <w:contextualSpacing/>
        <w:rPr>
          <w:rFonts w:ascii="Times New Roman" w:hAnsi="Times New Roman" w:cs="Times New Roman"/>
          <w:bCs/>
          <w:szCs w:val="24"/>
          <w:lang w:val="es-GT"/>
        </w:rPr>
      </w:pPr>
    </w:p>
    <w:p w14:paraId="4A85A481" w14:textId="77777777" w:rsidR="00A80903" w:rsidRDefault="00A80903" w:rsidP="00A80903">
      <w:pPr>
        <w:snapToGrid w:val="0"/>
        <w:spacing w:after="0" w:line="360" w:lineRule="auto"/>
        <w:ind w:firstLine="720"/>
        <w:contextualSpacing/>
        <w:rPr>
          <w:rFonts w:ascii="Times New Roman" w:hAnsi="Times New Roman" w:cs="Times New Roman"/>
          <w:bCs/>
          <w:szCs w:val="24"/>
          <w:lang w:val="es-GT"/>
        </w:rPr>
      </w:pPr>
    </w:p>
    <w:p w14:paraId="46CAD842" w14:textId="77777777" w:rsidR="00A80903" w:rsidRDefault="00A80903" w:rsidP="00A80903">
      <w:pPr>
        <w:snapToGrid w:val="0"/>
        <w:spacing w:after="0" w:line="360" w:lineRule="auto"/>
        <w:ind w:firstLine="720"/>
        <w:contextualSpacing/>
        <w:rPr>
          <w:rFonts w:ascii="Times New Roman" w:hAnsi="Times New Roman" w:cs="Times New Roman"/>
          <w:bCs/>
          <w:szCs w:val="24"/>
          <w:lang w:val="es-GT"/>
        </w:rPr>
      </w:pPr>
    </w:p>
    <w:p w14:paraId="5340AD30" w14:textId="77777777" w:rsidR="00A80903" w:rsidRDefault="00A80903" w:rsidP="00A80903">
      <w:pPr>
        <w:snapToGrid w:val="0"/>
        <w:spacing w:after="0" w:line="360" w:lineRule="auto"/>
        <w:contextualSpacing/>
        <w:rPr>
          <w:rFonts w:ascii="Times New Roman" w:hAnsi="Times New Roman" w:cs="Times New Roman"/>
          <w:bCs/>
          <w:szCs w:val="24"/>
          <w:lang w:val="es-GT"/>
        </w:rPr>
      </w:pPr>
    </w:p>
    <w:p w14:paraId="35243D71" w14:textId="4775BCC7" w:rsidR="00A80903" w:rsidRPr="000D6B6F" w:rsidRDefault="00A80903" w:rsidP="00A80903">
      <w:pPr>
        <w:snapToGrid w:val="0"/>
        <w:spacing w:after="0" w:line="360" w:lineRule="auto"/>
        <w:contextualSpacing/>
        <w:rPr>
          <w:rFonts w:ascii="Times New Roman" w:hAnsi="Times New Roman" w:cs="Times New Roman"/>
          <w:bCs/>
          <w:szCs w:val="24"/>
          <w:lang w:val="es-GT"/>
        </w:rPr>
      </w:pPr>
      <w:bookmarkStart w:id="0" w:name="_GoBack"/>
      <w:bookmarkEnd w:id="0"/>
    </w:p>
    <w:p w14:paraId="740F969E" w14:textId="77777777" w:rsidR="00005C2E" w:rsidRPr="000D6B6F" w:rsidRDefault="00005C2E" w:rsidP="000D6B6F">
      <w:pPr>
        <w:snapToGrid w:val="0"/>
        <w:spacing w:after="0" w:line="360" w:lineRule="auto"/>
        <w:contextualSpacing/>
        <w:rPr>
          <w:rFonts w:ascii="Times New Roman" w:hAnsi="Times New Roman" w:cs="Times New Roman"/>
          <w:b/>
          <w:bCs/>
          <w:szCs w:val="24"/>
          <w:lang w:val="es-GT"/>
        </w:rPr>
      </w:pPr>
      <w:r w:rsidRPr="000D6B6F">
        <w:rPr>
          <w:rFonts w:ascii="Times New Roman" w:hAnsi="Times New Roman" w:cs="Times New Roman"/>
          <w:b/>
          <w:bCs/>
          <w:szCs w:val="24"/>
          <w:lang w:val="es-GT"/>
        </w:rPr>
        <w:lastRenderedPageBreak/>
        <w:t>Declaraciones</w:t>
      </w:r>
    </w:p>
    <w:p w14:paraId="15123040" w14:textId="77777777" w:rsidR="00005C2E" w:rsidRPr="000D6B6F" w:rsidRDefault="00005C2E" w:rsidP="000D6B6F">
      <w:pPr>
        <w:snapToGrid w:val="0"/>
        <w:spacing w:after="0" w:line="360" w:lineRule="auto"/>
        <w:contextualSpacing/>
        <w:rPr>
          <w:rFonts w:ascii="Times New Roman" w:hAnsi="Times New Roman" w:cs="Times New Roman"/>
          <w:b/>
          <w:bCs/>
          <w:szCs w:val="24"/>
          <w:lang w:val="es-GT"/>
        </w:rPr>
      </w:pPr>
      <w:r w:rsidRPr="000D6B6F">
        <w:rPr>
          <w:rFonts w:ascii="Times New Roman" w:hAnsi="Times New Roman" w:cs="Times New Roman"/>
          <w:b/>
          <w:bCs/>
          <w:szCs w:val="24"/>
          <w:lang w:val="es-GT"/>
        </w:rPr>
        <w:t>Aprobación ética y consentimiento para participar</w:t>
      </w:r>
    </w:p>
    <w:p w14:paraId="75D1BCAC" w14:textId="06F1C73E" w:rsidR="00005C2E" w:rsidRPr="000D6B6F" w:rsidRDefault="00005C2E" w:rsidP="000D6B6F">
      <w:pPr>
        <w:snapToGrid w:val="0"/>
        <w:spacing w:after="0" w:line="360" w:lineRule="auto"/>
        <w:contextualSpacing/>
        <w:rPr>
          <w:rFonts w:ascii="Times New Roman" w:hAnsi="Times New Roman" w:cs="Times New Roman"/>
          <w:szCs w:val="24"/>
          <w:lang w:val="es-GT"/>
        </w:rPr>
      </w:pPr>
      <w:r w:rsidRPr="000D6B6F">
        <w:rPr>
          <w:rFonts w:ascii="Times New Roman" w:hAnsi="Times New Roman" w:cs="Times New Roman"/>
          <w:szCs w:val="24"/>
          <w:lang w:val="es-GT"/>
        </w:rPr>
        <w:t>Este estudio se llevó a cabo de acuerdo con las pautas establecidas en la Declaración de Helsinki y todos los procedimientos que involucraron a los participantes del estudio recibieron la aprobación del Comité de Ética en Investigación del Instituto Nacional de Salud Pública de México con folio de identificación F49. CI: 629 y del Comité de Ética en Investigación de la Universidad de Antioquia en Colombia con respaldo ACEI: 03--2021.</w:t>
      </w:r>
    </w:p>
    <w:p w14:paraId="0A3FFFE2" w14:textId="77001081" w:rsidR="00005C2E" w:rsidRPr="000D6B6F" w:rsidRDefault="00005C2E" w:rsidP="000D6B6F">
      <w:pPr>
        <w:snapToGrid w:val="0"/>
        <w:spacing w:after="0" w:line="360" w:lineRule="auto"/>
        <w:contextualSpacing/>
        <w:rPr>
          <w:rFonts w:ascii="Times New Roman" w:hAnsi="Times New Roman" w:cs="Times New Roman"/>
          <w:b/>
          <w:bCs/>
          <w:szCs w:val="24"/>
          <w:lang w:val="es-GT"/>
        </w:rPr>
      </w:pPr>
      <w:r w:rsidRPr="000D6B6F">
        <w:rPr>
          <w:rFonts w:ascii="Times New Roman" w:hAnsi="Times New Roman" w:cs="Times New Roman"/>
          <w:b/>
          <w:bCs/>
          <w:szCs w:val="24"/>
          <w:lang w:val="es-GT"/>
        </w:rPr>
        <w:t xml:space="preserve">Consentimiento Informado </w:t>
      </w:r>
      <w:r w:rsidR="00CA139C" w:rsidRPr="000D6B6F">
        <w:rPr>
          <w:rFonts w:ascii="Times New Roman" w:hAnsi="Times New Roman" w:cs="Times New Roman"/>
          <w:b/>
          <w:bCs/>
          <w:szCs w:val="24"/>
          <w:lang w:val="es-GT"/>
        </w:rPr>
        <w:t>para</w:t>
      </w:r>
      <w:r w:rsidR="00630237" w:rsidRPr="000D6B6F">
        <w:rPr>
          <w:rFonts w:ascii="Times New Roman" w:hAnsi="Times New Roman" w:cs="Times New Roman"/>
          <w:b/>
          <w:bCs/>
          <w:szCs w:val="24"/>
          <w:lang w:val="es-GT"/>
        </w:rPr>
        <w:t xml:space="preserve"> la publicación</w:t>
      </w:r>
    </w:p>
    <w:p w14:paraId="54483C12" w14:textId="77777777" w:rsidR="00005C2E" w:rsidRPr="000D6B6F" w:rsidRDefault="00005C2E" w:rsidP="000D6B6F">
      <w:pPr>
        <w:snapToGrid w:val="0"/>
        <w:spacing w:after="0" w:line="360" w:lineRule="auto"/>
        <w:contextualSpacing/>
        <w:rPr>
          <w:rFonts w:ascii="Times New Roman" w:hAnsi="Times New Roman" w:cs="Times New Roman"/>
          <w:szCs w:val="24"/>
          <w:lang w:val="es-GT"/>
        </w:rPr>
      </w:pPr>
      <w:r w:rsidRPr="000D6B6F">
        <w:rPr>
          <w:rFonts w:ascii="Times New Roman" w:hAnsi="Times New Roman" w:cs="Times New Roman"/>
          <w:szCs w:val="24"/>
          <w:lang w:val="es-GT"/>
        </w:rPr>
        <w:t>Se obtuvo consentimiento escrito de los participantes para publicar los datos bajo condiciones de anonimato y confidencialidad.</w:t>
      </w:r>
    </w:p>
    <w:p w14:paraId="72355681" w14:textId="77777777" w:rsidR="00005C2E" w:rsidRPr="000D6B6F" w:rsidRDefault="00005C2E" w:rsidP="000D6B6F">
      <w:pPr>
        <w:snapToGrid w:val="0"/>
        <w:spacing w:after="0" w:line="360" w:lineRule="auto"/>
        <w:contextualSpacing/>
        <w:rPr>
          <w:rFonts w:ascii="Times New Roman" w:hAnsi="Times New Roman" w:cs="Times New Roman"/>
          <w:b/>
          <w:bCs/>
          <w:szCs w:val="24"/>
          <w:lang w:val="es-GT"/>
        </w:rPr>
      </w:pPr>
      <w:r w:rsidRPr="000D6B6F">
        <w:rPr>
          <w:rFonts w:ascii="Times New Roman" w:hAnsi="Times New Roman" w:cs="Times New Roman"/>
          <w:b/>
          <w:bCs/>
          <w:szCs w:val="24"/>
          <w:lang w:val="es-GT"/>
        </w:rPr>
        <w:t>Disponibilidad de datos y materiales</w:t>
      </w:r>
    </w:p>
    <w:p w14:paraId="03447626" w14:textId="77777777" w:rsidR="00005C2E" w:rsidRPr="000D6B6F" w:rsidRDefault="00005C2E" w:rsidP="000D6B6F">
      <w:pPr>
        <w:snapToGrid w:val="0"/>
        <w:spacing w:after="0" w:line="360" w:lineRule="auto"/>
        <w:contextualSpacing/>
        <w:rPr>
          <w:rFonts w:ascii="Times New Roman" w:hAnsi="Times New Roman" w:cs="Times New Roman"/>
          <w:szCs w:val="24"/>
          <w:lang w:val="es-GT"/>
        </w:rPr>
      </w:pPr>
      <w:r w:rsidRPr="000D6B6F">
        <w:rPr>
          <w:rFonts w:ascii="Times New Roman" w:hAnsi="Times New Roman" w:cs="Times New Roman"/>
          <w:szCs w:val="24"/>
          <w:lang w:val="es-GT"/>
        </w:rPr>
        <w:t>Todos los datos de dominio público recopilados durante este estudio están disponibles con este manuscrito en el Archivo 4. Los datos de las entrevistas están disponibles con el autor correspondiente previa solicitud razonable.</w:t>
      </w:r>
    </w:p>
    <w:p w14:paraId="4CCFB47A"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
          <w:szCs w:val="24"/>
          <w:lang w:val="es-GT"/>
        </w:rPr>
        <w:t>Conflicto de intereses</w:t>
      </w:r>
    </w:p>
    <w:p w14:paraId="2F765A15"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xml:space="preserve">Los autores declaran que no tienen intereses en competencia. </w:t>
      </w:r>
    </w:p>
    <w:p w14:paraId="12D6E4C4"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
          <w:szCs w:val="24"/>
          <w:lang w:val="es-GT"/>
        </w:rPr>
        <w:t>Financiamiento</w:t>
      </w:r>
    </w:p>
    <w:p w14:paraId="2BE3BB7C"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xml:space="preserve">Esta investigación no recibió ningún financiamiento de agencias públicas, comerciales o sin fines de lucro. Los autores son los únicos responsables de las opiniones, hipótesis y conclusiones o recomendaciones expresadas en esta publicación. </w:t>
      </w:r>
    </w:p>
    <w:p w14:paraId="0E1DD640"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
          <w:szCs w:val="24"/>
          <w:lang w:val="es-GT"/>
        </w:rPr>
        <w:t>Contribuciones de los autores</w:t>
      </w:r>
    </w:p>
    <w:p w14:paraId="349585D5"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xml:space="preserve"> MAND fue el investigador principal, contribuyendo al diseño metodológico, la recopilación de datos, el análisis y la redacción del manuscrito. EOP, EMPT y CPTR participaron en el diseño metodológico, análisis de datos, revisión crítica con importantes aportes y la redacción del manuscrito. MM contribuyó al diseño del marco conceptual y metodológico, la revisión crítica con importantes aportes y la redacción del manuscrito, y EC contribuyó a la revisión crítica con importantes aportes al manuscrito. Todos los autores leyeron y aprobaron el manuscrito final. </w:t>
      </w:r>
    </w:p>
    <w:p w14:paraId="5D38EFED" w14:textId="41DF74ED"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
          <w:szCs w:val="24"/>
          <w:lang w:val="es-GT"/>
        </w:rPr>
        <w:t>Agradecimientos</w:t>
      </w:r>
      <w:r w:rsidRPr="000D6B6F">
        <w:rPr>
          <w:rFonts w:ascii="Times New Roman" w:hAnsi="Times New Roman" w:cs="Times New Roman"/>
          <w:bCs/>
          <w:szCs w:val="24"/>
          <w:lang w:val="es-GT"/>
        </w:rPr>
        <w:t xml:space="preserve"> </w:t>
      </w:r>
    </w:p>
    <w:p w14:paraId="75611B32" w14:textId="0FBFFE09" w:rsidR="00910EB9" w:rsidRPr="000D6B6F" w:rsidRDefault="00A12EE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Nuestras más sinceras gracias a</w:t>
      </w:r>
      <w:r w:rsidR="00910EB9" w:rsidRPr="000D6B6F">
        <w:rPr>
          <w:rFonts w:ascii="Times New Roman" w:hAnsi="Times New Roman" w:cs="Times New Roman"/>
          <w:bCs/>
          <w:szCs w:val="24"/>
          <w:lang w:val="es-GT"/>
        </w:rPr>
        <w:t xml:space="preserve"> </w:t>
      </w:r>
      <w:r w:rsidRPr="000D6B6F">
        <w:rPr>
          <w:rFonts w:ascii="Times New Roman" w:hAnsi="Times New Roman" w:cs="Times New Roman"/>
          <w:bCs/>
          <w:szCs w:val="24"/>
          <w:lang w:val="es-GT"/>
        </w:rPr>
        <w:t>los individuos</w:t>
      </w:r>
      <w:r w:rsidR="00910EB9" w:rsidRPr="000D6B6F">
        <w:rPr>
          <w:rFonts w:ascii="Times New Roman" w:hAnsi="Times New Roman" w:cs="Times New Roman"/>
          <w:bCs/>
          <w:szCs w:val="24"/>
          <w:lang w:val="es-GT"/>
        </w:rPr>
        <w:t xml:space="preserve"> entrevistados</w:t>
      </w:r>
      <w:r w:rsidR="005F40A8" w:rsidRPr="000D6B6F">
        <w:rPr>
          <w:rFonts w:ascii="Times New Roman" w:hAnsi="Times New Roman" w:cs="Times New Roman"/>
          <w:bCs/>
          <w:szCs w:val="24"/>
          <w:lang w:val="es-GT"/>
        </w:rPr>
        <w:t>:</w:t>
      </w:r>
      <w:r w:rsidR="00910EB9" w:rsidRPr="000D6B6F">
        <w:rPr>
          <w:rFonts w:ascii="Times New Roman" w:hAnsi="Times New Roman" w:cs="Times New Roman"/>
          <w:bCs/>
          <w:szCs w:val="24"/>
          <w:lang w:val="es-GT"/>
        </w:rPr>
        <w:t xml:space="preserve"> por</w:t>
      </w:r>
      <w:r w:rsidRPr="000D6B6F">
        <w:rPr>
          <w:rFonts w:ascii="Times New Roman" w:hAnsi="Times New Roman" w:cs="Times New Roman"/>
          <w:bCs/>
          <w:szCs w:val="24"/>
          <w:lang w:val="es-GT"/>
        </w:rPr>
        <w:t xml:space="preserve"> su participación </w:t>
      </w:r>
      <w:r w:rsidR="00910EB9" w:rsidRPr="000D6B6F">
        <w:rPr>
          <w:rFonts w:ascii="Times New Roman" w:hAnsi="Times New Roman" w:cs="Times New Roman"/>
          <w:bCs/>
          <w:szCs w:val="24"/>
          <w:lang w:val="es-GT"/>
        </w:rPr>
        <w:t>en este estudio.</w:t>
      </w:r>
    </w:p>
    <w:p w14:paraId="01C7D3F3" w14:textId="6FFE742A" w:rsidR="00A12EE9" w:rsidRDefault="00A12EE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lastRenderedPageBreak/>
        <w:t xml:space="preserve">Un </w:t>
      </w:r>
      <w:r w:rsidR="005F40A8" w:rsidRPr="000D6B6F">
        <w:rPr>
          <w:rFonts w:ascii="Times New Roman" w:hAnsi="Times New Roman" w:cs="Times New Roman"/>
          <w:bCs/>
          <w:szCs w:val="24"/>
          <w:lang w:val="es-GT"/>
        </w:rPr>
        <w:t>agradecimiento</w:t>
      </w:r>
      <w:r w:rsidRPr="000D6B6F">
        <w:rPr>
          <w:rFonts w:ascii="Times New Roman" w:hAnsi="Times New Roman" w:cs="Times New Roman"/>
          <w:bCs/>
          <w:szCs w:val="24"/>
          <w:lang w:val="es-GT"/>
        </w:rPr>
        <w:t xml:space="preserve"> especial al Centro de Investigación Latino, University of Nevada</w:t>
      </w:r>
      <w:r w:rsidR="005F40A8" w:rsidRPr="000D6B6F">
        <w:rPr>
          <w:rFonts w:ascii="Times New Roman" w:hAnsi="Times New Roman" w:cs="Times New Roman"/>
          <w:bCs/>
          <w:szCs w:val="24"/>
          <w:lang w:val="es-GT"/>
        </w:rPr>
        <w:t>,</w:t>
      </w:r>
      <w:r w:rsidRPr="000D6B6F">
        <w:rPr>
          <w:rFonts w:ascii="Times New Roman" w:hAnsi="Times New Roman" w:cs="Times New Roman"/>
          <w:bCs/>
          <w:szCs w:val="24"/>
          <w:lang w:val="es-GT"/>
        </w:rPr>
        <w:t xml:space="preserve"> Reno</w:t>
      </w:r>
      <w:r w:rsidR="005F40A8" w:rsidRPr="000D6B6F">
        <w:rPr>
          <w:rFonts w:ascii="Times New Roman" w:hAnsi="Times New Roman" w:cs="Times New Roman"/>
          <w:bCs/>
          <w:szCs w:val="24"/>
          <w:lang w:val="es-GT"/>
        </w:rPr>
        <w:t>:</w:t>
      </w:r>
      <w:r w:rsidRPr="000D6B6F">
        <w:rPr>
          <w:rFonts w:ascii="Times New Roman" w:hAnsi="Times New Roman" w:cs="Times New Roman"/>
          <w:bCs/>
          <w:szCs w:val="24"/>
          <w:lang w:val="es-GT"/>
        </w:rPr>
        <w:t xml:space="preserve"> </w:t>
      </w:r>
      <w:r w:rsidR="005F40A8" w:rsidRPr="000D6B6F">
        <w:rPr>
          <w:rFonts w:ascii="Times New Roman" w:hAnsi="Times New Roman" w:cs="Times New Roman"/>
          <w:bCs/>
          <w:szCs w:val="24"/>
          <w:lang w:val="es-GT"/>
        </w:rPr>
        <w:t>por su valioso aporte en compartir sus recursos de traducción a través de la estudiante de posgrado Thania Castañaza.</w:t>
      </w:r>
    </w:p>
    <w:p w14:paraId="1EA72542" w14:textId="77777777" w:rsidR="00A80903" w:rsidRPr="000D6B6F" w:rsidRDefault="00A80903" w:rsidP="000D6B6F">
      <w:pPr>
        <w:snapToGrid w:val="0"/>
        <w:spacing w:after="0" w:line="360" w:lineRule="auto"/>
        <w:contextualSpacing/>
        <w:rPr>
          <w:rFonts w:ascii="Times New Roman" w:hAnsi="Times New Roman" w:cs="Times New Roman"/>
          <w:bCs/>
          <w:szCs w:val="24"/>
          <w:lang w:val="es-GT"/>
        </w:rPr>
      </w:pPr>
    </w:p>
    <w:p w14:paraId="0AAF64A7" w14:textId="77777777" w:rsidR="00910EB9" w:rsidRPr="00A80903" w:rsidRDefault="00910EB9" w:rsidP="000D6B6F">
      <w:pPr>
        <w:snapToGrid w:val="0"/>
        <w:spacing w:after="0" w:line="360" w:lineRule="auto"/>
        <w:contextualSpacing/>
        <w:rPr>
          <w:rFonts w:ascii="Times New Roman" w:hAnsi="Times New Roman" w:cs="Times New Roman"/>
          <w:bCs/>
          <w:color w:val="0070C0"/>
          <w:sz w:val="40"/>
          <w:szCs w:val="40"/>
          <w:lang w:val="es-GT"/>
        </w:rPr>
      </w:pPr>
      <w:r w:rsidRPr="00A80903">
        <w:rPr>
          <w:rFonts w:ascii="Times New Roman" w:hAnsi="Times New Roman" w:cs="Times New Roman"/>
          <w:b/>
          <w:color w:val="0070C0"/>
          <w:sz w:val="40"/>
          <w:szCs w:val="40"/>
          <w:lang w:val="es-GT"/>
        </w:rPr>
        <w:t>Material adicional</w:t>
      </w:r>
      <w:r w:rsidRPr="00A80903">
        <w:rPr>
          <w:rFonts w:ascii="Times New Roman" w:hAnsi="Times New Roman" w:cs="Times New Roman"/>
          <w:bCs/>
          <w:color w:val="0070C0"/>
          <w:sz w:val="40"/>
          <w:szCs w:val="40"/>
          <w:lang w:val="es-GT"/>
        </w:rPr>
        <w:t xml:space="preserve"> </w:t>
      </w:r>
    </w:p>
    <w:p w14:paraId="7DE9F5AD" w14:textId="77777777"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xml:space="preserve">• Archivo 1 COREQ.docx: Lista de verificación de Criterios Consolidados para Informes de Investigación Cualitativa (COREQ) </w:t>
      </w:r>
    </w:p>
    <w:p w14:paraId="6236EF9D" w14:textId="6FE3953B"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xml:space="preserve">• Archivo 2 Análisis Componencial.xlsx: Matriz con análisis componencial de actores clave (español) </w:t>
      </w:r>
    </w:p>
    <w:p w14:paraId="34C6A82D" w14:textId="05C86C9D" w:rsidR="00910EB9" w:rsidRPr="000D6B6F"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Archivo 3 Guía.pdf: Guía de entrevista semiestructurada (</w:t>
      </w:r>
      <w:r w:rsidR="00630237" w:rsidRPr="000D6B6F">
        <w:rPr>
          <w:rFonts w:ascii="Times New Roman" w:hAnsi="Times New Roman" w:cs="Times New Roman"/>
          <w:bCs/>
          <w:szCs w:val="24"/>
          <w:lang w:val="es-GT"/>
        </w:rPr>
        <w:t>e</w:t>
      </w:r>
      <w:r w:rsidRPr="000D6B6F">
        <w:rPr>
          <w:rFonts w:ascii="Times New Roman" w:hAnsi="Times New Roman" w:cs="Times New Roman"/>
          <w:bCs/>
          <w:szCs w:val="24"/>
          <w:lang w:val="es-GT"/>
        </w:rPr>
        <w:t xml:space="preserve">spañol) </w:t>
      </w:r>
    </w:p>
    <w:p w14:paraId="29DD42DF" w14:textId="7C60BB70" w:rsidR="00910EB9" w:rsidRDefault="00910EB9" w:rsidP="000D6B6F">
      <w:pPr>
        <w:snapToGrid w:val="0"/>
        <w:spacing w:after="0" w:line="360" w:lineRule="auto"/>
        <w:contextualSpacing/>
        <w:rPr>
          <w:rFonts w:ascii="Times New Roman" w:hAnsi="Times New Roman" w:cs="Times New Roman"/>
          <w:bCs/>
          <w:szCs w:val="24"/>
          <w:lang w:val="es-GT"/>
        </w:rPr>
      </w:pPr>
      <w:r w:rsidRPr="000D6B6F">
        <w:rPr>
          <w:rFonts w:ascii="Times New Roman" w:hAnsi="Times New Roman" w:cs="Times New Roman"/>
          <w:bCs/>
          <w:szCs w:val="24"/>
          <w:lang w:val="es-GT"/>
        </w:rPr>
        <w:t>• Archivo 4 Datos.xlsx: Matriz de resultados con datos recopilados de información disponible públicamente (español)</w:t>
      </w:r>
    </w:p>
    <w:p w14:paraId="5EE86118" w14:textId="77777777" w:rsidR="00A80903" w:rsidRPr="000D6B6F" w:rsidRDefault="00A80903" w:rsidP="000D6B6F">
      <w:pPr>
        <w:snapToGrid w:val="0"/>
        <w:spacing w:after="0" w:line="360" w:lineRule="auto"/>
        <w:contextualSpacing/>
        <w:rPr>
          <w:rFonts w:ascii="Times New Roman" w:hAnsi="Times New Roman" w:cs="Times New Roman"/>
          <w:bCs/>
          <w:szCs w:val="24"/>
          <w:lang w:val="es-GT"/>
        </w:rPr>
      </w:pPr>
    </w:p>
    <w:p w14:paraId="5B566C05" w14:textId="4F2F10D0" w:rsidR="00A24C8B" w:rsidRPr="00A80903" w:rsidRDefault="002C0847" w:rsidP="000D6B6F">
      <w:pPr>
        <w:snapToGrid w:val="0"/>
        <w:spacing w:after="0" w:line="360" w:lineRule="auto"/>
        <w:contextualSpacing/>
        <w:rPr>
          <w:rFonts w:ascii="Times New Roman" w:hAnsi="Times New Roman" w:cs="Times New Roman"/>
          <w:b/>
          <w:color w:val="0070C0"/>
          <w:sz w:val="40"/>
          <w:szCs w:val="40"/>
        </w:rPr>
      </w:pPr>
      <w:proofErr w:type="spellStart"/>
      <w:r w:rsidRPr="00A80903">
        <w:rPr>
          <w:rFonts w:ascii="Times New Roman" w:hAnsi="Times New Roman" w:cs="Times New Roman"/>
          <w:b/>
          <w:color w:val="0070C0"/>
          <w:sz w:val="40"/>
          <w:szCs w:val="40"/>
        </w:rPr>
        <w:t>Referenc</w:t>
      </w:r>
      <w:r w:rsidR="006A0DF7" w:rsidRPr="00A80903">
        <w:rPr>
          <w:rFonts w:ascii="Times New Roman" w:hAnsi="Times New Roman" w:cs="Times New Roman"/>
          <w:b/>
          <w:color w:val="0070C0"/>
          <w:sz w:val="40"/>
          <w:szCs w:val="40"/>
        </w:rPr>
        <w:t>ia</w:t>
      </w:r>
      <w:r w:rsidRPr="00A80903">
        <w:rPr>
          <w:rFonts w:ascii="Times New Roman" w:hAnsi="Times New Roman" w:cs="Times New Roman"/>
          <w:b/>
          <w:color w:val="0070C0"/>
          <w:sz w:val="40"/>
          <w:szCs w:val="40"/>
        </w:rPr>
        <w:t>s</w:t>
      </w:r>
      <w:proofErr w:type="spellEnd"/>
      <w:r w:rsidR="00DD72E7" w:rsidRPr="00A80903">
        <w:rPr>
          <w:rFonts w:ascii="Times New Roman" w:hAnsi="Times New Roman" w:cs="Times New Roman"/>
          <w:b/>
          <w:color w:val="0070C0"/>
          <w:sz w:val="40"/>
          <w:szCs w:val="40"/>
        </w:rPr>
        <w:t xml:space="preserve"> </w:t>
      </w:r>
      <w:proofErr w:type="spellStart"/>
      <w:r w:rsidR="00DD72E7" w:rsidRPr="00A80903">
        <w:rPr>
          <w:rFonts w:ascii="Times New Roman" w:hAnsi="Times New Roman" w:cs="Times New Roman"/>
          <w:b/>
          <w:color w:val="0070C0"/>
          <w:sz w:val="40"/>
          <w:szCs w:val="40"/>
        </w:rPr>
        <w:t>bibliográficas</w:t>
      </w:r>
      <w:proofErr w:type="spellEnd"/>
    </w:p>
    <w:p w14:paraId="0AA7C3F4" w14:textId="3D4E9FC4"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Acker D, Orujov A, Simpson H. Political donations and political risk in the UK: Evidence from a closely fought election. J Bank </w:t>
      </w:r>
      <w:proofErr w:type="spellStart"/>
      <w:r w:rsidRPr="00A80903">
        <w:rPr>
          <w:rFonts w:ascii="Times New Roman" w:hAnsi="Times New Roman" w:cs="Times New Roman"/>
          <w:szCs w:val="24"/>
        </w:rPr>
        <w:t>Financ</w:t>
      </w:r>
      <w:proofErr w:type="spellEnd"/>
      <w:r w:rsidRPr="00A80903">
        <w:rPr>
          <w:rFonts w:ascii="Times New Roman" w:hAnsi="Times New Roman" w:cs="Times New Roman"/>
          <w:szCs w:val="24"/>
        </w:rPr>
        <w:t xml:space="preserve"> [Internet]. </w:t>
      </w:r>
      <w:proofErr w:type="gramStart"/>
      <w:r w:rsidRPr="00A80903">
        <w:rPr>
          <w:rFonts w:ascii="Times New Roman" w:hAnsi="Times New Roman" w:cs="Times New Roman"/>
          <w:szCs w:val="24"/>
        </w:rPr>
        <w:t>2018;92:146</w:t>
      </w:r>
      <w:proofErr w:type="gramEnd"/>
      <w:r w:rsidRPr="00A80903">
        <w:rPr>
          <w:rFonts w:ascii="Times New Roman" w:hAnsi="Times New Roman" w:cs="Times New Roman"/>
          <w:szCs w:val="24"/>
        </w:rPr>
        <w:t>–67. Available from: https://doi.org/10.1016/j.jbankfin.2018.05.009</w:t>
      </w:r>
    </w:p>
    <w:p w14:paraId="61150DC7"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Administrative Department of Public Service. Law 2003 of 2019 [Internet]. 2019. Available from: https://www.funcionpublica.gov.co/eva/gestornormativo/norma_pdf.php?i=102872</w:t>
      </w:r>
    </w:p>
    <w:p w14:paraId="7FBE7696"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Anaf</w:t>
      </w:r>
      <w:proofErr w:type="spellEnd"/>
      <w:r w:rsidRPr="00A80903">
        <w:rPr>
          <w:rFonts w:ascii="Times New Roman" w:hAnsi="Times New Roman" w:cs="Times New Roman"/>
          <w:szCs w:val="24"/>
        </w:rPr>
        <w:t xml:space="preserve"> J, Baum F, Fisher M, Friel S. Civil society action against transnational corporations: implications for health promotion. Health </w:t>
      </w:r>
      <w:proofErr w:type="spellStart"/>
      <w:r w:rsidRPr="00A80903">
        <w:rPr>
          <w:rFonts w:ascii="Times New Roman" w:hAnsi="Times New Roman" w:cs="Times New Roman"/>
          <w:szCs w:val="24"/>
        </w:rPr>
        <w:t>Promot</w:t>
      </w:r>
      <w:proofErr w:type="spellEnd"/>
      <w:r w:rsidRPr="00A80903">
        <w:rPr>
          <w:rFonts w:ascii="Times New Roman" w:hAnsi="Times New Roman" w:cs="Times New Roman"/>
          <w:szCs w:val="24"/>
        </w:rPr>
        <w:t xml:space="preserve"> </w:t>
      </w:r>
      <w:proofErr w:type="spellStart"/>
      <w:r w:rsidRPr="00A80903">
        <w:rPr>
          <w:rFonts w:ascii="Times New Roman" w:hAnsi="Times New Roman" w:cs="Times New Roman"/>
          <w:szCs w:val="24"/>
        </w:rPr>
        <w:t>Int</w:t>
      </w:r>
      <w:proofErr w:type="spellEnd"/>
      <w:r w:rsidRPr="00A80903">
        <w:rPr>
          <w:rFonts w:ascii="Times New Roman" w:hAnsi="Times New Roman" w:cs="Times New Roman"/>
          <w:szCs w:val="24"/>
        </w:rPr>
        <w:t xml:space="preserve"> 2020;35(4):877–87.</w:t>
      </w:r>
    </w:p>
    <w:p w14:paraId="48D85CE4"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Bertrand M, </w:t>
      </w:r>
      <w:proofErr w:type="spellStart"/>
      <w:r w:rsidRPr="00A80903">
        <w:rPr>
          <w:rFonts w:ascii="Times New Roman" w:hAnsi="Times New Roman" w:cs="Times New Roman"/>
          <w:szCs w:val="24"/>
        </w:rPr>
        <w:t>Bombardini</w:t>
      </w:r>
      <w:proofErr w:type="spellEnd"/>
      <w:r w:rsidRPr="00A80903">
        <w:rPr>
          <w:rFonts w:ascii="Times New Roman" w:hAnsi="Times New Roman" w:cs="Times New Roman"/>
          <w:szCs w:val="24"/>
        </w:rPr>
        <w:t xml:space="preserve"> M, </w:t>
      </w:r>
      <w:proofErr w:type="spellStart"/>
      <w:r w:rsidRPr="00A80903">
        <w:rPr>
          <w:rFonts w:ascii="Times New Roman" w:hAnsi="Times New Roman" w:cs="Times New Roman"/>
          <w:szCs w:val="24"/>
        </w:rPr>
        <w:t>Fisman</w:t>
      </w:r>
      <w:proofErr w:type="spellEnd"/>
      <w:r w:rsidRPr="00A80903">
        <w:rPr>
          <w:rFonts w:ascii="Times New Roman" w:hAnsi="Times New Roman" w:cs="Times New Roman"/>
          <w:szCs w:val="24"/>
        </w:rPr>
        <w:t xml:space="preserve"> R, Trebbi F. Tax-exempt lobbying: Corporate philanthropy as a tool for political influence. Am Econ Rev 2020;110(7):2065–102.</w:t>
      </w:r>
    </w:p>
    <w:p w14:paraId="2F706F2B"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Buckton CH, Fergie G, Leifeld P, Hilton S. A discourse network analysis of UK newspaper coverage of the “sugar tax” debate before and after the announcement of the Soft Drinks Industry Levy. BMC Public Health. 2019;19(1):1–14.</w:t>
      </w:r>
    </w:p>
    <w:p w14:paraId="0765A462"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Central Bank of the Republic of Colombia. Representative Market Rate (TRM - Peso per dollar) [Internet]. [cited 2021 Sep 13]. Available from: https://www.banrep.gov.co/es/estadisticas/trm</w:t>
      </w:r>
    </w:p>
    <w:p w14:paraId="615FFC52"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lastRenderedPageBreak/>
        <w:t xml:space="preserve">Chan KC, Feng X. Corporate philanthropy in a politically uncertain environment: does it bring tangible benefits to a firm? Evidence from China. </w:t>
      </w:r>
      <w:proofErr w:type="spellStart"/>
      <w:r w:rsidRPr="00A80903">
        <w:rPr>
          <w:rFonts w:ascii="Times New Roman" w:hAnsi="Times New Roman" w:cs="Times New Roman"/>
          <w:szCs w:val="24"/>
        </w:rPr>
        <w:t>Eur</w:t>
      </w:r>
      <w:proofErr w:type="spellEnd"/>
      <w:r w:rsidRPr="00A80903">
        <w:rPr>
          <w:rFonts w:ascii="Times New Roman" w:hAnsi="Times New Roman" w:cs="Times New Roman"/>
          <w:szCs w:val="24"/>
        </w:rPr>
        <w:t xml:space="preserve"> J </w:t>
      </w:r>
      <w:proofErr w:type="spellStart"/>
      <w:r w:rsidRPr="00A80903">
        <w:rPr>
          <w:rFonts w:ascii="Times New Roman" w:hAnsi="Times New Roman" w:cs="Times New Roman"/>
          <w:szCs w:val="24"/>
        </w:rPr>
        <w:t>Financ</w:t>
      </w:r>
      <w:proofErr w:type="spellEnd"/>
      <w:r w:rsidRPr="00A80903">
        <w:rPr>
          <w:rFonts w:ascii="Times New Roman" w:hAnsi="Times New Roman" w:cs="Times New Roman"/>
          <w:szCs w:val="24"/>
        </w:rPr>
        <w:t>. 2019;25(3):256–78.</w:t>
      </w:r>
    </w:p>
    <w:p w14:paraId="3A5FC2E3"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Chkir</w:t>
      </w:r>
      <w:proofErr w:type="spellEnd"/>
      <w:r w:rsidRPr="00A80903">
        <w:rPr>
          <w:rFonts w:ascii="Times New Roman" w:hAnsi="Times New Roman" w:cs="Times New Roman"/>
          <w:szCs w:val="24"/>
        </w:rPr>
        <w:t xml:space="preserve"> I, </w:t>
      </w:r>
      <w:proofErr w:type="spellStart"/>
      <w:r w:rsidRPr="00A80903">
        <w:rPr>
          <w:rFonts w:ascii="Times New Roman" w:hAnsi="Times New Roman" w:cs="Times New Roman"/>
          <w:szCs w:val="24"/>
        </w:rPr>
        <w:t>Gallali</w:t>
      </w:r>
      <w:proofErr w:type="spellEnd"/>
      <w:r w:rsidRPr="00A80903">
        <w:rPr>
          <w:rFonts w:ascii="Times New Roman" w:hAnsi="Times New Roman" w:cs="Times New Roman"/>
          <w:szCs w:val="24"/>
        </w:rPr>
        <w:t xml:space="preserve"> MI, </w:t>
      </w:r>
      <w:proofErr w:type="spellStart"/>
      <w:r w:rsidRPr="00A80903">
        <w:rPr>
          <w:rFonts w:ascii="Times New Roman" w:hAnsi="Times New Roman" w:cs="Times New Roman"/>
          <w:szCs w:val="24"/>
        </w:rPr>
        <w:t>Toukabri</w:t>
      </w:r>
      <w:proofErr w:type="spellEnd"/>
      <w:r w:rsidRPr="00A80903">
        <w:rPr>
          <w:rFonts w:ascii="Times New Roman" w:hAnsi="Times New Roman" w:cs="Times New Roman"/>
          <w:szCs w:val="24"/>
        </w:rPr>
        <w:t xml:space="preserve"> M. Political connections and corporate debt: Evidence from two US election campaigns. Q Rev Econ </w:t>
      </w:r>
      <w:proofErr w:type="spellStart"/>
      <w:r w:rsidRPr="00A80903">
        <w:rPr>
          <w:rFonts w:ascii="Times New Roman" w:hAnsi="Times New Roman" w:cs="Times New Roman"/>
          <w:szCs w:val="24"/>
        </w:rPr>
        <w:t>Financ</w:t>
      </w:r>
      <w:proofErr w:type="spellEnd"/>
      <w:r w:rsidRPr="00A80903">
        <w:rPr>
          <w:rFonts w:ascii="Times New Roman" w:hAnsi="Times New Roman" w:cs="Times New Roman"/>
          <w:szCs w:val="24"/>
        </w:rPr>
        <w:t xml:space="preserve"> [Internet]. </w:t>
      </w:r>
      <w:proofErr w:type="gramStart"/>
      <w:r w:rsidRPr="00A80903">
        <w:rPr>
          <w:rFonts w:ascii="Times New Roman" w:hAnsi="Times New Roman" w:cs="Times New Roman"/>
          <w:szCs w:val="24"/>
        </w:rPr>
        <w:t>2020;75:229</w:t>
      </w:r>
      <w:proofErr w:type="gramEnd"/>
      <w:r w:rsidRPr="00A80903">
        <w:rPr>
          <w:rFonts w:ascii="Times New Roman" w:hAnsi="Times New Roman" w:cs="Times New Roman"/>
          <w:szCs w:val="24"/>
        </w:rPr>
        <w:t>–39. Available from: https://doi.org/10.1016/j.qref.2019.05.003</w:t>
      </w:r>
    </w:p>
    <w:p w14:paraId="06C443ED"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Constitutional Court on Twitter. Communiqué 34. Sentence C-302-21 [Internet]. 2021 [cited 2021 Sep 13]. Available from: https://twitter.com/CConstitucional/status/1436136007691276289/photo/1</w:t>
      </w:r>
    </w:p>
    <w:p w14:paraId="326E9D30"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Cortés C, </w:t>
      </w:r>
      <w:proofErr w:type="spellStart"/>
      <w:r w:rsidRPr="00A80903">
        <w:rPr>
          <w:rFonts w:ascii="Times New Roman" w:hAnsi="Times New Roman" w:cs="Times New Roman"/>
          <w:szCs w:val="24"/>
        </w:rPr>
        <w:t>Peñarredonda</w:t>
      </w:r>
      <w:proofErr w:type="spellEnd"/>
      <w:r w:rsidRPr="00A80903">
        <w:rPr>
          <w:rFonts w:ascii="Times New Roman" w:hAnsi="Times New Roman" w:cs="Times New Roman"/>
          <w:szCs w:val="24"/>
        </w:rPr>
        <w:t xml:space="preserve"> JL, Heinrich </w:t>
      </w:r>
      <w:proofErr w:type="spellStart"/>
      <w:r w:rsidRPr="00A80903">
        <w:rPr>
          <w:rFonts w:ascii="Times New Roman" w:hAnsi="Times New Roman" w:cs="Times New Roman"/>
          <w:szCs w:val="24"/>
        </w:rPr>
        <w:t>Böll</w:t>
      </w:r>
      <w:proofErr w:type="spellEnd"/>
      <w:r w:rsidRPr="00A80903">
        <w:rPr>
          <w:rFonts w:ascii="Times New Roman" w:hAnsi="Times New Roman" w:cs="Times New Roman"/>
          <w:szCs w:val="24"/>
        </w:rPr>
        <w:t xml:space="preserve"> Foundation Bogotá Office - Colombia. In the junk food debate: defeat of civil society at the hands of the industry. Green ideas Political Analysis. </w:t>
      </w:r>
      <w:proofErr w:type="gramStart"/>
      <w:r w:rsidRPr="00A80903">
        <w:rPr>
          <w:rFonts w:ascii="Times New Roman" w:hAnsi="Times New Roman" w:cs="Times New Roman"/>
          <w:szCs w:val="24"/>
        </w:rPr>
        <w:t>2019;18:2019</w:t>
      </w:r>
      <w:proofErr w:type="gramEnd"/>
      <w:r w:rsidRPr="00A80903">
        <w:rPr>
          <w:rFonts w:ascii="Times New Roman" w:hAnsi="Times New Roman" w:cs="Times New Roman"/>
          <w:szCs w:val="24"/>
        </w:rPr>
        <w:t>.</w:t>
      </w:r>
    </w:p>
    <w:p w14:paraId="5890F5DB" w14:textId="59641DDA"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lang w:val="es-MX"/>
        </w:rPr>
      </w:pPr>
      <w:r w:rsidRPr="00A80903">
        <w:rPr>
          <w:rFonts w:ascii="Times New Roman" w:hAnsi="Times New Roman" w:cs="Times New Roman"/>
          <w:szCs w:val="24"/>
        </w:rPr>
        <w:t xml:space="preserve">Crosbie E, Mialon M, Sacks G. Mapping of food industry strategies to influence public health policy, </w:t>
      </w:r>
      <w:r w:rsidR="008F615E" w:rsidRPr="00A80903">
        <w:rPr>
          <w:rFonts w:ascii="Times New Roman" w:hAnsi="Times New Roman" w:cs="Times New Roman"/>
          <w:szCs w:val="24"/>
        </w:rPr>
        <w:t>research,</w:t>
      </w:r>
      <w:r w:rsidRPr="00A80903">
        <w:rPr>
          <w:rFonts w:ascii="Times New Roman" w:hAnsi="Times New Roman" w:cs="Times New Roman"/>
          <w:szCs w:val="24"/>
        </w:rPr>
        <w:t xml:space="preserve"> and practice in South Africa. </w:t>
      </w:r>
      <w:r w:rsidRPr="00A80903">
        <w:rPr>
          <w:rFonts w:ascii="Times New Roman" w:hAnsi="Times New Roman" w:cs="Times New Roman"/>
          <w:szCs w:val="24"/>
          <w:lang w:val="es-MX"/>
        </w:rPr>
        <w:t xml:space="preserve">Int J Public Health. </w:t>
      </w:r>
      <w:r w:rsidR="008F615E" w:rsidRPr="00A80903">
        <w:rPr>
          <w:rFonts w:ascii="Times New Roman" w:hAnsi="Times New Roman" w:cs="Times New Roman"/>
          <w:szCs w:val="24"/>
          <w:lang w:val="es-MX"/>
        </w:rPr>
        <w:t>2020; 1:1</w:t>
      </w:r>
      <w:r w:rsidRPr="00A80903">
        <w:rPr>
          <w:rFonts w:ascii="Times New Roman" w:hAnsi="Times New Roman" w:cs="Times New Roman"/>
          <w:szCs w:val="24"/>
          <w:lang w:val="es-MX"/>
        </w:rPr>
        <w:t>–10.</w:t>
      </w:r>
    </w:p>
    <w:p w14:paraId="4C34ADF8"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lang w:val="es-MX"/>
        </w:rPr>
        <w:t xml:space="preserve">Díaz-García J, Valencia-Agudelo GD, Carmona-Garcés IC, González-Zapata LI. </w:t>
      </w:r>
      <w:r w:rsidRPr="00A80903">
        <w:rPr>
          <w:rFonts w:ascii="Times New Roman" w:hAnsi="Times New Roman" w:cs="Times New Roman"/>
          <w:szCs w:val="24"/>
        </w:rPr>
        <w:t>Interest groups and tax on the consumption of sugar-sweetened beverage in Colombia. Economics Readings. 2020. 155–187 p.</w:t>
      </w:r>
    </w:p>
    <w:p w14:paraId="1C02F403"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Fooks GJ, Gilmore AB. Corporate philanthropy, political influence, and health policy. </w:t>
      </w:r>
      <w:proofErr w:type="spellStart"/>
      <w:r w:rsidRPr="00A80903">
        <w:rPr>
          <w:rFonts w:ascii="Times New Roman" w:hAnsi="Times New Roman" w:cs="Times New Roman"/>
          <w:szCs w:val="24"/>
        </w:rPr>
        <w:t>PLoS</w:t>
      </w:r>
      <w:proofErr w:type="spellEnd"/>
      <w:r w:rsidRPr="00A80903">
        <w:rPr>
          <w:rFonts w:ascii="Times New Roman" w:hAnsi="Times New Roman" w:cs="Times New Roman"/>
          <w:szCs w:val="24"/>
        </w:rPr>
        <w:t xml:space="preserve"> One. 2013;8(11).</w:t>
      </w:r>
    </w:p>
    <w:p w14:paraId="3857E6AA" w14:textId="09C63B16"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lang w:val="es-GT"/>
        </w:rPr>
      </w:pPr>
      <w:r w:rsidRPr="00A80903">
        <w:rPr>
          <w:rFonts w:ascii="Times New Roman" w:hAnsi="Times New Roman" w:cs="Times New Roman"/>
          <w:szCs w:val="24"/>
        </w:rPr>
        <w:t xml:space="preserve">Gómez EJ. Coca-Cola's political and political influence in Mexico: Understanding the role of institutions, </w:t>
      </w:r>
      <w:r w:rsidR="008F615E" w:rsidRPr="00A80903">
        <w:rPr>
          <w:rFonts w:ascii="Times New Roman" w:hAnsi="Times New Roman" w:cs="Times New Roman"/>
          <w:szCs w:val="24"/>
        </w:rPr>
        <w:t>interests,</w:t>
      </w:r>
      <w:r w:rsidRPr="00A80903">
        <w:rPr>
          <w:rFonts w:ascii="Times New Roman" w:hAnsi="Times New Roman" w:cs="Times New Roman"/>
          <w:szCs w:val="24"/>
        </w:rPr>
        <w:t xml:space="preserve"> and divided society. </w:t>
      </w:r>
      <w:r w:rsidRPr="00A80903">
        <w:rPr>
          <w:rFonts w:ascii="Times New Roman" w:hAnsi="Times New Roman" w:cs="Times New Roman"/>
          <w:szCs w:val="24"/>
          <w:lang w:val="es-GT"/>
        </w:rPr>
        <w:t>Health Policy Plan. 2019;34(7):520–8.</w:t>
      </w:r>
    </w:p>
    <w:p w14:paraId="1F38DDDA"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lang w:val="es-MX"/>
        </w:rPr>
        <w:t xml:space="preserve">Gómez L, Jacoby E, Ibarra L, Lucumí D, Hernandez A, Parra D, et al. </w:t>
      </w:r>
      <w:r w:rsidRPr="00A80903">
        <w:rPr>
          <w:rFonts w:ascii="Times New Roman" w:hAnsi="Times New Roman" w:cs="Times New Roman"/>
          <w:szCs w:val="24"/>
        </w:rPr>
        <w:t>Sponsorship of physical activity programs by the sweetened beverages industry: Public health or public relations? Rev Saude Publica. 2011;45(2):423–7.</w:t>
      </w:r>
    </w:p>
    <w:p w14:paraId="63A3C2B8"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Gorbaneff</w:t>
      </w:r>
      <w:proofErr w:type="spellEnd"/>
      <w:r w:rsidRPr="00A80903">
        <w:rPr>
          <w:rFonts w:ascii="Times New Roman" w:hAnsi="Times New Roman" w:cs="Times New Roman"/>
          <w:szCs w:val="24"/>
        </w:rPr>
        <w:t xml:space="preserve"> Y, Torres S, Fernando Cardona J. THE CONCEPT OF INCENTIVE IN MANAGEMENT. A REVIEW OF THE LITERATURE. Rev Econ Inst [Internet]. 2009 [cited 2021 Jun 16];11(21):73–91. Available from: https://www.redalyc.org/articulo.oa?id=41911848006</w:t>
      </w:r>
    </w:p>
    <w:p w14:paraId="1C71F479"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Government of Chile. Lobby Law [Internet]. [cited 2021 Jul 22]. Available from: https://www.leylobby.gob.cl/</w:t>
      </w:r>
    </w:p>
    <w:p w14:paraId="5ABC8173"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lastRenderedPageBreak/>
        <w:t>Greenhalgh S. Soda industry influence on obesity science and policy in China. J Public Health Policy [Internet]. 2019;40(1):5–16. Available from: https://doi.org/10.1057/s41271-018-00158-x</w:t>
      </w:r>
    </w:p>
    <w:p w14:paraId="0CBEFB29"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Iftinchi</w:t>
      </w:r>
      <w:proofErr w:type="spellEnd"/>
      <w:r w:rsidRPr="00A80903">
        <w:rPr>
          <w:rFonts w:ascii="Times New Roman" w:hAnsi="Times New Roman" w:cs="Times New Roman"/>
          <w:szCs w:val="24"/>
        </w:rPr>
        <w:t xml:space="preserve"> V, </w:t>
      </w:r>
      <w:proofErr w:type="spellStart"/>
      <w:r w:rsidRPr="00A80903">
        <w:rPr>
          <w:rFonts w:ascii="Times New Roman" w:hAnsi="Times New Roman" w:cs="Times New Roman"/>
          <w:szCs w:val="24"/>
        </w:rPr>
        <w:t>Hurduzeu</w:t>
      </w:r>
      <w:proofErr w:type="spellEnd"/>
      <w:r w:rsidRPr="00A80903">
        <w:rPr>
          <w:rFonts w:ascii="Times New Roman" w:hAnsi="Times New Roman" w:cs="Times New Roman"/>
          <w:szCs w:val="24"/>
        </w:rPr>
        <w:t xml:space="preserve"> G. How Multinational Corporations Use Lobbying and Advocacy </w:t>
      </w:r>
      <w:proofErr w:type="gramStart"/>
      <w:r w:rsidRPr="00A80903">
        <w:rPr>
          <w:rFonts w:ascii="Times New Roman" w:hAnsi="Times New Roman" w:cs="Times New Roman"/>
          <w:szCs w:val="24"/>
        </w:rPr>
        <w:t>To</w:t>
      </w:r>
      <w:proofErr w:type="gramEnd"/>
      <w:r w:rsidRPr="00A80903">
        <w:rPr>
          <w:rFonts w:ascii="Times New Roman" w:hAnsi="Times New Roman" w:cs="Times New Roman"/>
          <w:szCs w:val="24"/>
        </w:rPr>
        <w:t xml:space="preserve"> Mitigate Political Risks. Oradea J Bus Econ. 2018;3(Special):18–26.</w:t>
      </w:r>
    </w:p>
    <w:p w14:paraId="15B61A54"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Jaichuen</w:t>
      </w:r>
      <w:proofErr w:type="spellEnd"/>
      <w:r w:rsidRPr="00A80903">
        <w:rPr>
          <w:rFonts w:ascii="Times New Roman" w:hAnsi="Times New Roman" w:cs="Times New Roman"/>
          <w:szCs w:val="24"/>
        </w:rPr>
        <w:t xml:space="preserve"> N, </w:t>
      </w:r>
      <w:proofErr w:type="spellStart"/>
      <w:r w:rsidRPr="00A80903">
        <w:rPr>
          <w:rFonts w:ascii="Times New Roman" w:hAnsi="Times New Roman" w:cs="Times New Roman"/>
          <w:szCs w:val="24"/>
        </w:rPr>
        <w:t>Phulkerd</w:t>
      </w:r>
      <w:proofErr w:type="spellEnd"/>
      <w:r w:rsidRPr="00A80903">
        <w:rPr>
          <w:rFonts w:ascii="Times New Roman" w:hAnsi="Times New Roman" w:cs="Times New Roman"/>
          <w:szCs w:val="24"/>
        </w:rPr>
        <w:t xml:space="preserve"> S, </w:t>
      </w:r>
      <w:proofErr w:type="spellStart"/>
      <w:r w:rsidRPr="00A80903">
        <w:rPr>
          <w:rFonts w:ascii="Times New Roman" w:hAnsi="Times New Roman" w:cs="Times New Roman"/>
          <w:szCs w:val="24"/>
        </w:rPr>
        <w:t>Certthkrikul</w:t>
      </w:r>
      <w:proofErr w:type="spellEnd"/>
      <w:r w:rsidRPr="00A80903">
        <w:rPr>
          <w:rFonts w:ascii="Times New Roman" w:hAnsi="Times New Roman" w:cs="Times New Roman"/>
          <w:szCs w:val="24"/>
        </w:rPr>
        <w:t xml:space="preserve"> N, Sacks G, </w:t>
      </w:r>
      <w:proofErr w:type="spellStart"/>
      <w:r w:rsidRPr="00A80903">
        <w:rPr>
          <w:rFonts w:ascii="Times New Roman" w:hAnsi="Times New Roman" w:cs="Times New Roman"/>
          <w:szCs w:val="24"/>
        </w:rPr>
        <w:t>Tangcharoensathien</w:t>
      </w:r>
      <w:proofErr w:type="spellEnd"/>
      <w:r w:rsidRPr="00A80903">
        <w:rPr>
          <w:rFonts w:ascii="Times New Roman" w:hAnsi="Times New Roman" w:cs="Times New Roman"/>
          <w:szCs w:val="24"/>
        </w:rPr>
        <w:t xml:space="preserve"> V. Corporate political activity of major food companies in Thailand: An assessment and policy recommendations. Global Health. 2018;14(1):1–11.</w:t>
      </w:r>
    </w:p>
    <w:p w14:paraId="061CD878"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Katsaitis</w:t>
      </w:r>
      <w:proofErr w:type="spellEnd"/>
      <w:r w:rsidRPr="00A80903">
        <w:rPr>
          <w:rFonts w:ascii="Times New Roman" w:hAnsi="Times New Roman" w:cs="Times New Roman"/>
          <w:szCs w:val="24"/>
        </w:rPr>
        <w:t xml:space="preserve"> A. Following the Money: Exploring Business Financial Contributions to the European Union's Political Parties*. J Common Mark Stud. 2020;58(5):1342–51.</w:t>
      </w:r>
    </w:p>
    <w:p w14:paraId="1BA91FCE"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Kickbusch I, Allen L, Franz C. The commercial determinants of health. Lancet [Internet]. 2016 Dec [cited 2021 Jun 23];</w:t>
      </w:r>
      <w:proofErr w:type="gramStart"/>
      <w:r w:rsidRPr="00A80903">
        <w:rPr>
          <w:rFonts w:ascii="Times New Roman" w:hAnsi="Times New Roman" w:cs="Times New Roman"/>
          <w:szCs w:val="24"/>
        </w:rPr>
        <w:t>4:e</w:t>
      </w:r>
      <w:proofErr w:type="gramEnd"/>
      <w:r w:rsidRPr="00A80903">
        <w:rPr>
          <w:rFonts w:ascii="Times New Roman" w:hAnsi="Times New Roman" w:cs="Times New Roman"/>
          <w:szCs w:val="24"/>
        </w:rPr>
        <w:t>895–6. Available from: http://www.who.int/dg/speeches/2013/</w:t>
      </w:r>
    </w:p>
    <w:p w14:paraId="4235DBC1" w14:textId="71497CEB"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Kim IS, </w:t>
      </w:r>
      <w:proofErr w:type="spellStart"/>
      <w:r w:rsidRPr="00A80903">
        <w:rPr>
          <w:rFonts w:ascii="Times New Roman" w:hAnsi="Times New Roman" w:cs="Times New Roman"/>
          <w:szCs w:val="24"/>
        </w:rPr>
        <w:t>Stuckatz</w:t>
      </w:r>
      <w:proofErr w:type="spellEnd"/>
      <w:r w:rsidRPr="00A80903">
        <w:rPr>
          <w:rFonts w:ascii="Times New Roman" w:hAnsi="Times New Roman" w:cs="Times New Roman"/>
          <w:szCs w:val="24"/>
        </w:rPr>
        <w:t xml:space="preserve"> J, Wolters L. Strategic and Sequential Links between Campaign Donations and Lobbying. Work Dad. </w:t>
      </w:r>
      <w:r w:rsidR="008F615E" w:rsidRPr="00A80903">
        <w:rPr>
          <w:rFonts w:ascii="Times New Roman" w:hAnsi="Times New Roman" w:cs="Times New Roman"/>
          <w:szCs w:val="24"/>
        </w:rPr>
        <w:t>2020.</w:t>
      </w:r>
    </w:p>
    <w:p w14:paraId="273C649D" w14:textId="01AB66D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proofErr w:type="spellStart"/>
      <w:r w:rsidRPr="00A80903">
        <w:rPr>
          <w:rFonts w:ascii="Times New Roman" w:hAnsi="Times New Roman" w:cs="Times New Roman"/>
          <w:szCs w:val="24"/>
        </w:rPr>
        <w:t>Kypri</w:t>
      </w:r>
      <w:proofErr w:type="spellEnd"/>
      <w:r w:rsidRPr="00A80903">
        <w:rPr>
          <w:rFonts w:ascii="Times New Roman" w:hAnsi="Times New Roman" w:cs="Times New Roman"/>
          <w:szCs w:val="24"/>
        </w:rPr>
        <w:t xml:space="preserve"> K, Cambridge JIMMC, Robertson N, Martino F, Daube M, Adams P, et al. 'If someone donates $1000, they support you. If they donate $100,000, they have bought you. Mixed methods study of tobacco, </w:t>
      </w:r>
      <w:r w:rsidR="008F615E" w:rsidRPr="00A80903">
        <w:rPr>
          <w:rFonts w:ascii="Times New Roman" w:hAnsi="Times New Roman" w:cs="Times New Roman"/>
          <w:szCs w:val="24"/>
        </w:rPr>
        <w:t>alcohol,</w:t>
      </w:r>
      <w:r w:rsidRPr="00A80903">
        <w:rPr>
          <w:rFonts w:ascii="Times New Roman" w:hAnsi="Times New Roman" w:cs="Times New Roman"/>
          <w:szCs w:val="24"/>
        </w:rPr>
        <w:t xml:space="preserve"> and gambling industry donations to Australian political parties. Aust Prof Soc Alcohol </w:t>
      </w:r>
      <w:proofErr w:type="gramStart"/>
      <w:r w:rsidRPr="00A80903">
        <w:rPr>
          <w:rFonts w:ascii="Times New Roman" w:hAnsi="Times New Roman" w:cs="Times New Roman"/>
          <w:szCs w:val="24"/>
        </w:rPr>
        <w:t>other</w:t>
      </w:r>
      <w:proofErr w:type="gramEnd"/>
      <w:r w:rsidRPr="00A80903">
        <w:rPr>
          <w:rFonts w:ascii="Times New Roman" w:hAnsi="Times New Roman" w:cs="Times New Roman"/>
          <w:szCs w:val="24"/>
        </w:rPr>
        <w:t xml:space="preserve"> Drugs. 2018;(July):1–8.</w:t>
      </w:r>
    </w:p>
    <w:p w14:paraId="52ECAB48"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Le T, Yalcin E. Lobbying, campaign contributions, and electoral competition. </w:t>
      </w:r>
      <w:proofErr w:type="spellStart"/>
      <w:r w:rsidRPr="00A80903">
        <w:rPr>
          <w:rFonts w:ascii="Times New Roman" w:hAnsi="Times New Roman" w:cs="Times New Roman"/>
          <w:szCs w:val="24"/>
        </w:rPr>
        <w:t>Eur</w:t>
      </w:r>
      <w:proofErr w:type="spellEnd"/>
      <w:r w:rsidRPr="00A80903">
        <w:rPr>
          <w:rFonts w:ascii="Times New Roman" w:hAnsi="Times New Roman" w:cs="Times New Roman"/>
          <w:szCs w:val="24"/>
        </w:rPr>
        <w:t xml:space="preserve"> J </w:t>
      </w:r>
      <w:proofErr w:type="spellStart"/>
      <w:r w:rsidRPr="00A80903">
        <w:rPr>
          <w:rFonts w:ascii="Times New Roman" w:hAnsi="Times New Roman" w:cs="Times New Roman"/>
          <w:szCs w:val="24"/>
        </w:rPr>
        <w:t>Polit</w:t>
      </w:r>
      <w:proofErr w:type="spellEnd"/>
      <w:r w:rsidRPr="00A80903">
        <w:rPr>
          <w:rFonts w:ascii="Times New Roman" w:hAnsi="Times New Roman" w:cs="Times New Roman"/>
          <w:szCs w:val="24"/>
        </w:rPr>
        <w:t xml:space="preserve"> Econ [Internet]. </w:t>
      </w:r>
      <w:proofErr w:type="gramStart"/>
      <w:r w:rsidRPr="00A80903">
        <w:rPr>
          <w:rFonts w:ascii="Times New Roman" w:hAnsi="Times New Roman" w:cs="Times New Roman"/>
          <w:szCs w:val="24"/>
        </w:rPr>
        <w:t>2018;55:559</w:t>
      </w:r>
      <w:proofErr w:type="gramEnd"/>
      <w:r w:rsidRPr="00A80903">
        <w:rPr>
          <w:rFonts w:ascii="Times New Roman" w:hAnsi="Times New Roman" w:cs="Times New Roman"/>
          <w:szCs w:val="24"/>
        </w:rPr>
        <w:t>–72. Available from: https://doi.org/10.1016/j.ejpoleco.2018.05.003</w:t>
      </w:r>
    </w:p>
    <w:p w14:paraId="5C73D799"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Madureira Lima J, Galea S. Corporate practices and health: A framework and mechanisms. Global Health. 2018;14(1):1–12.</w:t>
      </w:r>
    </w:p>
    <w:p w14:paraId="6322FEBE"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Marks J. The Perils of Partnership: Industry Influence, Institutional Integrity, and Public Health. Oxford University Press, publisher. New York; 2018.</w:t>
      </w:r>
    </w:p>
    <w:p w14:paraId="5093AA05"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McKay AM. Fundraising for Favors? Linking Lobbyist-Hosted Fundraisers to Legislative Benefits. Polit Res Q. 2018;71(4):869–80.</w:t>
      </w:r>
    </w:p>
    <w:p w14:paraId="4BEE6A57"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Mckee M, Stuckler D. Revisiting the Corporate and Commercial Determinants of Health. J Public Health (Bangkok). 2018;108(9):1167–70.</w:t>
      </w:r>
    </w:p>
    <w:p w14:paraId="1472745C"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w:t>
      </w:r>
      <w:proofErr w:type="spellStart"/>
      <w:r w:rsidRPr="00A80903">
        <w:rPr>
          <w:rFonts w:ascii="Times New Roman" w:hAnsi="Times New Roman" w:cs="Times New Roman"/>
          <w:szCs w:val="24"/>
        </w:rPr>
        <w:t>Corvalan</w:t>
      </w:r>
      <w:proofErr w:type="spellEnd"/>
      <w:r w:rsidRPr="00A80903">
        <w:rPr>
          <w:rFonts w:ascii="Times New Roman" w:hAnsi="Times New Roman" w:cs="Times New Roman"/>
          <w:szCs w:val="24"/>
        </w:rPr>
        <w:t xml:space="preserve"> C, </w:t>
      </w:r>
      <w:proofErr w:type="spellStart"/>
      <w:r w:rsidRPr="00A80903">
        <w:rPr>
          <w:rFonts w:ascii="Times New Roman" w:hAnsi="Times New Roman" w:cs="Times New Roman"/>
          <w:szCs w:val="24"/>
        </w:rPr>
        <w:t>Cediel</w:t>
      </w:r>
      <w:proofErr w:type="spellEnd"/>
      <w:r w:rsidRPr="00A80903">
        <w:rPr>
          <w:rFonts w:ascii="Times New Roman" w:hAnsi="Times New Roman" w:cs="Times New Roman"/>
          <w:szCs w:val="24"/>
        </w:rPr>
        <w:t xml:space="preserve"> G, </w:t>
      </w:r>
      <w:proofErr w:type="spellStart"/>
      <w:r w:rsidRPr="00A80903">
        <w:rPr>
          <w:rFonts w:ascii="Times New Roman" w:hAnsi="Times New Roman" w:cs="Times New Roman"/>
          <w:szCs w:val="24"/>
        </w:rPr>
        <w:t>Scagliusi</w:t>
      </w:r>
      <w:proofErr w:type="spellEnd"/>
      <w:r w:rsidRPr="00A80903">
        <w:rPr>
          <w:rFonts w:ascii="Times New Roman" w:hAnsi="Times New Roman" w:cs="Times New Roman"/>
          <w:szCs w:val="24"/>
        </w:rPr>
        <w:t xml:space="preserve"> FB, Reyes M. Food industry political practices in Chile: “the economy has always been the main concern.” Global Health. 2020;16(1):1–12.</w:t>
      </w:r>
    </w:p>
    <w:p w14:paraId="05E69E5B"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7207B6">
        <w:rPr>
          <w:rFonts w:ascii="Times New Roman" w:hAnsi="Times New Roman" w:cs="Times New Roman"/>
          <w:szCs w:val="24"/>
          <w:lang w:val="es-MX"/>
        </w:rPr>
        <w:lastRenderedPageBreak/>
        <w:t xml:space="preserve">Mialon M, </w:t>
      </w:r>
      <w:proofErr w:type="spellStart"/>
      <w:r w:rsidRPr="007207B6">
        <w:rPr>
          <w:rFonts w:ascii="Times New Roman" w:hAnsi="Times New Roman" w:cs="Times New Roman"/>
          <w:szCs w:val="24"/>
          <w:lang w:val="es-MX"/>
        </w:rPr>
        <w:t>Gaitan</w:t>
      </w:r>
      <w:proofErr w:type="spellEnd"/>
      <w:r w:rsidRPr="007207B6">
        <w:rPr>
          <w:rFonts w:ascii="Times New Roman" w:hAnsi="Times New Roman" w:cs="Times New Roman"/>
          <w:szCs w:val="24"/>
          <w:lang w:val="es-MX"/>
        </w:rPr>
        <w:t xml:space="preserve"> </w:t>
      </w:r>
      <w:proofErr w:type="spellStart"/>
      <w:r w:rsidRPr="007207B6">
        <w:rPr>
          <w:rFonts w:ascii="Times New Roman" w:hAnsi="Times New Roman" w:cs="Times New Roman"/>
          <w:szCs w:val="24"/>
          <w:lang w:val="es-MX"/>
        </w:rPr>
        <w:t>Charry</w:t>
      </w:r>
      <w:proofErr w:type="spellEnd"/>
      <w:r w:rsidRPr="007207B6">
        <w:rPr>
          <w:rFonts w:ascii="Times New Roman" w:hAnsi="Times New Roman" w:cs="Times New Roman"/>
          <w:szCs w:val="24"/>
          <w:lang w:val="es-MX"/>
        </w:rPr>
        <w:t xml:space="preserve"> DA, </w:t>
      </w:r>
      <w:proofErr w:type="spellStart"/>
      <w:r w:rsidRPr="007207B6">
        <w:rPr>
          <w:rFonts w:ascii="Times New Roman" w:hAnsi="Times New Roman" w:cs="Times New Roman"/>
          <w:szCs w:val="24"/>
          <w:lang w:val="es-MX"/>
        </w:rPr>
        <w:t>Cediel</w:t>
      </w:r>
      <w:proofErr w:type="spellEnd"/>
      <w:r w:rsidRPr="007207B6">
        <w:rPr>
          <w:rFonts w:ascii="Times New Roman" w:hAnsi="Times New Roman" w:cs="Times New Roman"/>
          <w:szCs w:val="24"/>
          <w:lang w:val="es-MX"/>
        </w:rPr>
        <w:t xml:space="preserve"> G, </w:t>
      </w:r>
      <w:proofErr w:type="spellStart"/>
      <w:r w:rsidRPr="007207B6">
        <w:rPr>
          <w:rFonts w:ascii="Times New Roman" w:hAnsi="Times New Roman" w:cs="Times New Roman"/>
          <w:szCs w:val="24"/>
          <w:lang w:val="es-MX"/>
        </w:rPr>
        <w:t>Crosbie</w:t>
      </w:r>
      <w:proofErr w:type="spellEnd"/>
      <w:r w:rsidRPr="007207B6">
        <w:rPr>
          <w:rFonts w:ascii="Times New Roman" w:hAnsi="Times New Roman" w:cs="Times New Roman"/>
          <w:szCs w:val="24"/>
          <w:lang w:val="es-MX"/>
        </w:rPr>
        <w:t xml:space="preserve"> E, Baeza </w:t>
      </w:r>
      <w:proofErr w:type="spellStart"/>
      <w:r w:rsidRPr="007207B6">
        <w:rPr>
          <w:rFonts w:ascii="Times New Roman" w:hAnsi="Times New Roman" w:cs="Times New Roman"/>
          <w:szCs w:val="24"/>
          <w:lang w:val="es-MX"/>
        </w:rPr>
        <w:t>Scagliusi</w:t>
      </w:r>
      <w:proofErr w:type="spellEnd"/>
      <w:r w:rsidRPr="007207B6">
        <w:rPr>
          <w:rFonts w:ascii="Times New Roman" w:hAnsi="Times New Roman" w:cs="Times New Roman"/>
          <w:szCs w:val="24"/>
          <w:lang w:val="es-MX"/>
        </w:rPr>
        <w:t xml:space="preserve"> F, Pérez Tamayo EM. </w:t>
      </w:r>
      <w:r w:rsidRPr="00A80903">
        <w:rPr>
          <w:rFonts w:ascii="Times New Roman" w:hAnsi="Times New Roman" w:cs="Times New Roman"/>
          <w:szCs w:val="24"/>
        </w:rPr>
        <w:t>“The architecture of the state was transformed in favor of the interests of companies”: Corporate political activity of the food industry in Colombia. Global Health. 2020;16(1):1–16.</w:t>
      </w:r>
    </w:p>
    <w:p w14:paraId="7B55AD9F" w14:textId="0C53EC63"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7207B6">
        <w:rPr>
          <w:rFonts w:ascii="Times New Roman" w:hAnsi="Times New Roman" w:cs="Times New Roman"/>
          <w:szCs w:val="24"/>
          <w:lang w:val="es-MX"/>
        </w:rPr>
        <w:t xml:space="preserve">Mialon M, </w:t>
      </w:r>
      <w:proofErr w:type="spellStart"/>
      <w:r w:rsidRPr="007207B6">
        <w:rPr>
          <w:rFonts w:ascii="Times New Roman" w:hAnsi="Times New Roman" w:cs="Times New Roman"/>
          <w:szCs w:val="24"/>
          <w:lang w:val="es-MX"/>
        </w:rPr>
        <w:t>Gaitan</w:t>
      </w:r>
      <w:proofErr w:type="spellEnd"/>
      <w:r w:rsidRPr="007207B6">
        <w:rPr>
          <w:rFonts w:ascii="Times New Roman" w:hAnsi="Times New Roman" w:cs="Times New Roman"/>
          <w:szCs w:val="24"/>
          <w:lang w:val="es-MX"/>
        </w:rPr>
        <w:t xml:space="preserve"> </w:t>
      </w:r>
      <w:proofErr w:type="spellStart"/>
      <w:r w:rsidRPr="007207B6">
        <w:rPr>
          <w:rFonts w:ascii="Times New Roman" w:hAnsi="Times New Roman" w:cs="Times New Roman"/>
          <w:szCs w:val="24"/>
          <w:lang w:val="es-MX"/>
        </w:rPr>
        <w:t>Charry</w:t>
      </w:r>
      <w:proofErr w:type="spellEnd"/>
      <w:r w:rsidRPr="007207B6">
        <w:rPr>
          <w:rFonts w:ascii="Times New Roman" w:hAnsi="Times New Roman" w:cs="Times New Roman"/>
          <w:szCs w:val="24"/>
          <w:lang w:val="es-MX"/>
        </w:rPr>
        <w:t xml:space="preserve"> DA, </w:t>
      </w:r>
      <w:proofErr w:type="spellStart"/>
      <w:r w:rsidRPr="007207B6">
        <w:rPr>
          <w:rFonts w:ascii="Times New Roman" w:hAnsi="Times New Roman" w:cs="Times New Roman"/>
          <w:szCs w:val="24"/>
          <w:lang w:val="es-MX"/>
        </w:rPr>
        <w:t>Cediel</w:t>
      </w:r>
      <w:proofErr w:type="spellEnd"/>
      <w:r w:rsidRPr="007207B6">
        <w:rPr>
          <w:rFonts w:ascii="Times New Roman" w:hAnsi="Times New Roman" w:cs="Times New Roman"/>
          <w:szCs w:val="24"/>
          <w:lang w:val="es-MX"/>
        </w:rPr>
        <w:t xml:space="preserve"> G, </w:t>
      </w:r>
      <w:proofErr w:type="spellStart"/>
      <w:r w:rsidRPr="007207B6">
        <w:rPr>
          <w:rFonts w:ascii="Times New Roman" w:hAnsi="Times New Roman" w:cs="Times New Roman"/>
          <w:szCs w:val="24"/>
          <w:lang w:val="es-MX"/>
        </w:rPr>
        <w:t>Crosbie</w:t>
      </w:r>
      <w:proofErr w:type="spellEnd"/>
      <w:r w:rsidRPr="007207B6">
        <w:rPr>
          <w:rFonts w:ascii="Times New Roman" w:hAnsi="Times New Roman" w:cs="Times New Roman"/>
          <w:szCs w:val="24"/>
          <w:lang w:val="es-MX"/>
        </w:rPr>
        <w:t xml:space="preserve"> E, </w:t>
      </w:r>
      <w:proofErr w:type="spellStart"/>
      <w:r w:rsidRPr="007207B6">
        <w:rPr>
          <w:rFonts w:ascii="Times New Roman" w:hAnsi="Times New Roman" w:cs="Times New Roman"/>
          <w:szCs w:val="24"/>
          <w:lang w:val="es-MX"/>
        </w:rPr>
        <w:t>Scagliusi</w:t>
      </w:r>
      <w:proofErr w:type="spellEnd"/>
      <w:r w:rsidRPr="007207B6">
        <w:rPr>
          <w:rFonts w:ascii="Times New Roman" w:hAnsi="Times New Roman" w:cs="Times New Roman"/>
          <w:szCs w:val="24"/>
          <w:lang w:val="es-MX"/>
        </w:rPr>
        <w:t xml:space="preserve"> FB, </w:t>
      </w:r>
      <w:proofErr w:type="spellStart"/>
      <w:r w:rsidRPr="007207B6">
        <w:rPr>
          <w:rFonts w:ascii="Times New Roman" w:hAnsi="Times New Roman" w:cs="Times New Roman"/>
          <w:szCs w:val="24"/>
          <w:lang w:val="es-MX"/>
        </w:rPr>
        <w:t>Perez</w:t>
      </w:r>
      <w:proofErr w:type="spellEnd"/>
      <w:r w:rsidRPr="007207B6">
        <w:rPr>
          <w:rFonts w:ascii="Times New Roman" w:hAnsi="Times New Roman" w:cs="Times New Roman"/>
          <w:szCs w:val="24"/>
          <w:lang w:val="es-MX"/>
        </w:rPr>
        <w:t xml:space="preserve"> Tamayo EM. </w:t>
      </w:r>
      <w:r w:rsidRPr="00A80903">
        <w:rPr>
          <w:rFonts w:ascii="Times New Roman" w:hAnsi="Times New Roman" w:cs="Times New Roman"/>
          <w:szCs w:val="24"/>
        </w:rPr>
        <w:t>‘I had never seen so many lobbyists’: food industry political practices during the development of a new nutrition front-of-pack labeling system in Colombia. Public Health Nutrition. 2021;24(9):2737-2745. doi:10.1017/S1368980020002268</w:t>
      </w:r>
    </w:p>
    <w:p w14:paraId="20F29F2E"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7207B6">
        <w:rPr>
          <w:rFonts w:ascii="Times New Roman" w:hAnsi="Times New Roman" w:cs="Times New Roman"/>
          <w:szCs w:val="24"/>
          <w:lang w:val="es-MX"/>
        </w:rPr>
        <w:t xml:space="preserve">Mialon M, </w:t>
      </w:r>
      <w:proofErr w:type="spellStart"/>
      <w:r w:rsidRPr="007207B6">
        <w:rPr>
          <w:rFonts w:ascii="Times New Roman" w:hAnsi="Times New Roman" w:cs="Times New Roman"/>
          <w:szCs w:val="24"/>
          <w:lang w:val="es-MX"/>
        </w:rPr>
        <w:t>Gaitan</w:t>
      </w:r>
      <w:proofErr w:type="spellEnd"/>
      <w:r w:rsidRPr="007207B6">
        <w:rPr>
          <w:rFonts w:ascii="Times New Roman" w:hAnsi="Times New Roman" w:cs="Times New Roman"/>
          <w:szCs w:val="24"/>
          <w:lang w:val="es-MX"/>
        </w:rPr>
        <w:t xml:space="preserve"> </w:t>
      </w:r>
      <w:proofErr w:type="spellStart"/>
      <w:r w:rsidRPr="007207B6">
        <w:rPr>
          <w:rFonts w:ascii="Times New Roman" w:hAnsi="Times New Roman" w:cs="Times New Roman"/>
          <w:szCs w:val="24"/>
          <w:lang w:val="es-MX"/>
        </w:rPr>
        <w:t>Charry</w:t>
      </w:r>
      <w:proofErr w:type="spellEnd"/>
      <w:r w:rsidRPr="007207B6">
        <w:rPr>
          <w:rFonts w:ascii="Times New Roman" w:hAnsi="Times New Roman" w:cs="Times New Roman"/>
          <w:szCs w:val="24"/>
          <w:lang w:val="es-MX"/>
        </w:rPr>
        <w:t xml:space="preserve"> DA, </w:t>
      </w:r>
      <w:proofErr w:type="spellStart"/>
      <w:r w:rsidRPr="007207B6">
        <w:rPr>
          <w:rFonts w:ascii="Times New Roman" w:hAnsi="Times New Roman" w:cs="Times New Roman"/>
          <w:szCs w:val="24"/>
          <w:lang w:val="es-MX"/>
        </w:rPr>
        <w:t>Cediel</w:t>
      </w:r>
      <w:proofErr w:type="spellEnd"/>
      <w:r w:rsidRPr="007207B6">
        <w:rPr>
          <w:rFonts w:ascii="Times New Roman" w:hAnsi="Times New Roman" w:cs="Times New Roman"/>
          <w:szCs w:val="24"/>
          <w:lang w:val="es-MX"/>
        </w:rPr>
        <w:t xml:space="preserve"> G, </w:t>
      </w:r>
      <w:proofErr w:type="spellStart"/>
      <w:r w:rsidRPr="007207B6">
        <w:rPr>
          <w:rFonts w:ascii="Times New Roman" w:hAnsi="Times New Roman" w:cs="Times New Roman"/>
          <w:szCs w:val="24"/>
          <w:lang w:val="es-MX"/>
        </w:rPr>
        <w:t>Crosbie</w:t>
      </w:r>
      <w:proofErr w:type="spellEnd"/>
      <w:r w:rsidRPr="007207B6">
        <w:rPr>
          <w:rFonts w:ascii="Times New Roman" w:hAnsi="Times New Roman" w:cs="Times New Roman"/>
          <w:szCs w:val="24"/>
          <w:lang w:val="es-MX"/>
        </w:rPr>
        <w:t xml:space="preserve"> E, </w:t>
      </w:r>
      <w:proofErr w:type="spellStart"/>
      <w:r w:rsidRPr="007207B6">
        <w:rPr>
          <w:rFonts w:ascii="Times New Roman" w:hAnsi="Times New Roman" w:cs="Times New Roman"/>
          <w:szCs w:val="24"/>
          <w:lang w:val="es-MX"/>
        </w:rPr>
        <w:t>Scagliusi</w:t>
      </w:r>
      <w:proofErr w:type="spellEnd"/>
      <w:r w:rsidRPr="007207B6">
        <w:rPr>
          <w:rFonts w:ascii="Times New Roman" w:hAnsi="Times New Roman" w:cs="Times New Roman"/>
          <w:szCs w:val="24"/>
          <w:lang w:val="es-MX"/>
        </w:rPr>
        <w:t xml:space="preserve"> FB, </w:t>
      </w:r>
      <w:proofErr w:type="spellStart"/>
      <w:r w:rsidRPr="007207B6">
        <w:rPr>
          <w:rFonts w:ascii="Times New Roman" w:hAnsi="Times New Roman" w:cs="Times New Roman"/>
          <w:szCs w:val="24"/>
          <w:lang w:val="es-MX"/>
        </w:rPr>
        <w:t>Perez</w:t>
      </w:r>
      <w:proofErr w:type="spellEnd"/>
      <w:r w:rsidRPr="007207B6">
        <w:rPr>
          <w:rFonts w:ascii="Times New Roman" w:hAnsi="Times New Roman" w:cs="Times New Roman"/>
          <w:szCs w:val="24"/>
          <w:lang w:val="es-MX"/>
        </w:rPr>
        <w:t xml:space="preserve"> Tamayo EM. </w:t>
      </w:r>
      <w:r w:rsidRPr="00A80903">
        <w:rPr>
          <w:rFonts w:ascii="Times New Roman" w:hAnsi="Times New Roman" w:cs="Times New Roman"/>
          <w:szCs w:val="24"/>
        </w:rPr>
        <w:t>'I had never seen so many lobbyists': food industry political practices during the development of a new nutrition front-of-pack labeling system in Colombia. Public Health Nutrition 2020;(April):1–9.</w:t>
      </w:r>
    </w:p>
    <w:p w14:paraId="16D16947"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Julia C, </w:t>
      </w:r>
      <w:proofErr w:type="spellStart"/>
      <w:r w:rsidRPr="00A80903">
        <w:rPr>
          <w:rFonts w:ascii="Times New Roman" w:hAnsi="Times New Roman" w:cs="Times New Roman"/>
          <w:szCs w:val="24"/>
        </w:rPr>
        <w:t>Hercberg</w:t>
      </w:r>
      <w:proofErr w:type="spellEnd"/>
      <w:r w:rsidRPr="00A80903">
        <w:rPr>
          <w:rFonts w:ascii="Times New Roman" w:hAnsi="Times New Roman" w:cs="Times New Roman"/>
          <w:szCs w:val="24"/>
        </w:rPr>
        <w:t xml:space="preserve"> S. The political dystopia model adapted to the food industry: the example of the Nutri-Score saga in France. World </w:t>
      </w:r>
      <w:proofErr w:type="spellStart"/>
      <w:r w:rsidRPr="00A80903">
        <w:rPr>
          <w:rFonts w:ascii="Times New Roman" w:hAnsi="Times New Roman" w:cs="Times New Roman"/>
          <w:szCs w:val="24"/>
        </w:rPr>
        <w:t>Nutr</w:t>
      </w:r>
      <w:proofErr w:type="spellEnd"/>
      <w:r w:rsidRPr="00A80903">
        <w:rPr>
          <w:rFonts w:ascii="Times New Roman" w:hAnsi="Times New Roman" w:cs="Times New Roman"/>
          <w:szCs w:val="24"/>
        </w:rPr>
        <w:t xml:space="preserve"> [Internet]. 2018;9(2):109–20. Available from: https://worldnutritionjournal.org/index.php/wn/article/view/579</w:t>
      </w:r>
    </w:p>
    <w:p w14:paraId="7AC079CB"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Mialon M, Mialon J. Corporate political activity of the dairy industry in France: An analysis of publicly available information. Public Health Nutrition 2017;20(13):2432–9.</w:t>
      </w:r>
    </w:p>
    <w:p w14:paraId="450D5902"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w:t>
      </w:r>
      <w:proofErr w:type="spellStart"/>
      <w:r w:rsidRPr="00A80903">
        <w:rPr>
          <w:rFonts w:ascii="Times New Roman" w:hAnsi="Times New Roman" w:cs="Times New Roman"/>
          <w:szCs w:val="24"/>
        </w:rPr>
        <w:t>Swinburn</w:t>
      </w:r>
      <w:proofErr w:type="spellEnd"/>
      <w:r w:rsidRPr="00A80903">
        <w:rPr>
          <w:rFonts w:ascii="Times New Roman" w:hAnsi="Times New Roman" w:cs="Times New Roman"/>
          <w:szCs w:val="24"/>
        </w:rPr>
        <w:t xml:space="preserve"> B, Allender S, Sacks G. 'Maximizing shareholder value': a detailed insight into the corporate political activity of the Australian food industry. Aust NZJ Public Health. 2017;41(2):165–71.</w:t>
      </w:r>
    </w:p>
    <w:p w14:paraId="2C1C69BC"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w:t>
      </w:r>
      <w:proofErr w:type="spellStart"/>
      <w:r w:rsidRPr="00A80903">
        <w:rPr>
          <w:rFonts w:ascii="Times New Roman" w:hAnsi="Times New Roman" w:cs="Times New Roman"/>
          <w:szCs w:val="24"/>
        </w:rPr>
        <w:t>Swinburn</w:t>
      </w:r>
      <w:proofErr w:type="spellEnd"/>
      <w:r w:rsidRPr="00A80903">
        <w:rPr>
          <w:rFonts w:ascii="Times New Roman" w:hAnsi="Times New Roman" w:cs="Times New Roman"/>
          <w:szCs w:val="24"/>
        </w:rPr>
        <w:t xml:space="preserve"> B, Allender S, Sacks G. Systematic examination of publicly available information reveals the diverse and extensive corporate political activity of the food industry in Australia. BMC Public Health [Internet]. 2016;16(1). Available from: http://dx.doi.org/10.1186/s12889-016-2955-7</w:t>
      </w:r>
    </w:p>
    <w:p w14:paraId="59111A20"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w:t>
      </w:r>
      <w:proofErr w:type="spellStart"/>
      <w:r w:rsidRPr="00A80903">
        <w:rPr>
          <w:rFonts w:ascii="Times New Roman" w:hAnsi="Times New Roman" w:cs="Times New Roman"/>
          <w:szCs w:val="24"/>
        </w:rPr>
        <w:t>Swinburn</w:t>
      </w:r>
      <w:proofErr w:type="spellEnd"/>
      <w:r w:rsidRPr="00A80903">
        <w:rPr>
          <w:rFonts w:ascii="Times New Roman" w:hAnsi="Times New Roman" w:cs="Times New Roman"/>
          <w:szCs w:val="24"/>
        </w:rPr>
        <w:t xml:space="preserve"> B, Sacks G. A proposed approach to systematically identify and monitor the corporate political activity of the food industry with respect to public health using publicly available information. </w:t>
      </w:r>
      <w:proofErr w:type="spellStart"/>
      <w:r w:rsidRPr="00A80903">
        <w:rPr>
          <w:rFonts w:ascii="Times New Roman" w:hAnsi="Times New Roman" w:cs="Times New Roman"/>
          <w:szCs w:val="24"/>
        </w:rPr>
        <w:t>Obes</w:t>
      </w:r>
      <w:proofErr w:type="spellEnd"/>
      <w:r w:rsidRPr="00A80903">
        <w:rPr>
          <w:rFonts w:ascii="Times New Roman" w:hAnsi="Times New Roman" w:cs="Times New Roman"/>
          <w:szCs w:val="24"/>
        </w:rPr>
        <w:t xml:space="preserve"> Rev 2015;16(7):519–30.</w:t>
      </w:r>
    </w:p>
    <w:p w14:paraId="00242CBF"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Mialon M, </w:t>
      </w:r>
      <w:proofErr w:type="spellStart"/>
      <w:r w:rsidRPr="00A80903">
        <w:rPr>
          <w:rFonts w:ascii="Times New Roman" w:hAnsi="Times New Roman" w:cs="Times New Roman"/>
          <w:szCs w:val="24"/>
        </w:rPr>
        <w:t>Swinburn</w:t>
      </w:r>
      <w:proofErr w:type="spellEnd"/>
      <w:r w:rsidRPr="00A80903">
        <w:rPr>
          <w:rFonts w:ascii="Times New Roman" w:hAnsi="Times New Roman" w:cs="Times New Roman"/>
          <w:szCs w:val="24"/>
        </w:rPr>
        <w:t xml:space="preserve"> B, Wate J, Tukana I, Sacks G. Analysis of the corporate political activity of major food industry actors in Fiji. Global Health [Internet]. 2016;12(1):1–14. Available from: http://dx.doi.org/10.1186/s12992-016-0158-8</w:t>
      </w:r>
    </w:p>
    <w:p w14:paraId="06D55D2D"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Mialon M. An overview of the commercial determinants of health. Global Health. 2020;16(1):74.</w:t>
      </w:r>
    </w:p>
    <w:p w14:paraId="42644D42"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lastRenderedPageBreak/>
        <w:t>Millar JS. The Corporate Determinants of Health: How Big Business Affects. J Public Heal (United Kingdom). 2013;104(4</w:t>
      </w:r>
      <w:proofErr w:type="gramStart"/>
      <w:r w:rsidRPr="00A80903">
        <w:rPr>
          <w:rFonts w:ascii="Times New Roman" w:hAnsi="Times New Roman" w:cs="Times New Roman"/>
          <w:szCs w:val="24"/>
        </w:rPr>
        <w:t>):e</w:t>
      </w:r>
      <w:proofErr w:type="gramEnd"/>
      <w:r w:rsidRPr="00A80903">
        <w:rPr>
          <w:rFonts w:ascii="Times New Roman" w:hAnsi="Times New Roman" w:cs="Times New Roman"/>
          <w:szCs w:val="24"/>
        </w:rPr>
        <w:t>327-329.</w:t>
      </w:r>
    </w:p>
    <w:p w14:paraId="1CF4B0E4"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Ministry of the Interior and Justice of the Republic of Colombia. Anti-Corruption Statute. 2011 p. 70.</w:t>
      </w:r>
    </w:p>
    <w:p w14:paraId="7232CFCD" w14:textId="5FA2626C"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Nyberg D. Corporations, </w:t>
      </w:r>
      <w:r w:rsidR="008F615E" w:rsidRPr="00A80903">
        <w:rPr>
          <w:rFonts w:ascii="Times New Roman" w:hAnsi="Times New Roman" w:cs="Times New Roman"/>
          <w:szCs w:val="24"/>
        </w:rPr>
        <w:t>politics,</w:t>
      </w:r>
      <w:r w:rsidRPr="00A80903">
        <w:rPr>
          <w:rFonts w:ascii="Times New Roman" w:hAnsi="Times New Roman" w:cs="Times New Roman"/>
          <w:szCs w:val="24"/>
        </w:rPr>
        <w:t xml:space="preserve"> and democracy: Corporate political activities as processes of corruption. Organ Theory. 2021;2(1):24.</w:t>
      </w:r>
    </w:p>
    <w:p w14:paraId="225AD56C"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Ojeda E, Torres C, </w:t>
      </w:r>
      <w:proofErr w:type="spellStart"/>
      <w:r w:rsidRPr="00A80903">
        <w:rPr>
          <w:rFonts w:ascii="Times New Roman" w:hAnsi="Times New Roman" w:cs="Times New Roman"/>
          <w:szCs w:val="24"/>
        </w:rPr>
        <w:t>Carriedo</w:t>
      </w:r>
      <w:proofErr w:type="spellEnd"/>
      <w:r w:rsidRPr="00A80903">
        <w:rPr>
          <w:rFonts w:ascii="Times New Roman" w:hAnsi="Times New Roman" w:cs="Times New Roman"/>
          <w:szCs w:val="24"/>
        </w:rPr>
        <w:t xml:space="preserve"> Á, Mialon M, Parekh N, Orozco E. The influence of the sugar-sweetened beverage industry on public policies in Mexico. Int J Public Health. 2020;2.</w:t>
      </w:r>
    </w:p>
    <w:p w14:paraId="11BA6415"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Roberts MJ, Hsiao W, Berman P, Reich MR. Getting Health Reform Right. A Guide to Improving Performance and Equity. Oxford University Press, publisher. Vol. 110, Journal of Chemical Information and Modeling. New York; 2004. 345 p.</w:t>
      </w:r>
    </w:p>
    <w:p w14:paraId="369E36EC" w14:textId="0AA03EB3"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Sacks G, Swinburn B, Kraak V, Downs S, Walker C, Barquera S, et al. A proposed approach to monitor private-sector policies and practices related to food environments, obesity and noncommunicable disease prevention. </w:t>
      </w:r>
      <w:proofErr w:type="spellStart"/>
      <w:r w:rsidRPr="00A80903">
        <w:rPr>
          <w:rFonts w:ascii="Times New Roman" w:hAnsi="Times New Roman" w:cs="Times New Roman"/>
          <w:szCs w:val="24"/>
        </w:rPr>
        <w:t>Obes</w:t>
      </w:r>
      <w:proofErr w:type="spellEnd"/>
      <w:r w:rsidRPr="00A80903">
        <w:rPr>
          <w:rFonts w:ascii="Times New Roman" w:hAnsi="Times New Roman" w:cs="Times New Roman"/>
          <w:szCs w:val="24"/>
        </w:rPr>
        <w:t xml:space="preserve"> Rev 2013;14(S1):38–48.</w:t>
      </w:r>
    </w:p>
    <w:p w14:paraId="6EADC589"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Salazar-economic MYS, </w:t>
      </w:r>
      <w:proofErr w:type="spellStart"/>
      <w:r w:rsidRPr="00A80903">
        <w:rPr>
          <w:rFonts w:ascii="Times New Roman" w:hAnsi="Times New Roman" w:cs="Times New Roman"/>
          <w:szCs w:val="24"/>
        </w:rPr>
        <w:t>Orjuela-nutrición</w:t>
      </w:r>
      <w:proofErr w:type="spellEnd"/>
      <w:r w:rsidRPr="00A80903">
        <w:rPr>
          <w:rFonts w:ascii="Times New Roman" w:hAnsi="Times New Roman" w:cs="Times New Roman"/>
          <w:szCs w:val="24"/>
        </w:rPr>
        <w:t xml:space="preserve"> R, </w:t>
      </w:r>
      <w:proofErr w:type="spellStart"/>
      <w:r w:rsidRPr="00A80903">
        <w:rPr>
          <w:rFonts w:ascii="Times New Roman" w:hAnsi="Times New Roman" w:cs="Times New Roman"/>
          <w:szCs w:val="24"/>
        </w:rPr>
        <w:t>Vivas-jurídico</w:t>
      </w:r>
      <w:proofErr w:type="spellEnd"/>
      <w:r w:rsidRPr="00A80903">
        <w:rPr>
          <w:rFonts w:ascii="Times New Roman" w:hAnsi="Times New Roman" w:cs="Times New Roman"/>
          <w:szCs w:val="24"/>
        </w:rPr>
        <w:t xml:space="preserve"> D, </w:t>
      </w:r>
      <w:proofErr w:type="spellStart"/>
      <w:r w:rsidRPr="00A80903">
        <w:rPr>
          <w:rFonts w:ascii="Times New Roman" w:hAnsi="Times New Roman" w:cs="Times New Roman"/>
          <w:szCs w:val="24"/>
        </w:rPr>
        <w:t>Erazo-incidencia</w:t>
      </w:r>
      <w:proofErr w:type="spellEnd"/>
      <w:r w:rsidRPr="00A80903">
        <w:rPr>
          <w:rFonts w:ascii="Times New Roman" w:hAnsi="Times New Roman" w:cs="Times New Roman"/>
          <w:szCs w:val="24"/>
        </w:rPr>
        <w:t xml:space="preserve"> A. Industry actions regarding public health measures to reduce consumption harmful to health Industry interference with the tax. Educate consumers; 2017.</w:t>
      </w:r>
    </w:p>
    <w:p w14:paraId="1B8015C1"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 xml:space="preserve">Stone D. Policy Paradox. The Art of Political Decision Making. Third Edit. </w:t>
      </w:r>
      <w:proofErr w:type="spellStart"/>
      <w:r w:rsidRPr="00A80903">
        <w:rPr>
          <w:rFonts w:ascii="Times New Roman" w:hAnsi="Times New Roman" w:cs="Times New Roman"/>
          <w:szCs w:val="24"/>
        </w:rPr>
        <w:t>Javsicas</w:t>
      </w:r>
      <w:proofErr w:type="spellEnd"/>
      <w:r w:rsidRPr="00A80903">
        <w:rPr>
          <w:rFonts w:ascii="Times New Roman" w:hAnsi="Times New Roman" w:cs="Times New Roman"/>
          <w:szCs w:val="24"/>
        </w:rPr>
        <w:t xml:space="preserve"> A, editor. New York; 2012. 408 p.</w:t>
      </w:r>
    </w:p>
    <w:p w14:paraId="1BCF3FB1"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The League Against Silence. Sweet donations fuel politics in Colombia [Internet]. 2019 [cited 2021 Feb 1]. Available from: https://ligacontraelsilencio.com/2019/08/29/donaciones-dulces-aceitan-la-politica-en-colombia/</w:t>
      </w:r>
    </w:p>
    <w:p w14:paraId="78CB3413"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The League Against Silence. The 'bittersweet' empire of the lobby in the Colombian Congress. 2018 [cited 2020 Sep 11]; Available from: https://ligacontraelsilencio.com/2018/08/23/el-agridulce-imperio-del-lobby-en-el-congreso-de-colombia/</w:t>
      </w:r>
    </w:p>
    <w:p w14:paraId="2699C7BF"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Thieme S. Moderation or strategy? Political giving by corporations and trade groups. J Polit. 2020;82(3):1171–5.</w:t>
      </w:r>
    </w:p>
    <w:p w14:paraId="7490B430" w14:textId="77777777" w:rsidR="00A24C8B"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t>Tong A, Sainsbury P, Craig J. Consolidated criteria for reporting qualitative research (COREQ): A 32-item checklist for interviews and focus groups. Int J Qual Heal Care. 2007;19(6):349–57.</w:t>
      </w:r>
    </w:p>
    <w:p w14:paraId="41E1B14D" w14:textId="31027F2D" w:rsidR="00BC2B4D" w:rsidRPr="00A80903" w:rsidRDefault="002C0847" w:rsidP="00A80903">
      <w:pPr>
        <w:pStyle w:val="Prrafodelista"/>
        <w:numPr>
          <w:ilvl w:val="0"/>
          <w:numId w:val="14"/>
        </w:numPr>
        <w:snapToGrid w:val="0"/>
        <w:spacing w:after="0" w:line="360" w:lineRule="auto"/>
        <w:jc w:val="left"/>
        <w:rPr>
          <w:rFonts w:ascii="Times New Roman" w:hAnsi="Times New Roman" w:cs="Times New Roman"/>
          <w:szCs w:val="24"/>
        </w:rPr>
      </w:pPr>
      <w:r w:rsidRPr="00A80903">
        <w:rPr>
          <w:rFonts w:ascii="Times New Roman" w:hAnsi="Times New Roman" w:cs="Times New Roman"/>
          <w:szCs w:val="24"/>
        </w:rPr>
        <w:lastRenderedPageBreak/>
        <w:t xml:space="preserve">UK Health Forum. Public health and the food and drinks industry: The governance and ethics of interaction. Lessons from research, </w:t>
      </w:r>
      <w:r w:rsidR="008F615E" w:rsidRPr="00A80903">
        <w:rPr>
          <w:rFonts w:ascii="Times New Roman" w:hAnsi="Times New Roman" w:cs="Times New Roman"/>
          <w:szCs w:val="24"/>
        </w:rPr>
        <w:t>policy,</w:t>
      </w:r>
      <w:r w:rsidRPr="00A80903">
        <w:rPr>
          <w:rFonts w:ascii="Times New Roman" w:hAnsi="Times New Roman" w:cs="Times New Roman"/>
          <w:szCs w:val="24"/>
        </w:rPr>
        <w:t xml:space="preserve"> and practice. London; 2018. 18–30 p.</w:t>
      </w:r>
    </w:p>
    <w:sectPr w:rsidR="00BC2B4D" w:rsidRPr="00A80903" w:rsidSect="000D6B6F">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4D251" w14:textId="77777777" w:rsidR="00981614" w:rsidRDefault="00981614">
      <w:pPr>
        <w:spacing w:after="0" w:line="240" w:lineRule="auto"/>
      </w:pPr>
      <w:r>
        <w:separator/>
      </w:r>
    </w:p>
  </w:endnote>
  <w:endnote w:type="continuationSeparator" w:id="0">
    <w:p w14:paraId="4CF06F00" w14:textId="77777777" w:rsidR="00981614" w:rsidRDefault="00981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513212064"/>
      <w:docPartObj>
        <w:docPartGallery w:val="Page Numbers (Bottom of Page)"/>
        <w:docPartUnique/>
      </w:docPartObj>
    </w:sdtPr>
    <w:sdtEndPr>
      <w:rPr>
        <w:rStyle w:val="Nmerodepgina"/>
      </w:rPr>
    </w:sdtEndPr>
    <w:sdtContent>
      <w:p w14:paraId="605FD02F" w14:textId="7DAA1F90" w:rsidR="009D23B0" w:rsidRDefault="009D23B0" w:rsidP="00474491">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9461351" w14:textId="77777777" w:rsidR="009D23B0" w:rsidRDefault="009D23B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602807848"/>
      <w:docPartObj>
        <w:docPartGallery w:val="Page Numbers (Bottom of Page)"/>
        <w:docPartUnique/>
      </w:docPartObj>
    </w:sdtPr>
    <w:sdtEndPr>
      <w:rPr>
        <w:rStyle w:val="Nmerodepgina"/>
      </w:rPr>
    </w:sdtEndPr>
    <w:sdtContent>
      <w:p w14:paraId="5F93AB13" w14:textId="5B8F35FD" w:rsidR="009D23B0" w:rsidRDefault="009D23B0" w:rsidP="00474491">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E373DF">
          <w:rPr>
            <w:rStyle w:val="Nmerodepgina"/>
            <w:noProof/>
          </w:rPr>
          <w:t>26</w:t>
        </w:r>
        <w:r>
          <w:rPr>
            <w:rStyle w:val="Nmerodepgina"/>
          </w:rPr>
          <w:fldChar w:fldCharType="end"/>
        </w:r>
      </w:p>
    </w:sdtContent>
  </w:sdt>
  <w:p w14:paraId="28B859CC" w14:textId="653D754E" w:rsidR="005E01AC" w:rsidRDefault="005E01AC">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1B131" w14:textId="77777777" w:rsidR="00981614" w:rsidRDefault="00981614">
      <w:pPr>
        <w:spacing w:after="0" w:line="240" w:lineRule="auto"/>
      </w:pPr>
      <w:r>
        <w:separator/>
      </w:r>
    </w:p>
  </w:footnote>
  <w:footnote w:type="continuationSeparator" w:id="0">
    <w:p w14:paraId="21666B74" w14:textId="77777777" w:rsidR="00981614" w:rsidRDefault="009816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35FAA"/>
    <w:multiLevelType w:val="hybridMultilevel"/>
    <w:tmpl w:val="A5EE1384"/>
    <w:lvl w:ilvl="0" w:tplc="1212837A">
      <w:start w:val="1"/>
      <w:numFmt w:val="bullet"/>
      <w:lvlText w:val=""/>
      <w:lvlJc w:val="left"/>
      <w:pPr>
        <w:ind w:left="720" w:hanging="360"/>
      </w:pPr>
      <w:rPr>
        <w:rFonts w:ascii="Symbol" w:hAnsi="Symbol" w:hint="default"/>
      </w:rPr>
    </w:lvl>
    <w:lvl w:ilvl="1" w:tplc="55FAD240" w:tentative="1">
      <w:start w:val="1"/>
      <w:numFmt w:val="bullet"/>
      <w:lvlText w:val="o"/>
      <w:lvlJc w:val="left"/>
      <w:pPr>
        <w:ind w:left="1440" w:hanging="360"/>
      </w:pPr>
      <w:rPr>
        <w:rFonts w:ascii="Courier New" w:hAnsi="Courier New" w:cs="Courier New" w:hint="default"/>
      </w:rPr>
    </w:lvl>
    <w:lvl w:ilvl="2" w:tplc="6802AA36" w:tentative="1">
      <w:start w:val="1"/>
      <w:numFmt w:val="bullet"/>
      <w:lvlText w:val=""/>
      <w:lvlJc w:val="left"/>
      <w:pPr>
        <w:ind w:left="2160" w:hanging="360"/>
      </w:pPr>
      <w:rPr>
        <w:rFonts w:ascii="Wingdings" w:hAnsi="Wingdings" w:hint="default"/>
      </w:rPr>
    </w:lvl>
    <w:lvl w:ilvl="3" w:tplc="5606AF02" w:tentative="1">
      <w:start w:val="1"/>
      <w:numFmt w:val="bullet"/>
      <w:lvlText w:val=""/>
      <w:lvlJc w:val="left"/>
      <w:pPr>
        <w:ind w:left="2880" w:hanging="360"/>
      </w:pPr>
      <w:rPr>
        <w:rFonts w:ascii="Symbol" w:hAnsi="Symbol" w:hint="default"/>
      </w:rPr>
    </w:lvl>
    <w:lvl w:ilvl="4" w:tplc="57086220" w:tentative="1">
      <w:start w:val="1"/>
      <w:numFmt w:val="bullet"/>
      <w:lvlText w:val="o"/>
      <w:lvlJc w:val="left"/>
      <w:pPr>
        <w:ind w:left="3600" w:hanging="360"/>
      </w:pPr>
      <w:rPr>
        <w:rFonts w:ascii="Courier New" w:hAnsi="Courier New" w:cs="Courier New" w:hint="default"/>
      </w:rPr>
    </w:lvl>
    <w:lvl w:ilvl="5" w:tplc="BF4C4934" w:tentative="1">
      <w:start w:val="1"/>
      <w:numFmt w:val="bullet"/>
      <w:lvlText w:val=""/>
      <w:lvlJc w:val="left"/>
      <w:pPr>
        <w:ind w:left="4320" w:hanging="360"/>
      </w:pPr>
      <w:rPr>
        <w:rFonts w:ascii="Wingdings" w:hAnsi="Wingdings" w:hint="default"/>
      </w:rPr>
    </w:lvl>
    <w:lvl w:ilvl="6" w:tplc="9DCE5FAE" w:tentative="1">
      <w:start w:val="1"/>
      <w:numFmt w:val="bullet"/>
      <w:lvlText w:val=""/>
      <w:lvlJc w:val="left"/>
      <w:pPr>
        <w:ind w:left="5040" w:hanging="360"/>
      </w:pPr>
      <w:rPr>
        <w:rFonts w:ascii="Symbol" w:hAnsi="Symbol" w:hint="default"/>
      </w:rPr>
    </w:lvl>
    <w:lvl w:ilvl="7" w:tplc="134A5B8A" w:tentative="1">
      <w:start w:val="1"/>
      <w:numFmt w:val="bullet"/>
      <w:lvlText w:val="o"/>
      <w:lvlJc w:val="left"/>
      <w:pPr>
        <w:ind w:left="5760" w:hanging="360"/>
      </w:pPr>
      <w:rPr>
        <w:rFonts w:ascii="Courier New" w:hAnsi="Courier New" w:cs="Courier New" w:hint="default"/>
      </w:rPr>
    </w:lvl>
    <w:lvl w:ilvl="8" w:tplc="1444DD16" w:tentative="1">
      <w:start w:val="1"/>
      <w:numFmt w:val="bullet"/>
      <w:lvlText w:val=""/>
      <w:lvlJc w:val="left"/>
      <w:pPr>
        <w:ind w:left="6480" w:hanging="360"/>
      </w:pPr>
      <w:rPr>
        <w:rFonts w:ascii="Wingdings" w:hAnsi="Wingdings" w:hint="default"/>
      </w:rPr>
    </w:lvl>
  </w:abstractNum>
  <w:abstractNum w:abstractNumId="1" w15:restartNumberingAfterBreak="0">
    <w:nsid w:val="0F067992"/>
    <w:multiLevelType w:val="hybridMultilevel"/>
    <w:tmpl w:val="64F0D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3F7869"/>
    <w:multiLevelType w:val="hybridMultilevel"/>
    <w:tmpl w:val="5C1030DC"/>
    <w:lvl w:ilvl="0" w:tplc="4422494E">
      <w:start w:val="1"/>
      <w:numFmt w:val="bullet"/>
      <w:lvlText w:val=""/>
      <w:lvlJc w:val="left"/>
      <w:pPr>
        <w:ind w:left="720" w:hanging="360"/>
      </w:pPr>
      <w:rPr>
        <w:rFonts w:ascii="Symbol" w:hAnsi="Symbol" w:hint="default"/>
      </w:rPr>
    </w:lvl>
    <w:lvl w:ilvl="1" w:tplc="BC188DA6" w:tentative="1">
      <w:start w:val="1"/>
      <w:numFmt w:val="bullet"/>
      <w:lvlText w:val="o"/>
      <w:lvlJc w:val="left"/>
      <w:pPr>
        <w:ind w:left="1440" w:hanging="360"/>
      </w:pPr>
      <w:rPr>
        <w:rFonts w:ascii="Courier New" w:hAnsi="Courier New" w:cs="Courier New" w:hint="default"/>
      </w:rPr>
    </w:lvl>
    <w:lvl w:ilvl="2" w:tplc="ADB0D3BE" w:tentative="1">
      <w:start w:val="1"/>
      <w:numFmt w:val="bullet"/>
      <w:lvlText w:val=""/>
      <w:lvlJc w:val="left"/>
      <w:pPr>
        <w:ind w:left="2160" w:hanging="360"/>
      </w:pPr>
      <w:rPr>
        <w:rFonts w:ascii="Wingdings" w:hAnsi="Wingdings" w:hint="default"/>
      </w:rPr>
    </w:lvl>
    <w:lvl w:ilvl="3" w:tplc="AF30365A" w:tentative="1">
      <w:start w:val="1"/>
      <w:numFmt w:val="bullet"/>
      <w:lvlText w:val=""/>
      <w:lvlJc w:val="left"/>
      <w:pPr>
        <w:ind w:left="2880" w:hanging="360"/>
      </w:pPr>
      <w:rPr>
        <w:rFonts w:ascii="Symbol" w:hAnsi="Symbol" w:hint="default"/>
      </w:rPr>
    </w:lvl>
    <w:lvl w:ilvl="4" w:tplc="8DD6CF0E" w:tentative="1">
      <w:start w:val="1"/>
      <w:numFmt w:val="bullet"/>
      <w:lvlText w:val="o"/>
      <w:lvlJc w:val="left"/>
      <w:pPr>
        <w:ind w:left="3600" w:hanging="360"/>
      </w:pPr>
      <w:rPr>
        <w:rFonts w:ascii="Courier New" w:hAnsi="Courier New" w:cs="Courier New" w:hint="default"/>
      </w:rPr>
    </w:lvl>
    <w:lvl w:ilvl="5" w:tplc="E4261980" w:tentative="1">
      <w:start w:val="1"/>
      <w:numFmt w:val="bullet"/>
      <w:lvlText w:val=""/>
      <w:lvlJc w:val="left"/>
      <w:pPr>
        <w:ind w:left="4320" w:hanging="360"/>
      </w:pPr>
      <w:rPr>
        <w:rFonts w:ascii="Wingdings" w:hAnsi="Wingdings" w:hint="default"/>
      </w:rPr>
    </w:lvl>
    <w:lvl w:ilvl="6" w:tplc="A9B40FC8" w:tentative="1">
      <w:start w:val="1"/>
      <w:numFmt w:val="bullet"/>
      <w:lvlText w:val=""/>
      <w:lvlJc w:val="left"/>
      <w:pPr>
        <w:ind w:left="5040" w:hanging="360"/>
      </w:pPr>
      <w:rPr>
        <w:rFonts w:ascii="Symbol" w:hAnsi="Symbol" w:hint="default"/>
      </w:rPr>
    </w:lvl>
    <w:lvl w:ilvl="7" w:tplc="E5BC1BB0" w:tentative="1">
      <w:start w:val="1"/>
      <w:numFmt w:val="bullet"/>
      <w:lvlText w:val="o"/>
      <w:lvlJc w:val="left"/>
      <w:pPr>
        <w:ind w:left="5760" w:hanging="360"/>
      </w:pPr>
      <w:rPr>
        <w:rFonts w:ascii="Courier New" w:hAnsi="Courier New" w:cs="Courier New" w:hint="default"/>
      </w:rPr>
    </w:lvl>
    <w:lvl w:ilvl="8" w:tplc="849E3A66" w:tentative="1">
      <w:start w:val="1"/>
      <w:numFmt w:val="bullet"/>
      <w:lvlText w:val=""/>
      <w:lvlJc w:val="left"/>
      <w:pPr>
        <w:ind w:left="6480" w:hanging="360"/>
      </w:pPr>
      <w:rPr>
        <w:rFonts w:ascii="Wingdings" w:hAnsi="Wingdings" w:hint="default"/>
      </w:rPr>
    </w:lvl>
  </w:abstractNum>
  <w:abstractNum w:abstractNumId="3" w15:restartNumberingAfterBreak="0">
    <w:nsid w:val="1BB81D8B"/>
    <w:multiLevelType w:val="hybridMultilevel"/>
    <w:tmpl w:val="2A72A6BC"/>
    <w:lvl w:ilvl="0" w:tplc="6306489E">
      <w:start w:val="1"/>
      <w:numFmt w:val="bullet"/>
      <w:lvlText w:val=""/>
      <w:lvlJc w:val="left"/>
      <w:pPr>
        <w:ind w:left="720" w:hanging="360"/>
      </w:pPr>
      <w:rPr>
        <w:rFonts w:ascii="Symbol" w:hAnsi="Symbol" w:hint="default"/>
      </w:rPr>
    </w:lvl>
    <w:lvl w:ilvl="1" w:tplc="58A2CBD6" w:tentative="1">
      <w:start w:val="1"/>
      <w:numFmt w:val="bullet"/>
      <w:lvlText w:val="o"/>
      <w:lvlJc w:val="left"/>
      <w:pPr>
        <w:ind w:left="1440" w:hanging="360"/>
      </w:pPr>
      <w:rPr>
        <w:rFonts w:ascii="Courier New" w:hAnsi="Courier New" w:cs="Courier New" w:hint="default"/>
      </w:rPr>
    </w:lvl>
    <w:lvl w:ilvl="2" w:tplc="85EC4B44" w:tentative="1">
      <w:start w:val="1"/>
      <w:numFmt w:val="bullet"/>
      <w:lvlText w:val=""/>
      <w:lvlJc w:val="left"/>
      <w:pPr>
        <w:ind w:left="2160" w:hanging="360"/>
      </w:pPr>
      <w:rPr>
        <w:rFonts w:ascii="Wingdings" w:hAnsi="Wingdings" w:hint="default"/>
      </w:rPr>
    </w:lvl>
    <w:lvl w:ilvl="3" w:tplc="E0C8D2C2" w:tentative="1">
      <w:start w:val="1"/>
      <w:numFmt w:val="bullet"/>
      <w:lvlText w:val=""/>
      <w:lvlJc w:val="left"/>
      <w:pPr>
        <w:ind w:left="2880" w:hanging="360"/>
      </w:pPr>
      <w:rPr>
        <w:rFonts w:ascii="Symbol" w:hAnsi="Symbol" w:hint="default"/>
      </w:rPr>
    </w:lvl>
    <w:lvl w:ilvl="4" w:tplc="1C3EC5C4" w:tentative="1">
      <w:start w:val="1"/>
      <w:numFmt w:val="bullet"/>
      <w:lvlText w:val="o"/>
      <w:lvlJc w:val="left"/>
      <w:pPr>
        <w:ind w:left="3600" w:hanging="360"/>
      </w:pPr>
      <w:rPr>
        <w:rFonts w:ascii="Courier New" w:hAnsi="Courier New" w:cs="Courier New" w:hint="default"/>
      </w:rPr>
    </w:lvl>
    <w:lvl w:ilvl="5" w:tplc="88CA1E84" w:tentative="1">
      <w:start w:val="1"/>
      <w:numFmt w:val="bullet"/>
      <w:lvlText w:val=""/>
      <w:lvlJc w:val="left"/>
      <w:pPr>
        <w:ind w:left="4320" w:hanging="360"/>
      </w:pPr>
      <w:rPr>
        <w:rFonts w:ascii="Wingdings" w:hAnsi="Wingdings" w:hint="default"/>
      </w:rPr>
    </w:lvl>
    <w:lvl w:ilvl="6" w:tplc="EEA24994" w:tentative="1">
      <w:start w:val="1"/>
      <w:numFmt w:val="bullet"/>
      <w:lvlText w:val=""/>
      <w:lvlJc w:val="left"/>
      <w:pPr>
        <w:ind w:left="5040" w:hanging="360"/>
      </w:pPr>
      <w:rPr>
        <w:rFonts w:ascii="Symbol" w:hAnsi="Symbol" w:hint="default"/>
      </w:rPr>
    </w:lvl>
    <w:lvl w:ilvl="7" w:tplc="425AF104" w:tentative="1">
      <w:start w:val="1"/>
      <w:numFmt w:val="bullet"/>
      <w:lvlText w:val="o"/>
      <w:lvlJc w:val="left"/>
      <w:pPr>
        <w:ind w:left="5760" w:hanging="360"/>
      </w:pPr>
      <w:rPr>
        <w:rFonts w:ascii="Courier New" w:hAnsi="Courier New" w:cs="Courier New" w:hint="default"/>
      </w:rPr>
    </w:lvl>
    <w:lvl w:ilvl="8" w:tplc="D1C2926A" w:tentative="1">
      <w:start w:val="1"/>
      <w:numFmt w:val="bullet"/>
      <w:lvlText w:val=""/>
      <w:lvlJc w:val="left"/>
      <w:pPr>
        <w:ind w:left="6480" w:hanging="360"/>
      </w:pPr>
      <w:rPr>
        <w:rFonts w:ascii="Wingdings" w:hAnsi="Wingdings" w:hint="default"/>
      </w:rPr>
    </w:lvl>
  </w:abstractNum>
  <w:abstractNum w:abstractNumId="4" w15:restartNumberingAfterBreak="0">
    <w:nsid w:val="1E166E80"/>
    <w:multiLevelType w:val="hybridMultilevel"/>
    <w:tmpl w:val="02607080"/>
    <w:lvl w:ilvl="0" w:tplc="F10C12C6">
      <w:start w:val="1"/>
      <w:numFmt w:val="bullet"/>
      <w:lvlText w:val=""/>
      <w:lvlJc w:val="left"/>
      <w:pPr>
        <w:ind w:left="720" w:hanging="360"/>
      </w:pPr>
      <w:rPr>
        <w:rFonts w:ascii="Symbol" w:hAnsi="Symbol" w:hint="default"/>
      </w:rPr>
    </w:lvl>
    <w:lvl w:ilvl="1" w:tplc="9FFE3C62" w:tentative="1">
      <w:start w:val="1"/>
      <w:numFmt w:val="bullet"/>
      <w:lvlText w:val="o"/>
      <w:lvlJc w:val="left"/>
      <w:pPr>
        <w:ind w:left="1440" w:hanging="360"/>
      </w:pPr>
      <w:rPr>
        <w:rFonts w:ascii="Courier New" w:hAnsi="Courier New" w:cs="Courier New" w:hint="default"/>
      </w:rPr>
    </w:lvl>
    <w:lvl w:ilvl="2" w:tplc="07AA6392" w:tentative="1">
      <w:start w:val="1"/>
      <w:numFmt w:val="bullet"/>
      <w:lvlText w:val=""/>
      <w:lvlJc w:val="left"/>
      <w:pPr>
        <w:ind w:left="2160" w:hanging="360"/>
      </w:pPr>
      <w:rPr>
        <w:rFonts w:ascii="Wingdings" w:hAnsi="Wingdings" w:hint="default"/>
      </w:rPr>
    </w:lvl>
    <w:lvl w:ilvl="3" w:tplc="39E80322" w:tentative="1">
      <w:start w:val="1"/>
      <w:numFmt w:val="bullet"/>
      <w:lvlText w:val=""/>
      <w:lvlJc w:val="left"/>
      <w:pPr>
        <w:ind w:left="2880" w:hanging="360"/>
      </w:pPr>
      <w:rPr>
        <w:rFonts w:ascii="Symbol" w:hAnsi="Symbol" w:hint="default"/>
      </w:rPr>
    </w:lvl>
    <w:lvl w:ilvl="4" w:tplc="8836DED8" w:tentative="1">
      <w:start w:val="1"/>
      <w:numFmt w:val="bullet"/>
      <w:lvlText w:val="o"/>
      <w:lvlJc w:val="left"/>
      <w:pPr>
        <w:ind w:left="3600" w:hanging="360"/>
      </w:pPr>
      <w:rPr>
        <w:rFonts w:ascii="Courier New" w:hAnsi="Courier New" w:cs="Courier New" w:hint="default"/>
      </w:rPr>
    </w:lvl>
    <w:lvl w:ilvl="5" w:tplc="9946963A" w:tentative="1">
      <w:start w:val="1"/>
      <w:numFmt w:val="bullet"/>
      <w:lvlText w:val=""/>
      <w:lvlJc w:val="left"/>
      <w:pPr>
        <w:ind w:left="4320" w:hanging="360"/>
      </w:pPr>
      <w:rPr>
        <w:rFonts w:ascii="Wingdings" w:hAnsi="Wingdings" w:hint="default"/>
      </w:rPr>
    </w:lvl>
    <w:lvl w:ilvl="6" w:tplc="D65AC0D6" w:tentative="1">
      <w:start w:val="1"/>
      <w:numFmt w:val="bullet"/>
      <w:lvlText w:val=""/>
      <w:lvlJc w:val="left"/>
      <w:pPr>
        <w:ind w:left="5040" w:hanging="360"/>
      </w:pPr>
      <w:rPr>
        <w:rFonts w:ascii="Symbol" w:hAnsi="Symbol" w:hint="default"/>
      </w:rPr>
    </w:lvl>
    <w:lvl w:ilvl="7" w:tplc="50320A58" w:tentative="1">
      <w:start w:val="1"/>
      <w:numFmt w:val="bullet"/>
      <w:lvlText w:val="o"/>
      <w:lvlJc w:val="left"/>
      <w:pPr>
        <w:ind w:left="5760" w:hanging="360"/>
      </w:pPr>
      <w:rPr>
        <w:rFonts w:ascii="Courier New" w:hAnsi="Courier New" w:cs="Courier New" w:hint="default"/>
      </w:rPr>
    </w:lvl>
    <w:lvl w:ilvl="8" w:tplc="48CC31B6" w:tentative="1">
      <w:start w:val="1"/>
      <w:numFmt w:val="bullet"/>
      <w:lvlText w:val=""/>
      <w:lvlJc w:val="left"/>
      <w:pPr>
        <w:ind w:left="6480" w:hanging="360"/>
      </w:pPr>
      <w:rPr>
        <w:rFonts w:ascii="Wingdings" w:hAnsi="Wingdings" w:hint="default"/>
      </w:rPr>
    </w:lvl>
  </w:abstractNum>
  <w:abstractNum w:abstractNumId="5" w15:restartNumberingAfterBreak="0">
    <w:nsid w:val="1EFA1B6D"/>
    <w:multiLevelType w:val="hybridMultilevel"/>
    <w:tmpl w:val="D8A6FF0C"/>
    <w:lvl w:ilvl="0" w:tplc="0180D89A">
      <w:start w:val="1"/>
      <w:numFmt w:val="bullet"/>
      <w:lvlText w:val=""/>
      <w:lvlJc w:val="left"/>
      <w:pPr>
        <w:ind w:left="720" w:hanging="360"/>
      </w:pPr>
      <w:rPr>
        <w:rFonts w:ascii="Symbol" w:hAnsi="Symbol" w:hint="default"/>
      </w:rPr>
    </w:lvl>
    <w:lvl w:ilvl="1" w:tplc="3820935E" w:tentative="1">
      <w:start w:val="1"/>
      <w:numFmt w:val="bullet"/>
      <w:lvlText w:val="o"/>
      <w:lvlJc w:val="left"/>
      <w:pPr>
        <w:ind w:left="1440" w:hanging="360"/>
      </w:pPr>
      <w:rPr>
        <w:rFonts w:ascii="Courier New" w:hAnsi="Courier New" w:cs="Courier New" w:hint="default"/>
      </w:rPr>
    </w:lvl>
    <w:lvl w:ilvl="2" w:tplc="F9B2AECE" w:tentative="1">
      <w:start w:val="1"/>
      <w:numFmt w:val="bullet"/>
      <w:lvlText w:val=""/>
      <w:lvlJc w:val="left"/>
      <w:pPr>
        <w:ind w:left="2160" w:hanging="360"/>
      </w:pPr>
      <w:rPr>
        <w:rFonts w:ascii="Wingdings" w:hAnsi="Wingdings" w:hint="default"/>
      </w:rPr>
    </w:lvl>
    <w:lvl w:ilvl="3" w:tplc="BC7A16C4" w:tentative="1">
      <w:start w:val="1"/>
      <w:numFmt w:val="bullet"/>
      <w:lvlText w:val=""/>
      <w:lvlJc w:val="left"/>
      <w:pPr>
        <w:ind w:left="2880" w:hanging="360"/>
      </w:pPr>
      <w:rPr>
        <w:rFonts w:ascii="Symbol" w:hAnsi="Symbol" w:hint="default"/>
      </w:rPr>
    </w:lvl>
    <w:lvl w:ilvl="4" w:tplc="CD42F392" w:tentative="1">
      <w:start w:val="1"/>
      <w:numFmt w:val="bullet"/>
      <w:lvlText w:val="o"/>
      <w:lvlJc w:val="left"/>
      <w:pPr>
        <w:ind w:left="3600" w:hanging="360"/>
      </w:pPr>
      <w:rPr>
        <w:rFonts w:ascii="Courier New" w:hAnsi="Courier New" w:cs="Courier New" w:hint="default"/>
      </w:rPr>
    </w:lvl>
    <w:lvl w:ilvl="5" w:tplc="D1E4B6B4" w:tentative="1">
      <w:start w:val="1"/>
      <w:numFmt w:val="bullet"/>
      <w:lvlText w:val=""/>
      <w:lvlJc w:val="left"/>
      <w:pPr>
        <w:ind w:left="4320" w:hanging="360"/>
      </w:pPr>
      <w:rPr>
        <w:rFonts w:ascii="Wingdings" w:hAnsi="Wingdings" w:hint="default"/>
      </w:rPr>
    </w:lvl>
    <w:lvl w:ilvl="6" w:tplc="A672E930" w:tentative="1">
      <w:start w:val="1"/>
      <w:numFmt w:val="bullet"/>
      <w:lvlText w:val=""/>
      <w:lvlJc w:val="left"/>
      <w:pPr>
        <w:ind w:left="5040" w:hanging="360"/>
      </w:pPr>
      <w:rPr>
        <w:rFonts w:ascii="Symbol" w:hAnsi="Symbol" w:hint="default"/>
      </w:rPr>
    </w:lvl>
    <w:lvl w:ilvl="7" w:tplc="5A3E659C" w:tentative="1">
      <w:start w:val="1"/>
      <w:numFmt w:val="bullet"/>
      <w:lvlText w:val="o"/>
      <w:lvlJc w:val="left"/>
      <w:pPr>
        <w:ind w:left="5760" w:hanging="360"/>
      </w:pPr>
      <w:rPr>
        <w:rFonts w:ascii="Courier New" w:hAnsi="Courier New" w:cs="Courier New" w:hint="default"/>
      </w:rPr>
    </w:lvl>
    <w:lvl w:ilvl="8" w:tplc="885E1914" w:tentative="1">
      <w:start w:val="1"/>
      <w:numFmt w:val="bullet"/>
      <w:lvlText w:val=""/>
      <w:lvlJc w:val="left"/>
      <w:pPr>
        <w:ind w:left="6480" w:hanging="360"/>
      </w:pPr>
      <w:rPr>
        <w:rFonts w:ascii="Wingdings" w:hAnsi="Wingdings" w:hint="default"/>
      </w:rPr>
    </w:lvl>
  </w:abstractNum>
  <w:abstractNum w:abstractNumId="6" w15:restartNumberingAfterBreak="0">
    <w:nsid w:val="3D691CA5"/>
    <w:multiLevelType w:val="hybridMultilevel"/>
    <w:tmpl w:val="433A58BC"/>
    <w:lvl w:ilvl="0" w:tplc="71400CBA">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D5424F"/>
    <w:multiLevelType w:val="hybridMultilevel"/>
    <w:tmpl w:val="6F2688B4"/>
    <w:lvl w:ilvl="0" w:tplc="33CA5842">
      <w:numFmt w:val="bullet"/>
      <w:lvlText w:val="-"/>
      <w:lvlJc w:val="left"/>
      <w:pPr>
        <w:ind w:left="720" w:hanging="360"/>
      </w:pPr>
      <w:rPr>
        <w:rFonts w:ascii="Calibri" w:eastAsiaTheme="majorEastAsia" w:hAnsi="Calibri" w:cs="Calibri" w:hint="default"/>
        <w:b w:val="0"/>
      </w:rPr>
    </w:lvl>
    <w:lvl w:ilvl="1" w:tplc="49CC92C6" w:tentative="1">
      <w:start w:val="1"/>
      <w:numFmt w:val="bullet"/>
      <w:lvlText w:val="o"/>
      <w:lvlJc w:val="left"/>
      <w:pPr>
        <w:ind w:left="1440" w:hanging="360"/>
      </w:pPr>
      <w:rPr>
        <w:rFonts w:ascii="Courier New" w:hAnsi="Courier New" w:cs="Courier New" w:hint="default"/>
      </w:rPr>
    </w:lvl>
    <w:lvl w:ilvl="2" w:tplc="424A6672" w:tentative="1">
      <w:start w:val="1"/>
      <w:numFmt w:val="bullet"/>
      <w:lvlText w:val=""/>
      <w:lvlJc w:val="left"/>
      <w:pPr>
        <w:ind w:left="2160" w:hanging="360"/>
      </w:pPr>
      <w:rPr>
        <w:rFonts w:ascii="Wingdings" w:hAnsi="Wingdings" w:hint="default"/>
      </w:rPr>
    </w:lvl>
    <w:lvl w:ilvl="3" w:tplc="98187010" w:tentative="1">
      <w:start w:val="1"/>
      <w:numFmt w:val="bullet"/>
      <w:lvlText w:val=""/>
      <w:lvlJc w:val="left"/>
      <w:pPr>
        <w:ind w:left="2880" w:hanging="360"/>
      </w:pPr>
      <w:rPr>
        <w:rFonts w:ascii="Symbol" w:hAnsi="Symbol" w:hint="default"/>
      </w:rPr>
    </w:lvl>
    <w:lvl w:ilvl="4" w:tplc="B726A1A0" w:tentative="1">
      <w:start w:val="1"/>
      <w:numFmt w:val="bullet"/>
      <w:lvlText w:val="o"/>
      <w:lvlJc w:val="left"/>
      <w:pPr>
        <w:ind w:left="3600" w:hanging="360"/>
      </w:pPr>
      <w:rPr>
        <w:rFonts w:ascii="Courier New" w:hAnsi="Courier New" w:cs="Courier New" w:hint="default"/>
      </w:rPr>
    </w:lvl>
    <w:lvl w:ilvl="5" w:tplc="1220A2F2" w:tentative="1">
      <w:start w:val="1"/>
      <w:numFmt w:val="bullet"/>
      <w:lvlText w:val=""/>
      <w:lvlJc w:val="left"/>
      <w:pPr>
        <w:ind w:left="4320" w:hanging="360"/>
      </w:pPr>
      <w:rPr>
        <w:rFonts w:ascii="Wingdings" w:hAnsi="Wingdings" w:hint="default"/>
      </w:rPr>
    </w:lvl>
    <w:lvl w:ilvl="6" w:tplc="8C7A8EF0" w:tentative="1">
      <w:start w:val="1"/>
      <w:numFmt w:val="bullet"/>
      <w:lvlText w:val=""/>
      <w:lvlJc w:val="left"/>
      <w:pPr>
        <w:ind w:left="5040" w:hanging="360"/>
      </w:pPr>
      <w:rPr>
        <w:rFonts w:ascii="Symbol" w:hAnsi="Symbol" w:hint="default"/>
      </w:rPr>
    </w:lvl>
    <w:lvl w:ilvl="7" w:tplc="261ECFA4" w:tentative="1">
      <w:start w:val="1"/>
      <w:numFmt w:val="bullet"/>
      <w:lvlText w:val="o"/>
      <w:lvlJc w:val="left"/>
      <w:pPr>
        <w:ind w:left="5760" w:hanging="360"/>
      </w:pPr>
      <w:rPr>
        <w:rFonts w:ascii="Courier New" w:hAnsi="Courier New" w:cs="Courier New" w:hint="default"/>
      </w:rPr>
    </w:lvl>
    <w:lvl w:ilvl="8" w:tplc="69D8EAE6" w:tentative="1">
      <w:start w:val="1"/>
      <w:numFmt w:val="bullet"/>
      <w:lvlText w:val=""/>
      <w:lvlJc w:val="left"/>
      <w:pPr>
        <w:ind w:left="6480" w:hanging="360"/>
      </w:pPr>
      <w:rPr>
        <w:rFonts w:ascii="Wingdings" w:hAnsi="Wingdings" w:hint="default"/>
      </w:rPr>
    </w:lvl>
  </w:abstractNum>
  <w:abstractNum w:abstractNumId="8" w15:restartNumberingAfterBreak="0">
    <w:nsid w:val="484121CC"/>
    <w:multiLevelType w:val="hybridMultilevel"/>
    <w:tmpl w:val="AE547186"/>
    <w:lvl w:ilvl="0" w:tplc="BB9283D6">
      <w:start w:val="1"/>
      <w:numFmt w:val="bullet"/>
      <w:lvlText w:val=""/>
      <w:lvlJc w:val="left"/>
      <w:pPr>
        <w:ind w:left="720" w:hanging="360"/>
      </w:pPr>
      <w:rPr>
        <w:rFonts w:ascii="Symbol" w:hAnsi="Symbol"/>
      </w:rPr>
    </w:lvl>
    <w:lvl w:ilvl="1" w:tplc="1A12A6BA">
      <w:start w:val="1"/>
      <w:numFmt w:val="bullet"/>
      <w:lvlText w:val=""/>
      <w:lvlJc w:val="left"/>
      <w:pPr>
        <w:ind w:left="720" w:hanging="360"/>
      </w:pPr>
      <w:rPr>
        <w:rFonts w:ascii="Symbol" w:hAnsi="Symbol"/>
      </w:rPr>
    </w:lvl>
    <w:lvl w:ilvl="2" w:tplc="B0D20A7A">
      <w:start w:val="1"/>
      <w:numFmt w:val="bullet"/>
      <w:lvlText w:val=""/>
      <w:lvlJc w:val="left"/>
      <w:pPr>
        <w:ind w:left="720" w:hanging="360"/>
      </w:pPr>
      <w:rPr>
        <w:rFonts w:ascii="Symbol" w:hAnsi="Symbol"/>
      </w:rPr>
    </w:lvl>
    <w:lvl w:ilvl="3" w:tplc="4EA6C6C0">
      <w:start w:val="1"/>
      <w:numFmt w:val="bullet"/>
      <w:lvlText w:val=""/>
      <w:lvlJc w:val="left"/>
      <w:pPr>
        <w:ind w:left="720" w:hanging="360"/>
      </w:pPr>
      <w:rPr>
        <w:rFonts w:ascii="Symbol" w:hAnsi="Symbol"/>
      </w:rPr>
    </w:lvl>
    <w:lvl w:ilvl="4" w:tplc="491298AC">
      <w:start w:val="1"/>
      <w:numFmt w:val="bullet"/>
      <w:lvlText w:val=""/>
      <w:lvlJc w:val="left"/>
      <w:pPr>
        <w:ind w:left="720" w:hanging="360"/>
      </w:pPr>
      <w:rPr>
        <w:rFonts w:ascii="Symbol" w:hAnsi="Symbol"/>
      </w:rPr>
    </w:lvl>
    <w:lvl w:ilvl="5" w:tplc="9B4C23CA">
      <w:start w:val="1"/>
      <w:numFmt w:val="bullet"/>
      <w:lvlText w:val=""/>
      <w:lvlJc w:val="left"/>
      <w:pPr>
        <w:ind w:left="720" w:hanging="360"/>
      </w:pPr>
      <w:rPr>
        <w:rFonts w:ascii="Symbol" w:hAnsi="Symbol"/>
      </w:rPr>
    </w:lvl>
    <w:lvl w:ilvl="6" w:tplc="58B8FC7A">
      <w:start w:val="1"/>
      <w:numFmt w:val="bullet"/>
      <w:lvlText w:val=""/>
      <w:lvlJc w:val="left"/>
      <w:pPr>
        <w:ind w:left="720" w:hanging="360"/>
      </w:pPr>
      <w:rPr>
        <w:rFonts w:ascii="Symbol" w:hAnsi="Symbol"/>
      </w:rPr>
    </w:lvl>
    <w:lvl w:ilvl="7" w:tplc="9A74D9E6">
      <w:start w:val="1"/>
      <w:numFmt w:val="bullet"/>
      <w:lvlText w:val=""/>
      <w:lvlJc w:val="left"/>
      <w:pPr>
        <w:ind w:left="720" w:hanging="360"/>
      </w:pPr>
      <w:rPr>
        <w:rFonts w:ascii="Symbol" w:hAnsi="Symbol"/>
      </w:rPr>
    </w:lvl>
    <w:lvl w:ilvl="8" w:tplc="089E0CCA">
      <w:start w:val="1"/>
      <w:numFmt w:val="bullet"/>
      <w:lvlText w:val=""/>
      <w:lvlJc w:val="left"/>
      <w:pPr>
        <w:ind w:left="720" w:hanging="360"/>
      </w:pPr>
      <w:rPr>
        <w:rFonts w:ascii="Symbol" w:hAnsi="Symbol"/>
      </w:rPr>
    </w:lvl>
  </w:abstractNum>
  <w:abstractNum w:abstractNumId="9" w15:restartNumberingAfterBreak="0">
    <w:nsid w:val="4A8A436C"/>
    <w:multiLevelType w:val="hybridMultilevel"/>
    <w:tmpl w:val="2BC816F2"/>
    <w:lvl w:ilvl="0" w:tplc="F1226626">
      <w:start w:val="1"/>
      <w:numFmt w:val="bullet"/>
      <w:lvlText w:val=""/>
      <w:lvlJc w:val="left"/>
      <w:pPr>
        <w:ind w:left="862" w:hanging="360"/>
      </w:pPr>
      <w:rPr>
        <w:rFonts w:ascii="Symbol" w:hAnsi="Symbol" w:hint="default"/>
      </w:rPr>
    </w:lvl>
    <w:lvl w:ilvl="1" w:tplc="20B8A6B6" w:tentative="1">
      <w:start w:val="1"/>
      <w:numFmt w:val="bullet"/>
      <w:lvlText w:val="o"/>
      <w:lvlJc w:val="left"/>
      <w:pPr>
        <w:ind w:left="1582" w:hanging="360"/>
      </w:pPr>
      <w:rPr>
        <w:rFonts w:ascii="Courier New" w:hAnsi="Courier New" w:cs="Courier New" w:hint="default"/>
      </w:rPr>
    </w:lvl>
    <w:lvl w:ilvl="2" w:tplc="186437F0" w:tentative="1">
      <w:start w:val="1"/>
      <w:numFmt w:val="bullet"/>
      <w:lvlText w:val=""/>
      <w:lvlJc w:val="left"/>
      <w:pPr>
        <w:ind w:left="2302" w:hanging="360"/>
      </w:pPr>
      <w:rPr>
        <w:rFonts w:ascii="Wingdings" w:hAnsi="Wingdings" w:hint="default"/>
      </w:rPr>
    </w:lvl>
    <w:lvl w:ilvl="3" w:tplc="5342749A" w:tentative="1">
      <w:start w:val="1"/>
      <w:numFmt w:val="bullet"/>
      <w:lvlText w:val=""/>
      <w:lvlJc w:val="left"/>
      <w:pPr>
        <w:ind w:left="3022" w:hanging="360"/>
      </w:pPr>
      <w:rPr>
        <w:rFonts w:ascii="Symbol" w:hAnsi="Symbol" w:hint="default"/>
      </w:rPr>
    </w:lvl>
    <w:lvl w:ilvl="4" w:tplc="CC5EAF5A" w:tentative="1">
      <w:start w:val="1"/>
      <w:numFmt w:val="bullet"/>
      <w:lvlText w:val="o"/>
      <w:lvlJc w:val="left"/>
      <w:pPr>
        <w:ind w:left="3742" w:hanging="360"/>
      </w:pPr>
      <w:rPr>
        <w:rFonts w:ascii="Courier New" w:hAnsi="Courier New" w:cs="Courier New" w:hint="default"/>
      </w:rPr>
    </w:lvl>
    <w:lvl w:ilvl="5" w:tplc="BE60249C" w:tentative="1">
      <w:start w:val="1"/>
      <w:numFmt w:val="bullet"/>
      <w:lvlText w:val=""/>
      <w:lvlJc w:val="left"/>
      <w:pPr>
        <w:ind w:left="4462" w:hanging="360"/>
      </w:pPr>
      <w:rPr>
        <w:rFonts w:ascii="Wingdings" w:hAnsi="Wingdings" w:hint="default"/>
      </w:rPr>
    </w:lvl>
    <w:lvl w:ilvl="6" w:tplc="EB969FCE" w:tentative="1">
      <w:start w:val="1"/>
      <w:numFmt w:val="bullet"/>
      <w:lvlText w:val=""/>
      <w:lvlJc w:val="left"/>
      <w:pPr>
        <w:ind w:left="5182" w:hanging="360"/>
      </w:pPr>
      <w:rPr>
        <w:rFonts w:ascii="Symbol" w:hAnsi="Symbol" w:hint="default"/>
      </w:rPr>
    </w:lvl>
    <w:lvl w:ilvl="7" w:tplc="4BE611A8" w:tentative="1">
      <w:start w:val="1"/>
      <w:numFmt w:val="bullet"/>
      <w:lvlText w:val="o"/>
      <w:lvlJc w:val="left"/>
      <w:pPr>
        <w:ind w:left="5902" w:hanging="360"/>
      </w:pPr>
      <w:rPr>
        <w:rFonts w:ascii="Courier New" w:hAnsi="Courier New" w:cs="Courier New" w:hint="default"/>
      </w:rPr>
    </w:lvl>
    <w:lvl w:ilvl="8" w:tplc="A99AF054" w:tentative="1">
      <w:start w:val="1"/>
      <w:numFmt w:val="bullet"/>
      <w:lvlText w:val=""/>
      <w:lvlJc w:val="left"/>
      <w:pPr>
        <w:ind w:left="6622" w:hanging="360"/>
      </w:pPr>
      <w:rPr>
        <w:rFonts w:ascii="Wingdings" w:hAnsi="Wingdings" w:hint="default"/>
      </w:rPr>
    </w:lvl>
  </w:abstractNum>
  <w:abstractNum w:abstractNumId="10" w15:restartNumberingAfterBreak="0">
    <w:nsid w:val="5B6F78DB"/>
    <w:multiLevelType w:val="multilevel"/>
    <w:tmpl w:val="83C0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E1D6C"/>
    <w:multiLevelType w:val="hybridMultilevel"/>
    <w:tmpl w:val="5B928A9A"/>
    <w:lvl w:ilvl="0" w:tplc="91E81BA0">
      <w:start w:val="1"/>
      <w:numFmt w:val="bullet"/>
      <w:lvlText w:val=""/>
      <w:lvlJc w:val="left"/>
      <w:pPr>
        <w:ind w:left="720" w:hanging="360"/>
      </w:pPr>
      <w:rPr>
        <w:rFonts w:ascii="Symbol" w:hAnsi="Symbol" w:hint="default"/>
      </w:rPr>
    </w:lvl>
    <w:lvl w:ilvl="1" w:tplc="208C1FE6" w:tentative="1">
      <w:start w:val="1"/>
      <w:numFmt w:val="bullet"/>
      <w:lvlText w:val="o"/>
      <w:lvlJc w:val="left"/>
      <w:pPr>
        <w:ind w:left="1440" w:hanging="360"/>
      </w:pPr>
      <w:rPr>
        <w:rFonts w:ascii="Courier New" w:hAnsi="Courier New" w:cs="Courier New" w:hint="default"/>
      </w:rPr>
    </w:lvl>
    <w:lvl w:ilvl="2" w:tplc="0AE67B10" w:tentative="1">
      <w:start w:val="1"/>
      <w:numFmt w:val="bullet"/>
      <w:lvlText w:val=""/>
      <w:lvlJc w:val="left"/>
      <w:pPr>
        <w:ind w:left="2160" w:hanging="360"/>
      </w:pPr>
      <w:rPr>
        <w:rFonts w:ascii="Wingdings" w:hAnsi="Wingdings" w:hint="default"/>
      </w:rPr>
    </w:lvl>
    <w:lvl w:ilvl="3" w:tplc="7C400926" w:tentative="1">
      <w:start w:val="1"/>
      <w:numFmt w:val="bullet"/>
      <w:lvlText w:val=""/>
      <w:lvlJc w:val="left"/>
      <w:pPr>
        <w:ind w:left="2880" w:hanging="360"/>
      </w:pPr>
      <w:rPr>
        <w:rFonts w:ascii="Symbol" w:hAnsi="Symbol" w:hint="default"/>
      </w:rPr>
    </w:lvl>
    <w:lvl w:ilvl="4" w:tplc="40405D02" w:tentative="1">
      <w:start w:val="1"/>
      <w:numFmt w:val="bullet"/>
      <w:lvlText w:val="o"/>
      <w:lvlJc w:val="left"/>
      <w:pPr>
        <w:ind w:left="3600" w:hanging="360"/>
      </w:pPr>
      <w:rPr>
        <w:rFonts w:ascii="Courier New" w:hAnsi="Courier New" w:cs="Courier New" w:hint="default"/>
      </w:rPr>
    </w:lvl>
    <w:lvl w:ilvl="5" w:tplc="69183D2E" w:tentative="1">
      <w:start w:val="1"/>
      <w:numFmt w:val="bullet"/>
      <w:lvlText w:val=""/>
      <w:lvlJc w:val="left"/>
      <w:pPr>
        <w:ind w:left="4320" w:hanging="360"/>
      </w:pPr>
      <w:rPr>
        <w:rFonts w:ascii="Wingdings" w:hAnsi="Wingdings" w:hint="default"/>
      </w:rPr>
    </w:lvl>
    <w:lvl w:ilvl="6" w:tplc="57B08318" w:tentative="1">
      <w:start w:val="1"/>
      <w:numFmt w:val="bullet"/>
      <w:lvlText w:val=""/>
      <w:lvlJc w:val="left"/>
      <w:pPr>
        <w:ind w:left="5040" w:hanging="360"/>
      </w:pPr>
      <w:rPr>
        <w:rFonts w:ascii="Symbol" w:hAnsi="Symbol" w:hint="default"/>
      </w:rPr>
    </w:lvl>
    <w:lvl w:ilvl="7" w:tplc="D5CEF97C" w:tentative="1">
      <w:start w:val="1"/>
      <w:numFmt w:val="bullet"/>
      <w:lvlText w:val="o"/>
      <w:lvlJc w:val="left"/>
      <w:pPr>
        <w:ind w:left="5760" w:hanging="360"/>
      </w:pPr>
      <w:rPr>
        <w:rFonts w:ascii="Courier New" w:hAnsi="Courier New" w:cs="Courier New" w:hint="default"/>
      </w:rPr>
    </w:lvl>
    <w:lvl w:ilvl="8" w:tplc="BBCAB8EE" w:tentative="1">
      <w:start w:val="1"/>
      <w:numFmt w:val="bullet"/>
      <w:lvlText w:val=""/>
      <w:lvlJc w:val="left"/>
      <w:pPr>
        <w:ind w:left="6480" w:hanging="360"/>
      </w:pPr>
      <w:rPr>
        <w:rFonts w:ascii="Wingdings" w:hAnsi="Wingdings" w:hint="default"/>
      </w:rPr>
    </w:lvl>
  </w:abstractNum>
  <w:abstractNum w:abstractNumId="12" w15:restartNumberingAfterBreak="0">
    <w:nsid w:val="6F37700F"/>
    <w:multiLevelType w:val="hybridMultilevel"/>
    <w:tmpl w:val="76285368"/>
    <w:lvl w:ilvl="0" w:tplc="ACF81C24">
      <w:start w:val="1"/>
      <w:numFmt w:val="bullet"/>
      <w:lvlText w:val=""/>
      <w:lvlJc w:val="left"/>
      <w:pPr>
        <w:ind w:left="720" w:hanging="360"/>
      </w:pPr>
      <w:rPr>
        <w:rFonts w:ascii="Symbol" w:hAnsi="Symbol" w:hint="default"/>
      </w:rPr>
    </w:lvl>
    <w:lvl w:ilvl="1" w:tplc="F24E399E">
      <w:start w:val="1"/>
      <w:numFmt w:val="bullet"/>
      <w:lvlText w:val="o"/>
      <w:lvlJc w:val="left"/>
      <w:pPr>
        <w:ind w:left="1440" w:hanging="360"/>
      </w:pPr>
      <w:rPr>
        <w:rFonts w:ascii="Courier New" w:hAnsi="Courier New" w:cs="Courier New" w:hint="default"/>
      </w:rPr>
    </w:lvl>
    <w:lvl w:ilvl="2" w:tplc="B5762386" w:tentative="1">
      <w:start w:val="1"/>
      <w:numFmt w:val="bullet"/>
      <w:lvlText w:val=""/>
      <w:lvlJc w:val="left"/>
      <w:pPr>
        <w:ind w:left="2160" w:hanging="360"/>
      </w:pPr>
      <w:rPr>
        <w:rFonts w:ascii="Wingdings" w:hAnsi="Wingdings" w:hint="default"/>
      </w:rPr>
    </w:lvl>
    <w:lvl w:ilvl="3" w:tplc="3D24F87A" w:tentative="1">
      <w:start w:val="1"/>
      <w:numFmt w:val="bullet"/>
      <w:lvlText w:val=""/>
      <w:lvlJc w:val="left"/>
      <w:pPr>
        <w:ind w:left="2880" w:hanging="360"/>
      </w:pPr>
      <w:rPr>
        <w:rFonts w:ascii="Symbol" w:hAnsi="Symbol" w:hint="default"/>
      </w:rPr>
    </w:lvl>
    <w:lvl w:ilvl="4" w:tplc="FBFC8022" w:tentative="1">
      <w:start w:val="1"/>
      <w:numFmt w:val="bullet"/>
      <w:lvlText w:val="o"/>
      <w:lvlJc w:val="left"/>
      <w:pPr>
        <w:ind w:left="3600" w:hanging="360"/>
      </w:pPr>
      <w:rPr>
        <w:rFonts w:ascii="Courier New" w:hAnsi="Courier New" w:cs="Courier New" w:hint="default"/>
      </w:rPr>
    </w:lvl>
    <w:lvl w:ilvl="5" w:tplc="3E26A026" w:tentative="1">
      <w:start w:val="1"/>
      <w:numFmt w:val="bullet"/>
      <w:lvlText w:val=""/>
      <w:lvlJc w:val="left"/>
      <w:pPr>
        <w:ind w:left="4320" w:hanging="360"/>
      </w:pPr>
      <w:rPr>
        <w:rFonts w:ascii="Wingdings" w:hAnsi="Wingdings" w:hint="default"/>
      </w:rPr>
    </w:lvl>
    <w:lvl w:ilvl="6" w:tplc="3BE2CB84" w:tentative="1">
      <w:start w:val="1"/>
      <w:numFmt w:val="bullet"/>
      <w:lvlText w:val=""/>
      <w:lvlJc w:val="left"/>
      <w:pPr>
        <w:ind w:left="5040" w:hanging="360"/>
      </w:pPr>
      <w:rPr>
        <w:rFonts w:ascii="Symbol" w:hAnsi="Symbol" w:hint="default"/>
      </w:rPr>
    </w:lvl>
    <w:lvl w:ilvl="7" w:tplc="2B78F28C" w:tentative="1">
      <w:start w:val="1"/>
      <w:numFmt w:val="bullet"/>
      <w:lvlText w:val="o"/>
      <w:lvlJc w:val="left"/>
      <w:pPr>
        <w:ind w:left="5760" w:hanging="360"/>
      </w:pPr>
      <w:rPr>
        <w:rFonts w:ascii="Courier New" w:hAnsi="Courier New" w:cs="Courier New" w:hint="default"/>
      </w:rPr>
    </w:lvl>
    <w:lvl w:ilvl="8" w:tplc="966E7AAC" w:tentative="1">
      <w:start w:val="1"/>
      <w:numFmt w:val="bullet"/>
      <w:lvlText w:val=""/>
      <w:lvlJc w:val="left"/>
      <w:pPr>
        <w:ind w:left="6480" w:hanging="360"/>
      </w:pPr>
      <w:rPr>
        <w:rFonts w:ascii="Wingdings" w:hAnsi="Wingdings" w:hint="default"/>
      </w:rPr>
    </w:lvl>
  </w:abstractNum>
  <w:abstractNum w:abstractNumId="13" w15:restartNumberingAfterBreak="0">
    <w:nsid w:val="72A8643B"/>
    <w:multiLevelType w:val="hybridMultilevel"/>
    <w:tmpl w:val="B1EC589C"/>
    <w:lvl w:ilvl="0" w:tplc="D7A0D380">
      <w:start w:val="1"/>
      <w:numFmt w:val="bullet"/>
      <w:lvlText w:val=""/>
      <w:lvlJc w:val="left"/>
      <w:pPr>
        <w:ind w:left="720" w:hanging="360"/>
      </w:pPr>
      <w:rPr>
        <w:rFonts w:ascii="Symbol" w:hAnsi="Symbol" w:hint="default"/>
      </w:rPr>
    </w:lvl>
    <w:lvl w:ilvl="1" w:tplc="6B9822B4" w:tentative="1">
      <w:start w:val="1"/>
      <w:numFmt w:val="bullet"/>
      <w:lvlText w:val="o"/>
      <w:lvlJc w:val="left"/>
      <w:pPr>
        <w:ind w:left="1440" w:hanging="360"/>
      </w:pPr>
      <w:rPr>
        <w:rFonts w:ascii="Courier New" w:hAnsi="Courier New" w:cs="Courier New" w:hint="default"/>
      </w:rPr>
    </w:lvl>
    <w:lvl w:ilvl="2" w:tplc="9AC27C5E" w:tentative="1">
      <w:start w:val="1"/>
      <w:numFmt w:val="bullet"/>
      <w:lvlText w:val=""/>
      <w:lvlJc w:val="left"/>
      <w:pPr>
        <w:ind w:left="2160" w:hanging="360"/>
      </w:pPr>
      <w:rPr>
        <w:rFonts w:ascii="Wingdings" w:hAnsi="Wingdings" w:hint="default"/>
      </w:rPr>
    </w:lvl>
    <w:lvl w:ilvl="3" w:tplc="9FD66C56" w:tentative="1">
      <w:start w:val="1"/>
      <w:numFmt w:val="bullet"/>
      <w:lvlText w:val=""/>
      <w:lvlJc w:val="left"/>
      <w:pPr>
        <w:ind w:left="2880" w:hanging="360"/>
      </w:pPr>
      <w:rPr>
        <w:rFonts w:ascii="Symbol" w:hAnsi="Symbol" w:hint="default"/>
      </w:rPr>
    </w:lvl>
    <w:lvl w:ilvl="4" w:tplc="AB9C30A4" w:tentative="1">
      <w:start w:val="1"/>
      <w:numFmt w:val="bullet"/>
      <w:lvlText w:val="o"/>
      <w:lvlJc w:val="left"/>
      <w:pPr>
        <w:ind w:left="3600" w:hanging="360"/>
      </w:pPr>
      <w:rPr>
        <w:rFonts w:ascii="Courier New" w:hAnsi="Courier New" w:cs="Courier New" w:hint="default"/>
      </w:rPr>
    </w:lvl>
    <w:lvl w:ilvl="5" w:tplc="928EE85C" w:tentative="1">
      <w:start w:val="1"/>
      <w:numFmt w:val="bullet"/>
      <w:lvlText w:val=""/>
      <w:lvlJc w:val="left"/>
      <w:pPr>
        <w:ind w:left="4320" w:hanging="360"/>
      </w:pPr>
      <w:rPr>
        <w:rFonts w:ascii="Wingdings" w:hAnsi="Wingdings" w:hint="default"/>
      </w:rPr>
    </w:lvl>
    <w:lvl w:ilvl="6" w:tplc="956AAE2E" w:tentative="1">
      <w:start w:val="1"/>
      <w:numFmt w:val="bullet"/>
      <w:lvlText w:val=""/>
      <w:lvlJc w:val="left"/>
      <w:pPr>
        <w:ind w:left="5040" w:hanging="360"/>
      </w:pPr>
      <w:rPr>
        <w:rFonts w:ascii="Symbol" w:hAnsi="Symbol" w:hint="default"/>
      </w:rPr>
    </w:lvl>
    <w:lvl w:ilvl="7" w:tplc="A2B451F4" w:tentative="1">
      <w:start w:val="1"/>
      <w:numFmt w:val="bullet"/>
      <w:lvlText w:val="o"/>
      <w:lvlJc w:val="left"/>
      <w:pPr>
        <w:ind w:left="5760" w:hanging="360"/>
      </w:pPr>
      <w:rPr>
        <w:rFonts w:ascii="Courier New" w:hAnsi="Courier New" w:cs="Courier New" w:hint="default"/>
      </w:rPr>
    </w:lvl>
    <w:lvl w:ilvl="8" w:tplc="582CFAC4"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2"/>
  </w:num>
  <w:num w:numId="4">
    <w:abstractNumId w:val="11"/>
  </w:num>
  <w:num w:numId="5">
    <w:abstractNumId w:val="4"/>
  </w:num>
  <w:num w:numId="6">
    <w:abstractNumId w:val="3"/>
  </w:num>
  <w:num w:numId="7">
    <w:abstractNumId w:val="9"/>
  </w:num>
  <w:num w:numId="8">
    <w:abstractNumId w:val="13"/>
  </w:num>
  <w:num w:numId="9">
    <w:abstractNumId w:val="5"/>
  </w:num>
  <w:num w:numId="10">
    <w:abstractNumId w:val="7"/>
  </w:num>
  <w:num w:numId="11">
    <w:abstractNumId w:val="10"/>
  </w:num>
  <w:num w:numId="12">
    <w:abstractNumId w:val="8"/>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84"/>
    <w:rsid w:val="00005C2E"/>
    <w:rsid w:val="00007A08"/>
    <w:rsid w:val="0001123A"/>
    <w:rsid w:val="00011C5F"/>
    <w:rsid w:val="00011C99"/>
    <w:rsid w:val="00013170"/>
    <w:rsid w:val="000150FF"/>
    <w:rsid w:val="0001694C"/>
    <w:rsid w:val="0001775B"/>
    <w:rsid w:val="000200E0"/>
    <w:rsid w:val="000221F2"/>
    <w:rsid w:val="0002256E"/>
    <w:rsid w:val="000231F1"/>
    <w:rsid w:val="00023B13"/>
    <w:rsid w:val="00027162"/>
    <w:rsid w:val="0002743E"/>
    <w:rsid w:val="000274E7"/>
    <w:rsid w:val="00035577"/>
    <w:rsid w:val="00037018"/>
    <w:rsid w:val="0003749D"/>
    <w:rsid w:val="00040356"/>
    <w:rsid w:val="000408F7"/>
    <w:rsid w:val="0004338A"/>
    <w:rsid w:val="00045342"/>
    <w:rsid w:val="00046293"/>
    <w:rsid w:val="00047BF0"/>
    <w:rsid w:val="000509D6"/>
    <w:rsid w:val="00050E3C"/>
    <w:rsid w:val="0005260A"/>
    <w:rsid w:val="0005416E"/>
    <w:rsid w:val="00055127"/>
    <w:rsid w:val="00055438"/>
    <w:rsid w:val="000576F6"/>
    <w:rsid w:val="00060D4E"/>
    <w:rsid w:val="00061411"/>
    <w:rsid w:val="0006197A"/>
    <w:rsid w:val="00062BA1"/>
    <w:rsid w:val="00062E90"/>
    <w:rsid w:val="00063D83"/>
    <w:rsid w:val="000651F7"/>
    <w:rsid w:val="00066114"/>
    <w:rsid w:val="00070D90"/>
    <w:rsid w:val="00071368"/>
    <w:rsid w:val="0007181D"/>
    <w:rsid w:val="00072864"/>
    <w:rsid w:val="00073074"/>
    <w:rsid w:val="000737D5"/>
    <w:rsid w:val="00073D5C"/>
    <w:rsid w:val="00075B22"/>
    <w:rsid w:val="00075DF5"/>
    <w:rsid w:val="00081E7D"/>
    <w:rsid w:val="000820E3"/>
    <w:rsid w:val="000855AF"/>
    <w:rsid w:val="00086B12"/>
    <w:rsid w:val="00092489"/>
    <w:rsid w:val="00093084"/>
    <w:rsid w:val="00093F79"/>
    <w:rsid w:val="0009432A"/>
    <w:rsid w:val="000953CD"/>
    <w:rsid w:val="000957F4"/>
    <w:rsid w:val="000959F7"/>
    <w:rsid w:val="00096BA8"/>
    <w:rsid w:val="000A03ED"/>
    <w:rsid w:val="000A068B"/>
    <w:rsid w:val="000A1091"/>
    <w:rsid w:val="000A288C"/>
    <w:rsid w:val="000A28F1"/>
    <w:rsid w:val="000A4011"/>
    <w:rsid w:val="000A57FB"/>
    <w:rsid w:val="000A6BA0"/>
    <w:rsid w:val="000A715C"/>
    <w:rsid w:val="000B1428"/>
    <w:rsid w:val="000B3F4C"/>
    <w:rsid w:val="000B524A"/>
    <w:rsid w:val="000B67E0"/>
    <w:rsid w:val="000B6DDA"/>
    <w:rsid w:val="000C0A3D"/>
    <w:rsid w:val="000C0ACD"/>
    <w:rsid w:val="000C17C2"/>
    <w:rsid w:val="000C1B89"/>
    <w:rsid w:val="000C1E8F"/>
    <w:rsid w:val="000C3212"/>
    <w:rsid w:val="000C49D9"/>
    <w:rsid w:val="000C5FD8"/>
    <w:rsid w:val="000C7840"/>
    <w:rsid w:val="000D130B"/>
    <w:rsid w:val="000D2D5A"/>
    <w:rsid w:val="000D658D"/>
    <w:rsid w:val="000D673F"/>
    <w:rsid w:val="000D6B6F"/>
    <w:rsid w:val="000E0F75"/>
    <w:rsid w:val="000E40BA"/>
    <w:rsid w:val="000E62AA"/>
    <w:rsid w:val="000E7891"/>
    <w:rsid w:val="000F0B19"/>
    <w:rsid w:val="000F13A1"/>
    <w:rsid w:val="000F224F"/>
    <w:rsid w:val="000F3F60"/>
    <w:rsid w:val="000F5434"/>
    <w:rsid w:val="000F5586"/>
    <w:rsid w:val="000F57DC"/>
    <w:rsid w:val="000F6E00"/>
    <w:rsid w:val="00101B82"/>
    <w:rsid w:val="00101BF4"/>
    <w:rsid w:val="00104FC3"/>
    <w:rsid w:val="00106763"/>
    <w:rsid w:val="0011052B"/>
    <w:rsid w:val="00110800"/>
    <w:rsid w:val="001118BD"/>
    <w:rsid w:val="0011449B"/>
    <w:rsid w:val="001144B6"/>
    <w:rsid w:val="00117F29"/>
    <w:rsid w:val="00124B24"/>
    <w:rsid w:val="00131A8D"/>
    <w:rsid w:val="00131C24"/>
    <w:rsid w:val="00132CFE"/>
    <w:rsid w:val="00132FC3"/>
    <w:rsid w:val="00133755"/>
    <w:rsid w:val="00136114"/>
    <w:rsid w:val="001366DE"/>
    <w:rsid w:val="0013728A"/>
    <w:rsid w:val="00137E22"/>
    <w:rsid w:val="0014300B"/>
    <w:rsid w:val="001438AC"/>
    <w:rsid w:val="0014406D"/>
    <w:rsid w:val="0014462A"/>
    <w:rsid w:val="0014603A"/>
    <w:rsid w:val="00147603"/>
    <w:rsid w:val="00147FE8"/>
    <w:rsid w:val="0015186A"/>
    <w:rsid w:val="00151B8C"/>
    <w:rsid w:val="00152772"/>
    <w:rsid w:val="001527C1"/>
    <w:rsid w:val="001527FB"/>
    <w:rsid w:val="00154D7A"/>
    <w:rsid w:val="0015636A"/>
    <w:rsid w:val="001574A2"/>
    <w:rsid w:val="00160E0E"/>
    <w:rsid w:val="001616F9"/>
    <w:rsid w:val="00163717"/>
    <w:rsid w:val="001655B3"/>
    <w:rsid w:val="00167923"/>
    <w:rsid w:val="00171C34"/>
    <w:rsid w:val="00174CED"/>
    <w:rsid w:val="001754D9"/>
    <w:rsid w:val="0017629B"/>
    <w:rsid w:val="001775A3"/>
    <w:rsid w:val="00180B40"/>
    <w:rsid w:val="00181AAB"/>
    <w:rsid w:val="00184533"/>
    <w:rsid w:val="0018470C"/>
    <w:rsid w:val="001849F6"/>
    <w:rsid w:val="00191550"/>
    <w:rsid w:val="00192C24"/>
    <w:rsid w:val="00193742"/>
    <w:rsid w:val="00194654"/>
    <w:rsid w:val="00194D71"/>
    <w:rsid w:val="001A05EC"/>
    <w:rsid w:val="001A0C5C"/>
    <w:rsid w:val="001A1999"/>
    <w:rsid w:val="001A1CD5"/>
    <w:rsid w:val="001A2911"/>
    <w:rsid w:val="001A3127"/>
    <w:rsid w:val="001A54ED"/>
    <w:rsid w:val="001B1CFE"/>
    <w:rsid w:val="001B2A14"/>
    <w:rsid w:val="001B5839"/>
    <w:rsid w:val="001B5B50"/>
    <w:rsid w:val="001B69DB"/>
    <w:rsid w:val="001C0012"/>
    <w:rsid w:val="001C0C92"/>
    <w:rsid w:val="001C67F6"/>
    <w:rsid w:val="001D0CB4"/>
    <w:rsid w:val="001D2818"/>
    <w:rsid w:val="001D5AD4"/>
    <w:rsid w:val="001D6CCB"/>
    <w:rsid w:val="001F0504"/>
    <w:rsid w:val="001F0FEB"/>
    <w:rsid w:val="001F521D"/>
    <w:rsid w:val="00200A3A"/>
    <w:rsid w:val="002016AD"/>
    <w:rsid w:val="002033B3"/>
    <w:rsid w:val="00204168"/>
    <w:rsid w:val="002042BF"/>
    <w:rsid w:val="00205C3B"/>
    <w:rsid w:val="00206098"/>
    <w:rsid w:val="002065B0"/>
    <w:rsid w:val="0020686B"/>
    <w:rsid w:val="00206EFD"/>
    <w:rsid w:val="00210E5C"/>
    <w:rsid w:val="002115BC"/>
    <w:rsid w:val="002128CD"/>
    <w:rsid w:val="00220245"/>
    <w:rsid w:val="00220B75"/>
    <w:rsid w:val="002234AA"/>
    <w:rsid w:val="002235FD"/>
    <w:rsid w:val="002239D8"/>
    <w:rsid w:val="00224B12"/>
    <w:rsid w:val="002270D3"/>
    <w:rsid w:val="00227EDD"/>
    <w:rsid w:val="00227F2D"/>
    <w:rsid w:val="00230F11"/>
    <w:rsid w:val="0023174A"/>
    <w:rsid w:val="00233120"/>
    <w:rsid w:val="002340B7"/>
    <w:rsid w:val="002373D6"/>
    <w:rsid w:val="0023794A"/>
    <w:rsid w:val="00240C39"/>
    <w:rsid w:val="00244088"/>
    <w:rsid w:val="00244B0C"/>
    <w:rsid w:val="002472DD"/>
    <w:rsid w:val="0024786D"/>
    <w:rsid w:val="00247A79"/>
    <w:rsid w:val="00247ECA"/>
    <w:rsid w:val="00250424"/>
    <w:rsid w:val="002515AD"/>
    <w:rsid w:val="00253E21"/>
    <w:rsid w:val="00253EC8"/>
    <w:rsid w:val="002548D3"/>
    <w:rsid w:val="00254B19"/>
    <w:rsid w:val="00255625"/>
    <w:rsid w:val="00256124"/>
    <w:rsid w:val="00261BD5"/>
    <w:rsid w:val="002624A3"/>
    <w:rsid w:val="002634EE"/>
    <w:rsid w:val="0026352B"/>
    <w:rsid w:val="00264C1D"/>
    <w:rsid w:val="0026551B"/>
    <w:rsid w:val="00270FF6"/>
    <w:rsid w:val="0027110E"/>
    <w:rsid w:val="002742E0"/>
    <w:rsid w:val="00275FDE"/>
    <w:rsid w:val="00276A9C"/>
    <w:rsid w:val="002821CF"/>
    <w:rsid w:val="00282E63"/>
    <w:rsid w:val="00284F18"/>
    <w:rsid w:val="00290150"/>
    <w:rsid w:val="002914B1"/>
    <w:rsid w:val="00293DAE"/>
    <w:rsid w:val="00294220"/>
    <w:rsid w:val="002944F7"/>
    <w:rsid w:val="002952AB"/>
    <w:rsid w:val="0029616F"/>
    <w:rsid w:val="002976F0"/>
    <w:rsid w:val="00297957"/>
    <w:rsid w:val="00297BD1"/>
    <w:rsid w:val="002A0CCF"/>
    <w:rsid w:val="002A0D13"/>
    <w:rsid w:val="002A24AA"/>
    <w:rsid w:val="002A4A9D"/>
    <w:rsid w:val="002A50F3"/>
    <w:rsid w:val="002A6B9F"/>
    <w:rsid w:val="002B076F"/>
    <w:rsid w:val="002B153B"/>
    <w:rsid w:val="002B343D"/>
    <w:rsid w:val="002B44BA"/>
    <w:rsid w:val="002B474E"/>
    <w:rsid w:val="002B4F34"/>
    <w:rsid w:val="002B793F"/>
    <w:rsid w:val="002C0847"/>
    <w:rsid w:val="002C586C"/>
    <w:rsid w:val="002C6BEC"/>
    <w:rsid w:val="002C7120"/>
    <w:rsid w:val="002D0741"/>
    <w:rsid w:val="002D0760"/>
    <w:rsid w:val="002D0A60"/>
    <w:rsid w:val="002D0B7A"/>
    <w:rsid w:val="002D3E2A"/>
    <w:rsid w:val="002D67D8"/>
    <w:rsid w:val="002D6A49"/>
    <w:rsid w:val="002D7461"/>
    <w:rsid w:val="002D7BDF"/>
    <w:rsid w:val="002E0B7D"/>
    <w:rsid w:val="002E16B9"/>
    <w:rsid w:val="002E3F76"/>
    <w:rsid w:val="002E40DB"/>
    <w:rsid w:val="002E460A"/>
    <w:rsid w:val="002E5C53"/>
    <w:rsid w:val="002E6AF7"/>
    <w:rsid w:val="002E76A1"/>
    <w:rsid w:val="002E79F8"/>
    <w:rsid w:val="002F0080"/>
    <w:rsid w:val="002F0500"/>
    <w:rsid w:val="002F13FB"/>
    <w:rsid w:val="002F550F"/>
    <w:rsid w:val="002F67B7"/>
    <w:rsid w:val="002F6C76"/>
    <w:rsid w:val="002F7619"/>
    <w:rsid w:val="00300217"/>
    <w:rsid w:val="003027D9"/>
    <w:rsid w:val="00306428"/>
    <w:rsid w:val="00306A03"/>
    <w:rsid w:val="003132BB"/>
    <w:rsid w:val="00313DF8"/>
    <w:rsid w:val="003153FD"/>
    <w:rsid w:val="00315A45"/>
    <w:rsid w:val="003160B9"/>
    <w:rsid w:val="0031697E"/>
    <w:rsid w:val="003209BC"/>
    <w:rsid w:val="0032159B"/>
    <w:rsid w:val="003228CD"/>
    <w:rsid w:val="0032592C"/>
    <w:rsid w:val="00327295"/>
    <w:rsid w:val="003319A3"/>
    <w:rsid w:val="00332CB6"/>
    <w:rsid w:val="00335F70"/>
    <w:rsid w:val="00336EDB"/>
    <w:rsid w:val="00337031"/>
    <w:rsid w:val="0034155B"/>
    <w:rsid w:val="003425E2"/>
    <w:rsid w:val="003434E8"/>
    <w:rsid w:val="00344F89"/>
    <w:rsid w:val="0034630B"/>
    <w:rsid w:val="0034798D"/>
    <w:rsid w:val="00350117"/>
    <w:rsid w:val="0035022F"/>
    <w:rsid w:val="00350BF6"/>
    <w:rsid w:val="003511C6"/>
    <w:rsid w:val="0035332A"/>
    <w:rsid w:val="003539E5"/>
    <w:rsid w:val="00353BBE"/>
    <w:rsid w:val="00355593"/>
    <w:rsid w:val="0035576B"/>
    <w:rsid w:val="003571BA"/>
    <w:rsid w:val="00361C6D"/>
    <w:rsid w:val="0037133B"/>
    <w:rsid w:val="0037198C"/>
    <w:rsid w:val="0037233E"/>
    <w:rsid w:val="0037240F"/>
    <w:rsid w:val="003747A0"/>
    <w:rsid w:val="003763E2"/>
    <w:rsid w:val="00376BD0"/>
    <w:rsid w:val="003809DF"/>
    <w:rsid w:val="00381030"/>
    <w:rsid w:val="0038136A"/>
    <w:rsid w:val="003818B8"/>
    <w:rsid w:val="00382599"/>
    <w:rsid w:val="00383736"/>
    <w:rsid w:val="00383799"/>
    <w:rsid w:val="00384627"/>
    <w:rsid w:val="00386289"/>
    <w:rsid w:val="00386290"/>
    <w:rsid w:val="003915A6"/>
    <w:rsid w:val="00391BE9"/>
    <w:rsid w:val="00393DD0"/>
    <w:rsid w:val="00394F21"/>
    <w:rsid w:val="00396211"/>
    <w:rsid w:val="003967CA"/>
    <w:rsid w:val="003A1F87"/>
    <w:rsid w:val="003A2227"/>
    <w:rsid w:val="003A3D2C"/>
    <w:rsid w:val="003A4073"/>
    <w:rsid w:val="003A5609"/>
    <w:rsid w:val="003B0332"/>
    <w:rsid w:val="003B0CA1"/>
    <w:rsid w:val="003B1913"/>
    <w:rsid w:val="003B27E6"/>
    <w:rsid w:val="003B2C14"/>
    <w:rsid w:val="003B3FC7"/>
    <w:rsid w:val="003B6172"/>
    <w:rsid w:val="003B6A07"/>
    <w:rsid w:val="003B72A8"/>
    <w:rsid w:val="003B7EEE"/>
    <w:rsid w:val="003C141F"/>
    <w:rsid w:val="003C2B21"/>
    <w:rsid w:val="003C4521"/>
    <w:rsid w:val="003C54B8"/>
    <w:rsid w:val="003C6463"/>
    <w:rsid w:val="003D3082"/>
    <w:rsid w:val="003D788E"/>
    <w:rsid w:val="003D7EDB"/>
    <w:rsid w:val="003E1207"/>
    <w:rsid w:val="003E1E8B"/>
    <w:rsid w:val="003E51B7"/>
    <w:rsid w:val="003E56B0"/>
    <w:rsid w:val="003E5D36"/>
    <w:rsid w:val="003E6867"/>
    <w:rsid w:val="003F0676"/>
    <w:rsid w:val="003F26D7"/>
    <w:rsid w:val="003F3296"/>
    <w:rsid w:val="003F3B0F"/>
    <w:rsid w:val="003F64E5"/>
    <w:rsid w:val="004036B1"/>
    <w:rsid w:val="00403DB9"/>
    <w:rsid w:val="00411CEA"/>
    <w:rsid w:val="004151C7"/>
    <w:rsid w:val="00417015"/>
    <w:rsid w:val="00420FB1"/>
    <w:rsid w:val="00423501"/>
    <w:rsid w:val="004266BC"/>
    <w:rsid w:val="00427F04"/>
    <w:rsid w:val="004306B8"/>
    <w:rsid w:val="00430921"/>
    <w:rsid w:val="004327F1"/>
    <w:rsid w:val="00433C54"/>
    <w:rsid w:val="00434093"/>
    <w:rsid w:val="0043457A"/>
    <w:rsid w:val="0043461B"/>
    <w:rsid w:val="0043463E"/>
    <w:rsid w:val="004358BD"/>
    <w:rsid w:val="00437692"/>
    <w:rsid w:val="004379AC"/>
    <w:rsid w:val="0044131A"/>
    <w:rsid w:val="0044249A"/>
    <w:rsid w:val="00443EEF"/>
    <w:rsid w:val="00444C60"/>
    <w:rsid w:val="00450F79"/>
    <w:rsid w:val="00453001"/>
    <w:rsid w:val="00454C18"/>
    <w:rsid w:val="00460538"/>
    <w:rsid w:val="00460EBF"/>
    <w:rsid w:val="004630DB"/>
    <w:rsid w:val="00463EA9"/>
    <w:rsid w:val="004655AC"/>
    <w:rsid w:val="004660B6"/>
    <w:rsid w:val="00470E55"/>
    <w:rsid w:val="00471847"/>
    <w:rsid w:val="00472A68"/>
    <w:rsid w:val="00473692"/>
    <w:rsid w:val="0047502B"/>
    <w:rsid w:val="004761FD"/>
    <w:rsid w:val="00476826"/>
    <w:rsid w:val="00477221"/>
    <w:rsid w:val="0048134F"/>
    <w:rsid w:val="00481C0D"/>
    <w:rsid w:val="00483BB7"/>
    <w:rsid w:val="0048557B"/>
    <w:rsid w:val="00487992"/>
    <w:rsid w:val="00487DC7"/>
    <w:rsid w:val="00487F7B"/>
    <w:rsid w:val="0049058E"/>
    <w:rsid w:val="00493435"/>
    <w:rsid w:val="00494B0C"/>
    <w:rsid w:val="004955D8"/>
    <w:rsid w:val="00496583"/>
    <w:rsid w:val="00496F17"/>
    <w:rsid w:val="00497341"/>
    <w:rsid w:val="00497558"/>
    <w:rsid w:val="004A09CB"/>
    <w:rsid w:val="004A30CD"/>
    <w:rsid w:val="004A3EE2"/>
    <w:rsid w:val="004A3F68"/>
    <w:rsid w:val="004A4009"/>
    <w:rsid w:val="004A4471"/>
    <w:rsid w:val="004A4796"/>
    <w:rsid w:val="004A55CE"/>
    <w:rsid w:val="004A72EB"/>
    <w:rsid w:val="004A7C25"/>
    <w:rsid w:val="004B0159"/>
    <w:rsid w:val="004B2AD6"/>
    <w:rsid w:val="004B3540"/>
    <w:rsid w:val="004B3671"/>
    <w:rsid w:val="004B4293"/>
    <w:rsid w:val="004C1A57"/>
    <w:rsid w:val="004C6823"/>
    <w:rsid w:val="004C713B"/>
    <w:rsid w:val="004C7C83"/>
    <w:rsid w:val="004D01A6"/>
    <w:rsid w:val="004D0DE4"/>
    <w:rsid w:val="004D15FD"/>
    <w:rsid w:val="004D1EAC"/>
    <w:rsid w:val="004D6786"/>
    <w:rsid w:val="004D70EC"/>
    <w:rsid w:val="004E1289"/>
    <w:rsid w:val="004E1C46"/>
    <w:rsid w:val="004E3031"/>
    <w:rsid w:val="004E5DE2"/>
    <w:rsid w:val="004E7E24"/>
    <w:rsid w:val="004F3A92"/>
    <w:rsid w:val="004F685E"/>
    <w:rsid w:val="005035B5"/>
    <w:rsid w:val="005039D6"/>
    <w:rsid w:val="0050471B"/>
    <w:rsid w:val="0050519C"/>
    <w:rsid w:val="005052AA"/>
    <w:rsid w:val="0050536A"/>
    <w:rsid w:val="00506704"/>
    <w:rsid w:val="00513807"/>
    <w:rsid w:val="00513C11"/>
    <w:rsid w:val="00517BBB"/>
    <w:rsid w:val="0052081B"/>
    <w:rsid w:val="00521599"/>
    <w:rsid w:val="00524308"/>
    <w:rsid w:val="00527BF7"/>
    <w:rsid w:val="005306DE"/>
    <w:rsid w:val="0053089D"/>
    <w:rsid w:val="00533905"/>
    <w:rsid w:val="00540522"/>
    <w:rsid w:val="005408BC"/>
    <w:rsid w:val="00544511"/>
    <w:rsid w:val="00546923"/>
    <w:rsid w:val="0054793D"/>
    <w:rsid w:val="00550496"/>
    <w:rsid w:val="00553672"/>
    <w:rsid w:val="0055610B"/>
    <w:rsid w:val="00557572"/>
    <w:rsid w:val="005578F4"/>
    <w:rsid w:val="00557EAA"/>
    <w:rsid w:val="00560756"/>
    <w:rsid w:val="0056180D"/>
    <w:rsid w:val="00564592"/>
    <w:rsid w:val="0056463D"/>
    <w:rsid w:val="005672E9"/>
    <w:rsid w:val="00570089"/>
    <w:rsid w:val="0057073B"/>
    <w:rsid w:val="00570E63"/>
    <w:rsid w:val="00574483"/>
    <w:rsid w:val="0058081F"/>
    <w:rsid w:val="00580CDC"/>
    <w:rsid w:val="005813BD"/>
    <w:rsid w:val="00581D02"/>
    <w:rsid w:val="005830C5"/>
    <w:rsid w:val="00583469"/>
    <w:rsid w:val="005840AD"/>
    <w:rsid w:val="005848C9"/>
    <w:rsid w:val="00587430"/>
    <w:rsid w:val="00587C56"/>
    <w:rsid w:val="00587FA1"/>
    <w:rsid w:val="00587FB5"/>
    <w:rsid w:val="00590943"/>
    <w:rsid w:val="00592B31"/>
    <w:rsid w:val="0059357D"/>
    <w:rsid w:val="00597826"/>
    <w:rsid w:val="00597EB8"/>
    <w:rsid w:val="005A0654"/>
    <w:rsid w:val="005A1D5D"/>
    <w:rsid w:val="005A2E71"/>
    <w:rsid w:val="005A3E78"/>
    <w:rsid w:val="005A7233"/>
    <w:rsid w:val="005A7F09"/>
    <w:rsid w:val="005B2A03"/>
    <w:rsid w:val="005B3583"/>
    <w:rsid w:val="005B38AD"/>
    <w:rsid w:val="005B5394"/>
    <w:rsid w:val="005B79DD"/>
    <w:rsid w:val="005B7BD7"/>
    <w:rsid w:val="005C01FC"/>
    <w:rsid w:val="005C102E"/>
    <w:rsid w:val="005C2FEB"/>
    <w:rsid w:val="005C5757"/>
    <w:rsid w:val="005C672D"/>
    <w:rsid w:val="005C7CE3"/>
    <w:rsid w:val="005D1D35"/>
    <w:rsid w:val="005D405E"/>
    <w:rsid w:val="005D4CDB"/>
    <w:rsid w:val="005E01AC"/>
    <w:rsid w:val="005E0366"/>
    <w:rsid w:val="005E056B"/>
    <w:rsid w:val="005E7618"/>
    <w:rsid w:val="005E7626"/>
    <w:rsid w:val="005E77D5"/>
    <w:rsid w:val="005E7E2C"/>
    <w:rsid w:val="005F1D8A"/>
    <w:rsid w:val="005F40A8"/>
    <w:rsid w:val="005F5995"/>
    <w:rsid w:val="005F625B"/>
    <w:rsid w:val="005F7997"/>
    <w:rsid w:val="005F7DDE"/>
    <w:rsid w:val="00600710"/>
    <w:rsid w:val="00601911"/>
    <w:rsid w:val="00602E70"/>
    <w:rsid w:val="006047D3"/>
    <w:rsid w:val="006078DB"/>
    <w:rsid w:val="00607CB4"/>
    <w:rsid w:val="006100DD"/>
    <w:rsid w:val="00610ED9"/>
    <w:rsid w:val="00613A5C"/>
    <w:rsid w:val="00620196"/>
    <w:rsid w:val="00620799"/>
    <w:rsid w:val="0062231B"/>
    <w:rsid w:val="0062326E"/>
    <w:rsid w:val="006234F4"/>
    <w:rsid w:val="00624571"/>
    <w:rsid w:val="00626D5D"/>
    <w:rsid w:val="00630237"/>
    <w:rsid w:val="0063124B"/>
    <w:rsid w:val="00633001"/>
    <w:rsid w:val="00634B53"/>
    <w:rsid w:val="006350AA"/>
    <w:rsid w:val="00635E40"/>
    <w:rsid w:val="00637183"/>
    <w:rsid w:val="0064013B"/>
    <w:rsid w:val="00640871"/>
    <w:rsid w:val="00642BFE"/>
    <w:rsid w:val="006455F5"/>
    <w:rsid w:val="00645991"/>
    <w:rsid w:val="00646D8C"/>
    <w:rsid w:val="00651B54"/>
    <w:rsid w:val="006537DB"/>
    <w:rsid w:val="00653C4B"/>
    <w:rsid w:val="00654C72"/>
    <w:rsid w:val="0065631D"/>
    <w:rsid w:val="006572FF"/>
    <w:rsid w:val="00657BEA"/>
    <w:rsid w:val="00660645"/>
    <w:rsid w:val="006613AD"/>
    <w:rsid w:val="00661FBC"/>
    <w:rsid w:val="00662A13"/>
    <w:rsid w:val="00663047"/>
    <w:rsid w:val="00663A6D"/>
    <w:rsid w:val="00664555"/>
    <w:rsid w:val="006645F2"/>
    <w:rsid w:val="0066549F"/>
    <w:rsid w:val="00665810"/>
    <w:rsid w:val="00666686"/>
    <w:rsid w:val="006670AB"/>
    <w:rsid w:val="00667C4A"/>
    <w:rsid w:val="00670945"/>
    <w:rsid w:val="00674CA9"/>
    <w:rsid w:val="00676580"/>
    <w:rsid w:val="00676B08"/>
    <w:rsid w:val="00676C56"/>
    <w:rsid w:val="0067704E"/>
    <w:rsid w:val="006775BE"/>
    <w:rsid w:val="00677937"/>
    <w:rsid w:val="0068169A"/>
    <w:rsid w:val="00682B40"/>
    <w:rsid w:val="00684CD9"/>
    <w:rsid w:val="006855C5"/>
    <w:rsid w:val="00686881"/>
    <w:rsid w:val="006873E8"/>
    <w:rsid w:val="006879A7"/>
    <w:rsid w:val="00696EAB"/>
    <w:rsid w:val="006A0C28"/>
    <w:rsid w:val="006A0D5B"/>
    <w:rsid w:val="006A0DF7"/>
    <w:rsid w:val="006A3824"/>
    <w:rsid w:val="006A3AA1"/>
    <w:rsid w:val="006A4B34"/>
    <w:rsid w:val="006A579A"/>
    <w:rsid w:val="006B025A"/>
    <w:rsid w:val="006B035E"/>
    <w:rsid w:val="006B2304"/>
    <w:rsid w:val="006B2F18"/>
    <w:rsid w:val="006B3C89"/>
    <w:rsid w:val="006B55DA"/>
    <w:rsid w:val="006C0BD1"/>
    <w:rsid w:val="006C2A85"/>
    <w:rsid w:val="006C56E5"/>
    <w:rsid w:val="006C5E60"/>
    <w:rsid w:val="006D1836"/>
    <w:rsid w:val="006D2CAD"/>
    <w:rsid w:val="006D344D"/>
    <w:rsid w:val="006D36E0"/>
    <w:rsid w:val="006D6CFF"/>
    <w:rsid w:val="006E432A"/>
    <w:rsid w:val="006E5E09"/>
    <w:rsid w:val="006F1708"/>
    <w:rsid w:val="006F491A"/>
    <w:rsid w:val="007003A9"/>
    <w:rsid w:val="0070108A"/>
    <w:rsid w:val="007047EC"/>
    <w:rsid w:val="007049C7"/>
    <w:rsid w:val="0070786A"/>
    <w:rsid w:val="0071002A"/>
    <w:rsid w:val="0071032C"/>
    <w:rsid w:val="00712366"/>
    <w:rsid w:val="0071253F"/>
    <w:rsid w:val="00716287"/>
    <w:rsid w:val="00717180"/>
    <w:rsid w:val="007207B6"/>
    <w:rsid w:val="0072101A"/>
    <w:rsid w:val="00721121"/>
    <w:rsid w:val="00721340"/>
    <w:rsid w:val="00721B4C"/>
    <w:rsid w:val="00722590"/>
    <w:rsid w:val="00723317"/>
    <w:rsid w:val="00723BC8"/>
    <w:rsid w:val="007272F3"/>
    <w:rsid w:val="00731EBF"/>
    <w:rsid w:val="00733385"/>
    <w:rsid w:val="007334FE"/>
    <w:rsid w:val="0073522B"/>
    <w:rsid w:val="00737A02"/>
    <w:rsid w:val="00742197"/>
    <w:rsid w:val="00743546"/>
    <w:rsid w:val="007442FD"/>
    <w:rsid w:val="00750086"/>
    <w:rsid w:val="00750505"/>
    <w:rsid w:val="007510D4"/>
    <w:rsid w:val="00751A1C"/>
    <w:rsid w:val="00753835"/>
    <w:rsid w:val="0075389C"/>
    <w:rsid w:val="0075412F"/>
    <w:rsid w:val="007541AD"/>
    <w:rsid w:val="007552E0"/>
    <w:rsid w:val="00756BB1"/>
    <w:rsid w:val="0076312F"/>
    <w:rsid w:val="00766C39"/>
    <w:rsid w:val="00771734"/>
    <w:rsid w:val="00771A5C"/>
    <w:rsid w:val="0077216D"/>
    <w:rsid w:val="00773102"/>
    <w:rsid w:val="007737B3"/>
    <w:rsid w:val="0077389B"/>
    <w:rsid w:val="007752ED"/>
    <w:rsid w:val="0077647E"/>
    <w:rsid w:val="007777EF"/>
    <w:rsid w:val="00782362"/>
    <w:rsid w:val="00783C4F"/>
    <w:rsid w:val="00785841"/>
    <w:rsid w:val="00786C34"/>
    <w:rsid w:val="0078766F"/>
    <w:rsid w:val="00790D43"/>
    <w:rsid w:val="00791D99"/>
    <w:rsid w:val="00792334"/>
    <w:rsid w:val="0079538F"/>
    <w:rsid w:val="00795416"/>
    <w:rsid w:val="0079617E"/>
    <w:rsid w:val="007A6456"/>
    <w:rsid w:val="007B013D"/>
    <w:rsid w:val="007B09B7"/>
    <w:rsid w:val="007B256E"/>
    <w:rsid w:val="007B2F0B"/>
    <w:rsid w:val="007B4A25"/>
    <w:rsid w:val="007B688A"/>
    <w:rsid w:val="007B74EA"/>
    <w:rsid w:val="007C00D5"/>
    <w:rsid w:val="007C0945"/>
    <w:rsid w:val="007C1106"/>
    <w:rsid w:val="007C1EC2"/>
    <w:rsid w:val="007D1AA1"/>
    <w:rsid w:val="007D580F"/>
    <w:rsid w:val="007D6DE9"/>
    <w:rsid w:val="007D75B0"/>
    <w:rsid w:val="007E2E0B"/>
    <w:rsid w:val="007F01C6"/>
    <w:rsid w:val="007F10AF"/>
    <w:rsid w:val="007F19FD"/>
    <w:rsid w:val="007F285B"/>
    <w:rsid w:val="007F2A5C"/>
    <w:rsid w:val="007F31C0"/>
    <w:rsid w:val="007F348A"/>
    <w:rsid w:val="007F468C"/>
    <w:rsid w:val="007F507C"/>
    <w:rsid w:val="007F7644"/>
    <w:rsid w:val="007F789A"/>
    <w:rsid w:val="008013BE"/>
    <w:rsid w:val="00801779"/>
    <w:rsid w:val="00802249"/>
    <w:rsid w:val="008029F2"/>
    <w:rsid w:val="008038D1"/>
    <w:rsid w:val="00805066"/>
    <w:rsid w:val="0080518B"/>
    <w:rsid w:val="0080572A"/>
    <w:rsid w:val="00805D04"/>
    <w:rsid w:val="008078CF"/>
    <w:rsid w:val="00807B57"/>
    <w:rsid w:val="0081135B"/>
    <w:rsid w:val="008150D7"/>
    <w:rsid w:val="00815E6E"/>
    <w:rsid w:val="008200B2"/>
    <w:rsid w:val="00822260"/>
    <w:rsid w:val="008244B8"/>
    <w:rsid w:val="00831A5D"/>
    <w:rsid w:val="0083296E"/>
    <w:rsid w:val="00833016"/>
    <w:rsid w:val="0083353E"/>
    <w:rsid w:val="00834A5E"/>
    <w:rsid w:val="00835FEA"/>
    <w:rsid w:val="008360B3"/>
    <w:rsid w:val="0083611B"/>
    <w:rsid w:val="00836DDF"/>
    <w:rsid w:val="00837057"/>
    <w:rsid w:val="00837F18"/>
    <w:rsid w:val="008438FE"/>
    <w:rsid w:val="00844711"/>
    <w:rsid w:val="008473BA"/>
    <w:rsid w:val="00847F43"/>
    <w:rsid w:val="008505A7"/>
    <w:rsid w:val="00851567"/>
    <w:rsid w:val="00851736"/>
    <w:rsid w:val="00851E3A"/>
    <w:rsid w:val="0085206A"/>
    <w:rsid w:val="00854BF9"/>
    <w:rsid w:val="00856570"/>
    <w:rsid w:val="00862849"/>
    <w:rsid w:val="00867986"/>
    <w:rsid w:val="008703CD"/>
    <w:rsid w:val="00870E28"/>
    <w:rsid w:val="00874015"/>
    <w:rsid w:val="008756AE"/>
    <w:rsid w:val="00875C10"/>
    <w:rsid w:val="00875D3F"/>
    <w:rsid w:val="00875DFB"/>
    <w:rsid w:val="00877F07"/>
    <w:rsid w:val="00880C98"/>
    <w:rsid w:val="008813D3"/>
    <w:rsid w:val="00881BB3"/>
    <w:rsid w:val="00884ABB"/>
    <w:rsid w:val="0088676D"/>
    <w:rsid w:val="00887550"/>
    <w:rsid w:val="008900C1"/>
    <w:rsid w:val="00891E39"/>
    <w:rsid w:val="00894742"/>
    <w:rsid w:val="00894B24"/>
    <w:rsid w:val="0089651A"/>
    <w:rsid w:val="008A1AFA"/>
    <w:rsid w:val="008A21FD"/>
    <w:rsid w:val="008A374E"/>
    <w:rsid w:val="008A5928"/>
    <w:rsid w:val="008A5C10"/>
    <w:rsid w:val="008A5DAB"/>
    <w:rsid w:val="008A61B7"/>
    <w:rsid w:val="008A675C"/>
    <w:rsid w:val="008B0B80"/>
    <w:rsid w:val="008B5547"/>
    <w:rsid w:val="008B5BC8"/>
    <w:rsid w:val="008B64DE"/>
    <w:rsid w:val="008C2367"/>
    <w:rsid w:val="008C2D89"/>
    <w:rsid w:val="008C464B"/>
    <w:rsid w:val="008C6831"/>
    <w:rsid w:val="008C69B3"/>
    <w:rsid w:val="008D0EA4"/>
    <w:rsid w:val="008D1BCC"/>
    <w:rsid w:val="008D45D4"/>
    <w:rsid w:val="008D5FC5"/>
    <w:rsid w:val="008D60BE"/>
    <w:rsid w:val="008D61EE"/>
    <w:rsid w:val="008D6227"/>
    <w:rsid w:val="008D6AEE"/>
    <w:rsid w:val="008D7953"/>
    <w:rsid w:val="008E01C8"/>
    <w:rsid w:val="008E043B"/>
    <w:rsid w:val="008E0558"/>
    <w:rsid w:val="008E0971"/>
    <w:rsid w:val="008E3084"/>
    <w:rsid w:val="008E3B1E"/>
    <w:rsid w:val="008E4EDD"/>
    <w:rsid w:val="008E58F5"/>
    <w:rsid w:val="008E68D9"/>
    <w:rsid w:val="008E693A"/>
    <w:rsid w:val="008E7730"/>
    <w:rsid w:val="008E7CF5"/>
    <w:rsid w:val="008F11BC"/>
    <w:rsid w:val="008F2855"/>
    <w:rsid w:val="008F341C"/>
    <w:rsid w:val="008F3731"/>
    <w:rsid w:val="008F4110"/>
    <w:rsid w:val="008F487C"/>
    <w:rsid w:val="008F5321"/>
    <w:rsid w:val="008F615E"/>
    <w:rsid w:val="008F67BB"/>
    <w:rsid w:val="008F7B4E"/>
    <w:rsid w:val="00902A2C"/>
    <w:rsid w:val="00905F5B"/>
    <w:rsid w:val="00907909"/>
    <w:rsid w:val="00910588"/>
    <w:rsid w:val="00910939"/>
    <w:rsid w:val="00910EB9"/>
    <w:rsid w:val="00913CDE"/>
    <w:rsid w:val="00914E3B"/>
    <w:rsid w:val="009156A6"/>
    <w:rsid w:val="00923A93"/>
    <w:rsid w:val="00923E4A"/>
    <w:rsid w:val="009268BE"/>
    <w:rsid w:val="00926C12"/>
    <w:rsid w:val="00927B01"/>
    <w:rsid w:val="00932EF4"/>
    <w:rsid w:val="0093453A"/>
    <w:rsid w:val="009347F8"/>
    <w:rsid w:val="00936835"/>
    <w:rsid w:val="00936B11"/>
    <w:rsid w:val="009420B9"/>
    <w:rsid w:val="00945656"/>
    <w:rsid w:val="00945C9F"/>
    <w:rsid w:val="009474F6"/>
    <w:rsid w:val="00950929"/>
    <w:rsid w:val="00953DFC"/>
    <w:rsid w:val="0095534A"/>
    <w:rsid w:val="00956746"/>
    <w:rsid w:val="00956C24"/>
    <w:rsid w:val="00957308"/>
    <w:rsid w:val="0095796D"/>
    <w:rsid w:val="00957D41"/>
    <w:rsid w:val="009600C2"/>
    <w:rsid w:val="00960C1C"/>
    <w:rsid w:val="0096185B"/>
    <w:rsid w:val="00961BDE"/>
    <w:rsid w:val="009628E7"/>
    <w:rsid w:val="00962C04"/>
    <w:rsid w:val="00963205"/>
    <w:rsid w:val="00964491"/>
    <w:rsid w:val="009663CF"/>
    <w:rsid w:val="009710D3"/>
    <w:rsid w:val="009722DA"/>
    <w:rsid w:val="009727A1"/>
    <w:rsid w:val="009752E0"/>
    <w:rsid w:val="00976BE1"/>
    <w:rsid w:val="00976FFB"/>
    <w:rsid w:val="00980D94"/>
    <w:rsid w:val="00981614"/>
    <w:rsid w:val="00982ACF"/>
    <w:rsid w:val="00984377"/>
    <w:rsid w:val="00993871"/>
    <w:rsid w:val="00993AB7"/>
    <w:rsid w:val="0099492B"/>
    <w:rsid w:val="00995661"/>
    <w:rsid w:val="00995896"/>
    <w:rsid w:val="00995D49"/>
    <w:rsid w:val="009A4FFD"/>
    <w:rsid w:val="009A563D"/>
    <w:rsid w:val="009A5720"/>
    <w:rsid w:val="009B4A11"/>
    <w:rsid w:val="009B5BC1"/>
    <w:rsid w:val="009C0836"/>
    <w:rsid w:val="009C34C0"/>
    <w:rsid w:val="009C3C9F"/>
    <w:rsid w:val="009C6325"/>
    <w:rsid w:val="009D03D0"/>
    <w:rsid w:val="009D10B3"/>
    <w:rsid w:val="009D1462"/>
    <w:rsid w:val="009D1464"/>
    <w:rsid w:val="009D23B0"/>
    <w:rsid w:val="009D58CB"/>
    <w:rsid w:val="009D6A13"/>
    <w:rsid w:val="009E0B0B"/>
    <w:rsid w:val="009E3D2A"/>
    <w:rsid w:val="009E43B9"/>
    <w:rsid w:val="009E57DD"/>
    <w:rsid w:val="009E64CB"/>
    <w:rsid w:val="009E77DF"/>
    <w:rsid w:val="009F0623"/>
    <w:rsid w:val="009F0C12"/>
    <w:rsid w:val="009F3884"/>
    <w:rsid w:val="009F4553"/>
    <w:rsid w:val="009F5E55"/>
    <w:rsid w:val="00A00137"/>
    <w:rsid w:val="00A0026A"/>
    <w:rsid w:val="00A00477"/>
    <w:rsid w:val="00A00C38"/>
    <w:rsid w:val="00A0146A"/>
    <w:rsid w:val="00A022B7"/>
    <w:rsid w:val="00A060AA"/>
    <w:rsid w:val="00A07317"/>
    <w:rsid w:val="00A07719"/>
    <w:rsid w:val="00A1160E"/>
    <w:rsid w:val="00A121D6"/>
    <w:rsid w:val="00A12EE9"/>
    <w:rsid w:val="00A14AFC"/>
    <w:rsid w:val="00A15CCF"/>
    <w:rsid w:val="00A1626F"/>
    <w:rsid w:val="00A23B56"/>
    <w:rsid w:val="00A24C8B"/>
    <w:rsid w:val="00A258E7"/>
    <w:rsid w:val="00A25985"/>
    <w:rsid w:val="00A25FCE"/>
    <w:rsid w:val="00A317B8"/>
    <w:rsid w:val="00A33250"/>
    <w:rsid w:val="00A36616"/>
    <w:rsid w:val="00A368E8"/>
    <w:rsid w:val="00A37C78"/>
    <w:rsid w:val="00A37F19"/>
    <w:rsid w:val="00A37F6A"/>
    <w:rsid w:val="00A45A0F"/>
    <w:rsid w:val="00A47EDD"/>
    <w:rsid w:val="00A51B28"/>
    <w:rsid w:val="00A52C9B"/>
    <w:rsid w:val="00A600E0"/>
    <w:rsid w:val="00A60298"/>
    <w:rsid w:val="00A62EC8"/>
    <w:rsid w:val="00A62F99"/>
    <w:rsid w:val="00A638EB"/>
    <w:rsid w:val="00A63A46"/>
    <w:rsid w:val="00A6490A"/>
    <w:rsid w:val="00A66253"/>
    <w:rsid w:val="00A67E6B"/>
    <w:rsid w:val="00A728B5"/>
    <w:rsid w:val="00A74522"/>
    <w:rsid w:val="00A74D24"/>
    <w:rsid w:val="00A75EFF"/>
    <w:rsid w:val="00A770D0"/>
    <w:rsid w:val="00A77346"/>
    <w:rsid w:val="00A80903"/>
    <w:rsid w:val="00A80E9B"/>
    <w:rsid w:val="00A8218D"/>
    <w:rsid w:val="00A847C9"/>
    <w:rsid w:val="00A913A0"/>
    <w:rsid w:val="00A9192A"/>
    <w:rsid w:val="00A9246B"/>
    <w:rsid w:val="00A9322F"/>
    <w:rsid w:val="00A939CB"/>
    <w:rsid w:val="00A9472F"/>
    <w:rsid w:val="00A96DD5"/>
    <w:rsid w:val="00A96EDA"/>
    <w:rsid w:val="00A97384"/>
    <w:rsid w:val="00AA02B5"/>
    <w:rsid w:val="00AA14EC"/>
    <w:rsid w:val="00AA1B14"/>
    <w:rsid w:val="00AA27DF"/>
    <w:rsid w:val="00AA5487"/>
    <w:rsid w:val="00AA5C7B"/>
    <w:rsid w:val="00AA7629"/>
    <w:rsid w:val="00AA7A52"/>
    <w:rsid w:val="00AB1400"/>
    <w:rsid w:val="00AB1FA1"/>
    <w:rsid w:val="00AB3139"/>
    <w:rsid w:val="00AB4FCC"/>
    <w:rsid w:val="00AB674B"/>
    <w:rsid w:val="00AC0022"/>
    <w:rsid w:val="00AC1E59"/>
    <w:rsid w:val="00AC42E3"/>
    <w:rsid w:val="00AC5C50"/>
    <w:rsid w:val="00AC6EAD"/>
    <w:rsid w:val="00AD0172"/>
    <w:rsid w:val="00AD2E4E"/>
    <w:rsid w:val="00AD4E57"/>
    <w:rsid w:val="00AD71B2"/>
    <w:rsid w:val="00AD7519"/>
    <w:rsid w:val="00AE1C2F"/>
    <w:rsid w:val="00AE2348"/>
    <w:rsid w:val="00AE343F"/>
    <w:rsid w:val="00AE6241"/>
    <w:rsid w:val="00AE7FFD"/>
    <w:rsid w:val="00AF086F"/>
    <w:rsid w:val="00AF1655"/>
    <w:rsid w:val="00AF3A14"/>
    <w:rsid w:val="00AF3C37"/>
    <w:rsid w:val="00AF3DBB"/>
    <w:rsid w:val="00AF5CEB"/>
    <w:rsid w:val="00AF5E0B"/>
    <w:rsid w:val="00AF7A43"/>
    <w:rsid w:val="00B00D39"/>
    <w:rsid w:val="00B015F8"/>
    <w:rsid w:val="00B01C3E"/>
    <w:rsid w:val="00B03DC7"/>
    <w:rsid w:val="00B04577"/>
    <w:rsid w:val="00B05484"/>
    <w:rsid w:val="00B058BB"/>
    <w:rsid w:val="00B06B84"/>
    <w:rsid w:val="00B07057"/>
    <w:rsid w:val="00B114E0"/>
    <w:rsid w:val="00B117FF"/>
    <w:rsid w:val="00B122B1"/>
    <w:rsid w:val="00B13041"/>
    <w:rsid w:val="00B132DD"/>
    <w:rsid w:val="00B14EC4"/>
    <w:rsid w:val="00B15002"/>
    <w:rsid w:val="00B15BD1"/>
    <w:rsid w:val="00B16B19"/>
    <w:rsid w:val="00B1784F"/>
    <w:rsid w:val="00B20CA2"/>
    <w:rsid w:val="00B20E60"/>
    <w:rsid w:val="00B21BEB"/>
    <w:rsid w:val="00B232BF"/>
    <w:rsid w:val="00B24E2A"/>
    <w:rsid w:val="00B257CD"/>
    <w:rsid w:val="00B27731"/>
    <w:rsid w:val="00B31359"/>
    <w:rsid w:val="00B31367"/>
    <w:rsid w:val="00B31485"/>
    <w:rsid w:val="00B32448"/>
    <w:rsid w:val="00B326B0"/>
    <w:rsid w:val="00B35DF0"/>
    <w:rsid w:val="00B37FFA"/>
    <w:rsid w:val="00B42C2A"/>
    <w:rsid w:val="00B441C9"/>
    <w:rsid w:val="00B4486D"/>
    <w:rsid w:val="00B45192"/>
    <w:rsid w:val="00B47118"/>
    <w:rsid w:val="00B5030F"/>
    <w:rsid w:val="00B504F6"/>
    <w:rsid w:val="00B51217"/>
    <w:rsid w:val="00B54BE8"/>
    <w:rsid w:val="00B60D2C"/>
    <w:rsid w:val="00B617D6"/>
    <w:rsid w:val="00B61E78"/>
    <w:rsid w:val="00B62FE9"/>
    <w:rsid w:val="00B64FEA"/>
    <w:rsid w:val="00B650D4"/>
    <w:rsid w:val="00B65C17"/>
    <w:rsid w:val="00B73D7F"/>
    <w:rsid w:val="00B74262"/>
    <w:rsid w:val="00B744B1"/>
    <w:rsid w:val="00B7609B"/>
    <w:rsid w:val="00B77F9F"/>
    <w:rsid w:val="00B80451"/>
    <w:rsid w:val="00B81ED0"/>
    <w:rsid w:val="00B83E77"/>
    <w:rsid w:val="00B849B0"/>
    <w:rsid w:val="00B86031"/>
    <w:rsid w:val="00B86D4A"/>
    <w:rsid w:val="00B928BD"/>
    <w:rsid w:val="00B95DB3"/>
    <w:rsid w:val="00B96737"/>
    <w:rsid w:val="00B970AD"/>
    <w:rsid w:val="00BA16E5"/>
    <w:rsid w:val="00BA4484"/>
    <w:rsid w:val="00BA4A69"/>
    <w:rsid w:val="00BA4BE5"/>
    <w:rsid w:val="00BA526D"/>
    <w:rsid w:val="00BB039A"/>
    <w:rsid w:val="00BB29EE"/>
    <w:rsid w:val="00BB69BE"/>
    <w:rsid w:val="00BB7B8E"/>
    <w:rsid w:val="00BC0055"/>
    <w:rsid w:val="00BC01E0"/>
    <w:rsid w:val="00BC0295"/>
    <w:rsid w:val="00BC073E"/>
    <w:rsid w:val="00BC1392"/>
    <w:rsid w:val="00BC2B4D"/>
    <w:rsid w:val="00BC2D74"/>
    <w:rsid w:val="00BC5396"/>
    <w:rsid w:val="00BD0204"/>
    <w:rsid w:val="00BD05B6"/>
    <w:rsid w:val="00BD068D"/>
    <w:rsid w:val="00BD0804"/>
    <w:rsid w:val="00BD2674"/>
    <w:rsid w:val="00BD5A0B"/>
    <w:rsid w:val="00BD5CD6"/>
    <w:rsid w:val="00BD5DF3"/>
    <w:rsid w:val="00BD6DF5"/>
    <w:rsid w:val="00BD7F5C"/>
    <w:rsid w:val="00BE014D"/>
    <w:rsid w:val="00BE017E"/>
    <w:rsid w:val="00BE07A4"/>
    <w:rsid w:val="00BE2108"/>
    <w:rsid w:val="00BE3120"/>
    <w:rsid w:val="00BE5462"/>
    <w:rsid w:val="00BE5EA5"/>
    <w:rsid w:val="00BE73FC"/>
    <w:rsid w:val="00BF0D7C"/>
    <w:rsid w:val="00BF17B1"/>
    <w:rsid w:val="00BF2911"/>
    <w:rsid w:val="00BF380C"/>
    <w:rsid w:val="00BF5E67"/>
    <w:rsid w:val="00BF6FFA"/>
    <w:rsid w:val="00BF78AD"/>
    <w:rsid w:val="00C00252"/>
    <w:rsid w:val="00C01C16"/>
    <w:rsid w:val="00C030E6"/>
    <w:rsid w:val="00C053FE"/>
    <w:rsid w:val="00C05C2B"/>
    <w:rsid w:val="00C069EF"/>
    <w:rsid w:val="00C13411"/>
    <w:rsid w:val="00C147B9"/>
    <w:rsid w:val="00C14BA1"/>
    <w:rsid w:val="00C17466"/>
    <w:rsid w:val="00C216E6"/>
    <w:rsid w:val="00C21AA2"/>
    <w:rsid w:val="00C2245C"/>
    <w:rsid w:val="00C22C04"/>
    <w:rsid w:val="00C243B4"/>
    <w:rsid w:val="00C246C2"/>
    <w:rsid w:val="00C25737"/>
    <w:rsid w:val="00C25BEA"/>
    <w:rsid w:val="00C2738E"/>
    <w:rsid w:val="00C27F79"/>
    <w:rsid w:val="00C32B87"/>
    <w:rsid w:val="00C33E8C"/>
    <w:rsid w:val="00C37C0D"/>
    <w:rsid w:val="00C37E0D"/>
    <w:rsid w:val="00C40046"/>
    <w:rsid w:val="00C450BB"/>
    <w:rsid w:val="00C50018"/>
    <w:rsid w:val="00C50AA8"/>
    <w:rsid w:val="00C52762"/>
    <w:rsid w:val="00C53014"/>
    <w:rsid w:val="00C57FEF"/>
    <w:rsid w:val="00C6185B"/>
    <w:rsid w:val="00C6192E"/>
    <w:rsid w:val="00C62E8B"/>
    <w:rsid w:val="00C644FF"/>
    <w:rsid w:val="00C653C2"/>
    <w:rsid w:val="00C670E3"/>
    <w:rsid w:val="00C671D8"/>
    <w:rsid w:val="00C72864"/>
    <w:rsid w:val="00C73890"/>
    <w:rsid w:val="00C74315"/>
    <w:rsid w:val="00C751A0"/>
    <w:rsid w:val="00C772BA"/>
    <w:rsid w:val="00C77458"/>
    <w:rsid w:val="00C77D9D"/>
    <w:rsid w:val="00C81817"/>
    <w:rsid w:val="00C81968"/>
    <w:rsid w:val="00C862A7"/>
    <w:rsid w:val="00C86398"/>
    <w:rsid w:val="00C87BBD"/>
    <w:rsid w:val="00C87D66"/>
    <w:rsid w:val="00C907B0"/>
    <w:rsid w:val="00C90F98"/>
    <w:rsid w:val="00C94673"/>
    <w:rsid w:val="00C947E2"/>
    <w:rsid w:val="00C969DA"/>
    <w:rsid w:val="00CA034B"/>
    <w:rsid w:val="00CA06A5"/>
    <w:rsid w:val="00CA0FFF"/>
    <w:rsid w:val="00CA139C"/>
    <w:rsid w:val="00CA1A82"/>
    <w:rsid w:val="00CA2D30"/>
    <w:rsid w:val="00CA3B61"/>
    <w:rsid w:val="00CA50F7"/>
    <w:rsid w:val="00CA6821"/>
    <w:rsid w:val="00CA7281"/>
    <w:rsid w:val="00CB0520"/>
    <w:rsid w:val="00CB0544"/>
    <w:rsid w:val="00CB0763"/>
    <w:rsid w:val="00CB0A64"/>
    <w:rsid w:val="00CB10DA"/>
    <w:rsid w:val="00CB2049"/>
    <w:rsid w:val="00CB36C7"/>
    <w:rsid w:val="00CB5651"/>
    <w:rsid w:val="00CB6C2F"/>
    <w:rsid w:val="00CC08D7"/>
    <w:rsid w:val="00CC10BD"/>
    <w:rsid w:val="00CC3E2D"/>
    <w:rsid w:val="00CC590D"/>
    <w:rsid w:val="00CC65D6"/>
    <w:rsid w:val="00CC7B12"/>
    <w:rsid w:val="00CD1C79"/>
    <w:rsid w:val="00CD2D57"/>
    <w:rsid w:val="00CD3640"/>
    <w:rsid w:val="00CD6542"/>
    <w:rsid w:val="00CE2AB7"/>
    <w:rsid w:val="00CE2B1C"/>
    <w:rsid w:val="00CE63B0"/>
    <w:rsid w:val="00CE6664"/>
    <w:rsid w:val="00CE71DD"/>
    <w:rsid w:val="00CE73EB"/>
    <w:rsid w:val="00CF2EDC"/>
    <w:rsid w:val="00CF370A"/>
    <w:rsid w:val="00CF4D8E"/>
    <w:rsid w:val="00D022CA"/>
    <w:rsid w:val="00D026EE"/>
    <w:rsid w:val="00D03124"/>
    <w:rsid w:val="00D04BAF"/>
    <w:rsid w:val="00D07CB4"/>
    <w:rsid w:val="00D07E48"/>
    <w:rsid w:val="00D10F07"/>
    <w:rsid w:val="00D12303"/>
    <w:rsid w:val="00D12C2A"/>
    <w:rsid w:val="00D16EBE"/>
    <w:rsid w:val="00D20FE7"/>
    <w:rsid w:val="00D30AD9"/>
    <w:rsid w:val="00D34212"/>
    <w:rsid w:val="00D3543E"/>
    <w:rsid w:val="00D376CB"/>
    <w:rsid w:val="00D412BF"/>
    <w:rsid w:val="00D42EA7"/>
    <w:rsid w:val="00D43D37"/>
    <w:rsid w:val="00D44FCA"/>
    <w:rsid w:val="00D464D0"/>
    <w:rsid w:val="00D46587"/>
    <w:rsid w:val="00D47671"/>
    <w:rsid w:val="00D52E26"/>
    <w:rsid w:val="00D52F2E"/>
    <w:rsid w:val="00D56A3E"/>
    <w:rsid w:val="00D56AD2"/>
    <w:rsid w:val="00D57395"/>
    <w:rsid w:val="00D57B22"/>
    <w:rsid w:val="00D60464"/>
    <w:rsid w:val="00D60D4F"/>
    <w:rsid w:val="00D635C0"/>
    <w:rsid w:val="00D6740E"/>
    <w:rsid w:val="00D67AE3"/>
    <w:rsid w:val="00D70418"/>
    <w:rsid w:val="00D72064"/>
    <w:rsid w:val="00D75B0B"/>
    <w:rsid w:val="00D763D7"/>
    <w:rsid w:val="00D76A89"/>
    <w:rsid w:val="00D823EB"/>
    <w:rsid w:val="00D82BAB"/>
    <w:rsid w:val="00D82E57"/>
    <w:rsid w:val="00D871EA"/>
    <w:rsid w:val="00D87C57"/>
    <w:rsid w:val="00D87DD2"/>
    <w:rsid w:val="00D9026F"/>
    <w:rsid w:val="00D904B6"/>
    <w:rsid w:val="00D91375"/>
    <w:rsid w:val="00D93D49"/>
    <w:rsid w:val="00D93DC6"/>
    <w:rsid w:val="00D94BEC"/>
    <w:rsid w:val="00D955E3"/>
    <w:rsid w:val="00D970BA"/>
    <w:rsid w:val="00DA079B"/>
    <w:rsid w:val="00DA5DDF"/>
    <w:rsid w:val="00DB045E"/>
    <w:rsid w:val="00DB055C"/>
    <w:rsid w:val="00DB21B4"/>
    <w:rsid w:val="00DB41CA"/>
    <w:rsid w:val="00DB4B63"/>
    <w:rsid w:val="00DB5599"/>
    <w:rsid w:val="00DB6186"/>
    <w:rsid w:val="00DB73AF"/>
    <w:rsid w:val="00DB75D3"/>
    <w:rsid w:val="00DC01A6"/>
    <w:rsid w:val="00DC1550"/>
    <w:rsid w:val="00DC1723"/>
    <w:rsid w:val="00DC2DE9"/>
    <w:rsid w:val="00DC3925"/>
    <w:rsid w:val="00DC3A28"/>
    <w:rsid w:val="00DD0F52"/>
    <w:rsid w:val="00DD1174"/>
    <w:rsid w:val="00DD60A7"/>
    <w:rsid w:val="00DD72E7"/>
    <w:rsid w:val="00DD77E4"/>
    <w:rsid w:val="00DD79F1"/>
    <w:rsid w:val="00DD7ABC"/>
    <w:rsid w:val="00DD7BEE"/>
    <w:rsid w:val="00DE054B"/>
    <w:rsid w:val="00DE2787"/>
    <w:rsid w:val="00DE36C2"/>
    <w:rsid w:val="00DE39B3"/>
    <w:rsid w:val="00DE3E91"/>
    <w:rsid w:val="00DE4596"/>
    <w:rsid w:val="00DE60B0"/>
    <w:rsid w:val="00DE7139"/>
    <w:rsid w:val="00DE7A47"/>
    <w:rsid w:val="00DF0006"/>
    <w:rsid w:val="00DF1A7D"/>
    <w:rsid w:val="00DF2CE9"/>
    <w:rsid w:val="00DF6BD7"/>
    <w:rsid w:val="00E000C9"/>
    <w:rsid w:val="00E04725"/>
    <w:rsid w:val="00E05149"/>
    <w:rsid w:val="00E06B3A"/>
    <w:rsid w:val="00E12A8F"/>
    <w:rsid w:val="00E14E7D"/>
    <w:rsid w:val="00E16046"/>
    <w:rsid w:val="00E169B3"/>
    <w:rsid w:val="00E2167F"/>
    <w:rsid w:val="00E21FD7"/>
    <w:rsid w:val="00E220EC"/>
    <w:rsid w:val="00E22E7D"/>
    <w:rsid w:val="00E2542B"/>
    <w:rsid w:val="00E260A0"/>
    <w:rsid w:val="00E26524"/>
    <w:rsid w:val="00E26FF6"/>
    <w:rsid w:val="00E3032E"/>
    <w:rsid w:val="00E30501"/>
    <w:rsid w:val="00E30966"/>
    <w:rsid w:val="00E30E59"/>
    <w:rsid w:val="00E36901"/>
    <w:rsid w:val="00E373DF"/>
    <w:rsid w:val="00E3781C"/>
    <w:rsid w:val="00E40AB6"/>
    <w:rsid w:val="00E42882"/>
    <w:rsid w:val="00E44673"/>
    <w:rsid w:val="00E46D68"/>
    <w:rsid w:val="00E47B8E"/>
    <w:rsid w:val="00E47C26"/>
    <w:rsid w:val="00E52474"/>
    <w:rsid w:val="00E527EF"/>
    <w:rsid w:val="00E534A9"/>
    <w:rsid w:val="00E53E2F"/>
    <w:rsid w:val="00E56868"/>
    <w:rsid w:val="00E576D1"/>
    <w:rsid w:val="00E6123F"/>
    <w:rsid w:val="00E6250E"/>
    <w:rsid w:val="00E63E48"/>
    <w:rsid w:val="00E63F1E"/>
    <w:rsid w:val="00E650CB"/>
    <w:rsid w:val="00E658C5"/>
    <w:rsid w:val="00E65B66"/>
    <w:rsid w:val="00E66335"/>
    <w:rsid w:val="00E665FF"/>
    <w:rsid w:val="00E6731C"/>
    <w:rsid w:val="00E72394"/>
    <w:rsid w:val="00E7326A"/>
    <w:rsid w:val="00E750F4"/>
    <w:rsid w:val="00E754E3"/>
    <w:rsid w:val="00E76438"/>
    <w:rsid w:val="00E76E54"/>
    <w:rsid w:val="00E7790C"/>
    <w:rsid w:val="00E82E79"/>
    <w:rsid w:val="00E84919"/>
    <w:rsid w:val="00E84D76"/>
    <w:rsid w:val="00E86103"/>
    <w:rsid w:val="00E865E8"/>
    <w:rsid w:val="00E87CCA"/>
    <w:rsid w:val="00E92CB1"/>
    <w:rsid w:val="00E93029"/>
    <w:rsid w:val="00E931D9"/>
    <w:rsid w:val="00E933E9"/>
    <w:rsid w:val="00E93B72"/>
    <w:rsid w:val="00E956CE"/>
    <w:rsid w:val="00E96264"/>
    <w:rsid w:val="00EA0931"/>
    <w:rsid w:val="00EA150A"/>
    <w:rsid w:val="00EA37CE"/>
    <w:rsid w:val="00EA4622"/>
    <w:rsid w:val="00EA5122"/>
    <w:rsid w:val="00EA51FA"/>
    <w:rsid w:val="00EA60DE"/>
    <w:rsid w:val="00EB047B"/>
    <w:rsid w:val="00EB0744"/>
    <w:rsid w:val="00EB07AD"/>
    <w:rsid w:val="00EB4244"/>
    <w:rsid w:val="00EB53C9"/>
    <w:rsid w:val="00EB7262"/>
    <w:rsid w:val="00EB73D0"/>
    <w:rsid w:val="00EB7F39"/>
    <w:rsid w:val="00EC08E2"/>
    <w:rsid w:val="00EC2B16"/>
    <w:rsid w:val="00EC3485"/>
    <w:rsid w:val="00EC54DC"/>
    <w:rsid w:val="00EC67F1"/>
    <w:rsid w:val="00ED4EBB"/>
    <w:rsid w:val="00ED52A9"/>
    <w:rsid w:val="00ED532B"/>
    <w:rsid w:val="00ED5646"/>
    <w:rsid w:val="00ED5F0C"/>
    <w:rsid w:val="00EE0A46"/>
    <w:rsid w:val="00EE1D5D"/>
    <w:rsid w:val="00EE28ED"/>
    <w:rsid w:val="00EE4413"/>
    <w:rsid w:val="00EE5298"/>
    <w:rsid w:val="00EE5C1A"/>
    <w:rsid w:val="00EE5EFC"/>
    <w:rsid w:val="00EE61A5"/>
    <w:rsid w:val="00EE6C0C"/>
    <w:rsid w:val="00EE72E1"/>
    <w:rsid w:val="00EE7F7F"/>
    <w:rsid w:val="00EF0ED0"/>
    <w:rsid w:val="00EF5279"/>
    <w:rsid w:val="00EF53C3"/>
    <w:rsid w:val="00EF632F"/>
    <w:rsid w:val="00F01B07"/>
    <w:rsid w:val="00F0501B"/>
    <w:rsid w:val="00F056FA"/>
    <w:rsid w:val="00F07113"/>
    <w:rsid w:val="00F071A9"/>
    <w:rsid w:val="00F07A05"/>
    <w:rsid w:val="00F07C0F"/>
    <w:rsid w:val="00F112E5"/>
    <w:rsid w:val="00F14065"/>
    <w:rsid w:val="00F15252"/>
    <w:rsid w:val="00F175E9"/>
    <w:rsid w:val="00F17BE7"/>
    <w:rsid w:val="00F212C6"/>
    <w:rsid w:val="00F2169D"/>
    <w:rsid w:val="00F21EE9"/>
    <w:rsid w:val="00F2405F"/>
    <w:rsid w:val="00F2502E"/>
    <w:rsid w:val="00F25D5E"/>
    <w:rsid w:val="00F274EC"/>
    <w:rsid w:val="00F302DF"/>
    <w:rsid w:val="00F3071C"/>
    <w:rsid w:val="00F331FD"/>
    <w:rsid w:val="00F37827"/>
    <w:rsid w:val="00F419B4"/>
    <w:rsid w:val="00F43757"/>
    <w:rsid w:val="00F44276"/>
    <w:rsid w:val="00F4524B"/>
    <w:rsid w:val="00F46751"/>
    <w:rsid w:val="00F474BC"/>
    <w:rsid w:val="00F47D5F"/>
    <w:rsid w:val="00F50257"/>
    <w:rsid w:val="00F52B96"/>
    <w:rsid w:val="00F538CC"/>
    <w:rsid w:val="00F5407A"/>
    <w:rsid w:val="00F5442F"/>
    <w:rsid w:val="00F54FC6"/>
    <w:rsid w:val="00F55F18"/>
    <w:rsid w:val="00F57624"/>
    <w:rsid w:val="00F57C15"/>
    <w:rsid w:val="00F60662"/>
    <w:rsid w:val="00F614BA"/>
    <w:rsid w:val="00F61A46"/>
    <w:rsid w:val="00F622A3"/>
    <w:rsid w:val="00F622DF"/>
    <w:rsid w:val="00F62CB0"/>
    <w:rsid w:val="00F658AD"/>
    <w:rsid w:val="00F66A94"/>
    <w:rsid w:val="00F67687"/>
    <w:rsid w:val="00F70963"/>
    <w:rsid w:val="00F70FB8"/>
    <w:rsid w:val="00F732E0"/>
    <w:rsid w:val="00F74142"/>
    <w:rsid w:val="00F83301"/>
    <w:rsid w:val="00F87704"/>
    <w:rsid w:val="00F93328"/>
    <w:rsid w:val="00F9754F"/>
    <w:rsid w:val="00FA063F"/>
    <w:rsid w:val="00FA0C16"/>
    <w:rsid w:val="00FA256F"/>
    <w:rsid w:val="00FA3081"/>
    <w:rsid w:val="00FB0835"/>
    <w:rsid w:val="00FB2884"/>
    <w:rsid w:val="00FB2E58"/>
    <w:rsid w:val="00FB34F4"/>
    <w:rsid w:val="00FB3B7D"/>
    <w:rsid w:val="00FB49C8"/>
    <w:rsid w:val="00FC13AF"/>
    <w:rsid w:val="00FC2F4C"/>
    <w:rsid w:val="00FC521C"/>
    <w:rsid w:val="00FC5C2F"/>
    <w:rsid w:val="00FC5DB0"/>
    <w:rsid w:val="00FC71BD"/>
    <w:rsid w:val="00FC7296"/>
    <w:rsid w:val="00FC74B4"/>
    <w:rsid w:val="00FD46D3"/>
    <w:rsid w:val="00FD5079"/>
    <w:rsid w:val="00FD52A0"/>
    <w:rsid w:val="00FD6824"/>
    <w:rsid w:val="00FD6FDC"/>
    <w:rsid w:val="00FD7786"/>
    <w:rsid w:val="00FE1C79"/>
    <w:rsid w:val="00FE51D1"/>
    <w:rsid w:val="00FF1865"/>
    <w:rsid w:val="00FF1C9D"/>
    <w:rsid w:val="00FF267D"/>
    <w:rsid w:val="00FF3C1D"/>
    <w:rsid w:val="00FF3EB0"/>
    <w:rsid w:val="00FF3EC2"/>
    <w:rsid w:val="00FF49C7"/>
    <w:rsid w:val="00FF6371"/>
    <w:rsid w:val="00FF6FBC"/>
    <w:rsid w:val="00FF725F"/>
    <w:rsid w:val="00FF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101AB"/>
  <w15:docId w15:val="{6E1323CB-BFBA-42E4-A62E-8DEA6DB2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335"/>
    <w:pPr>
      <w:jc w:val="both"/>
    </w:pPr>
    <w:rPr>
      <w:sz w:val="24"/>
      <w:lang w:val="en-US"/>
    </w:rPr>
  </w:style>
  <w:style w:type="paragraph" w:styleId="Ttulo1">
    <w:name w:val="heading 1"/>
    <w:basedOn w:val="Normal"/>
    <w:next w:val="Normal"/>
    <w:link w:val="Ttulo1Car"/>
    <w:uiPriority w:val="9"/>
    <w:qFormat/>
    <w:rsid w:val="004A30CD"/>
    <w:pPr>
      <w:keepNext/>
      <w:keepLines/>
      <w:spacing w:before="120" w:after="12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4A30CD"/>
    <w:pPr>
      <w:keepNext/>
      <w:keepLines/>
      <w:spacing w:before="160" w:after="120"/>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C030E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030E6"/>
    <w:rPr>
      <w:sz w:val="20"/>
      <w:szCs w:val="20"/>
      <w:lang w:val="en"/>
    </w:rPr>
  </w:style>
  <w:style w:type="character" w:styleId="Refdenotaalpie">
    <w:name w:val="footnote reference"/>
    <w:basedOn w:val="Fuentedeprrafopredeter"/>
    <w:uiPriority w:val="99"/>
    <w:semiHidden/>
    <w:unhideWhenUsed/>
    <w:rsid w:val="00C030E6"/>
    <w:rPr>
      <w:vertAlign w:val="superscript"/>
    </w:rPr>
  </w:style>
  <w:style w:type="character" w:styleId="Nmerodelnea">
    <w:name w:val="line number"/>
    <w:basedOn w:val="Fuentedeprrafopredeter"/>
    <w:uiPriority w:val="99"/>
    <w:semiHidden/>
    <w:unhideWhenUsed/>
    <w:rsid w:val="008E4EDD"/>
  </w:style>
  <w:style w:type="paragraph" w:styleId="Encabezado">
    <w:name w:val="header"/>
    <w:basedOn w:val="Normal"/>
    <w:link w:val="EncabezadoCar"/>
    <w:uiPriority w:val="99"/>
    <w:unhideWhenUsed/>
    <w:rsid w:val="00B74262"/>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74262"/>
    <w:rPr>
      <w:lang w:val="en"/>
    </w:rPr>
  </w:style>
  <w:style w:type="paragraph" w:styleId="Piedepgina">
    <w:name w:val="footer"/>
    <w:basedOn w:val="Normal"/>
    <w:link w:val="PiedepginaCar"/>
    <w:uiPriority w:val="99"/>
    <w:unhideWhenUsed/>
    <w:rsid w:val="00B74262"/>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74262"/>
    <w:rPr>
      <w:lang w:val="en"/>
    </w:rPr>
  </w:style>
  <w:style w:type="character" w:styleId="Refdecomentario">
    <w:name w:val="annotation reference"/>
    <w:basedOn w:val="Fuentedeprrafopredeter"/>
    <w:uiPriority w:val="99"/>
    <w:semiHidden/>
    <w:unhideWhenUsed/>
    <w:rsid w:val="00BA16E5"/>
    <w:rPr>
      <w:sz w:val="16"/>
      <w:szCs w:val="16"/>
    </w:rPr>
  </w:style>
  <w:style w:type="paragraph" w:styleId="Textocomentario">
    <w:name w:val="annotation text"/>
    <w:basedOn w:val="Normal"/>
    <w:link w:val="TextocomentarioCar"/>
    <w:uiPriority w:val="99"/>
    <w:unhideWhenUsed/>
    <w:rsid w:val="00BA16E5"/>
    <w:pPr>
      <w:spacing w:line="240" w:lineRule="auto"/>
    </w:pPr>
    <w:rPr>
      <w:sz w:val="20"/>
      <w:szCs w:val="20"/>
    </w:rPr>
  </w:style>
  <w:style w:type="character" w:customStyle="1" w:styleId="TextocomentarioCar">
    <w:name w:val="Texto comentario Car"/>
    <w:basedOn w:val="Fuentedeprrafopredeter"/>
    <w:link w:val="Textocomentario"/>
    <w:uiPriority w:val="99"/>
    <w:rsid w:val="00BA16E5"/>
    <w:rPr>
      <w:sz w:val="20"/>
      <w:szCs w:val="20"/>
      <w:lang w:val="en"/>
    </w:rPr>
  </w:style>
  <w:style w:type="paragraph" w:styleId="Asuntodelcomentario">
    <w:name w:val="annotation subject"/>
    <w:basedOn w:val="Textocomentario"/>
    <w:next w:val="Textocomentario"/>
    <w:link w:val="AsuntodelcomentarioCar"/>
    <w:uiPriority w:val="99"/>
    <w:semiHidden/>
    <w:unhideWhenUsed/>
    <w:rsid w:val="00BA16E5"/>
    <w:rPr>
      <w:b/>
      <w:bCs/>
    </w:rPr>
  </w:style>
  <w:style w:type="character" w:customStyle="1" w:styleId="AsuntodelcomentarioCar">
    <w:name w:val="Asunto del comentario Car"/>
    <w:basedOn w:val="TextocomentarioCar"/>
    <w:link w:val="Asuntodelcomentario"/>
    <w:uiPriority w:val="99"/>
    <w:semiHidden/>
    <w:rsid w:val="00BA16E5"/>
    <w:rPr>
      <w:b/>
      <w:bCs/>
      <w:sz w:val="20"/>
      <w:szCs w:val="20"/>
      <w:lang w:val="en"/>
    </w:rPr>
  </w:style>
  <w:style w:type="paragraph" w:styleId="Textodeglobo">
    <w:name w:val="Balloon Text"/>
    <w:basedOn w:val="Normal"/>
    <w:link w:val="TextodegloboCar"/>
    <w:uiPriority w:val="99"/>
    <w:semiHidden/>
    <w:unhideWhenUsed/>
    <w:rsid w:val="00BA16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16E5"/>
    <w:rPr>
      <w:rFonts w:ascii="Segoe UI" w:hAnsi="Segoe UI" w:cs="Segoe UI"/>
      <w:sz w:val="18"/>
      <w:szCs w:val="18"/>
      <w:lang w:val="en"/>
    </w:rPr>
  </w:style>
  <w:style w:type="table" w:styleId="Tablaconcuadrcula">
    <w:name w:val="Table Grid"/>
    <w:basedOn w:val="Tablanormal"/>
    <w:uiPriority w:val="39"/>
    <w:rsid w:val="00C61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744B1"/>
    <w:pPr>
      <w:spacing w:before="100" w:beforeAutospacing="1" w:after="100" w:afterAutospacing="1" w:line="240" w:lineRule="auto"/>
    </w:pPr>
    <w:rPr>
      <w:rFonts w:ascii="Times New Roman" w:eastAsiaTheme="minorEastAsia" w:hAnsi="Times New Roman" w:cs="Times New Roman"/>
      <w:szCs w:val="24"/>
      <w:lang w:eastAsia="es-CO"/>
    </w:rPr>
  </w:style>
  <w:style w:type="paragraph" w:styleId="Descripcin">
    <w:name w:val="caption"/>
    <w:basedOn w:val="Normal"/>
    <w:next w:val="Normal"/>
    <w:uiPriority w:val="35"/>
    <w:unhideWhenUsed/>
    <w:rsid w:val="00B744B1"/>
    <w:pPr>
      <w:spacing w:after="200" w:line="240" w:lineRule="auto"/>
    </w:pPr>
    <w:rPr>
      <w:i/>
      <w:iCs/>
      <w:color w:val="44546A" w:themeColor="text2"/>
      <w:sz w:val="18"/>
      <w:szCs w:val="18"/>
    </w:rPr>
  </w:style>
  <w:style w:type="paragraph" w:styleId="Prrafodelista">
    <w:name w:val="List Paragraph"/>
    <w:basedOn w:val="Normal"/>
    <w:uiPriority w:val="34"/>
    <w:qFormat/>
    <w:rsid w:val="00EA60DE"/>
    <w:pPr>
      <w:ind w:left="720"/>
      <w:contextualSpacing/>
    </w:pPr>
  </w:style>
  <w:style w:type="character" w:styleId="Hipervnculo">
    <w:name w:val="Hyperlink"/>
    <w:basedOn w:val="Fuentedeprrafopredeter"/>
    <w:uiPriority w:val="99"/>
    <w:unhideWhenUsed/>
    <w:rsid w:val="00072864"/>
    <w:rPr>
      <w:color w:val="0563C1" w:themeColor="hyperlink"/>
      <w:u w:val="single"/>
    </w:rPr>
  </w:style>
  <w:style w:type="character" w:styleId="Hipervnculovisitado">
    <w:name w:val="FollowedHyperlink"/>
    <w:basedOn w:val="Fuentedeprrafopredeter"/>
    <w:uiPriority w:val="99"/>
    <w:semiHidden/>
    <w:unhideWhenUsed/>
    <w:rsid w:val="00072864"/>
    <w:rPr>
      <w:color w:val="954F72" w:themeColor="followedHyperlink"/>
      <w:u w:val="single"/>
    </w:rPr>
  </w:style>
  <w:style w:type="paragraph" w:styleId="Sinespaciado">
    <w:name w:val="No Spacing"/>
    <w:uiPriority w:val="1"/>
    <w:qFormat/>
    <w:rsid w:val="00E65B66"/>
    <w:pPr>
      <w:spacing w:after="0" w:line="240" w:lineRule="auto"/>
    </w:pPr>
  </w:style>
  <w:style w:type="paragraph" w:styleId="Revisin">
    <w:name w:val="Revision"/>
    <w:hidden/>
    <w:uiPriority w:val="99"/>
    <w:semiHidden/>
    <w:rsid w:val="00C246C2"/>
    <w:pPr>
      <w:spacing w:after="0" w:line="240" w:lineRule="auto"/>
    </w:pPr>
  </w:style>
  <w:style w:type="character" w:customStyle="1" w:styleId="Ttulo1Car">
    <w:name w:val="Título 1 Car"/>
    <w:basedOn w:val="Fuentedeprrafopredeter"/>
    <w:link w:val="Ttulo1"/>
    <w:uiPriority w:val="9"/>
    <w:rsid w:val="004A30CD"/>
    <w:rPr>
      <w:rFonts w:eastAsiaTheme="majorEastAsia" w:cstheme="majorBidi"/>
      <w:b/>
      <w:sz w:val="24"/>
      <w:szCs w:val="32"/>
      <w:lang w:val="en"/>
    </w:rPr>
  </w:style>
  <w:style w:type="character" w:customStyle="1" w:styleId="Ttulo2Car">
    <w:name w:val="Título 2 Car"/>
    <w:basedOn w:val="Fuentedeprrafopredeter"/>
    <w:link w:val="Ttulo2"/>
    <w:uiPriority w:val="9"/>
    <w:rsid w:val="004A30CD"/>
    <w:rPr>
      <w:rFonts w:eastAsiaTheme="majorEastAsia" w:cstheme="majorBidi"/>
      <w:b/>
      <w:sz w:val="24"/>
      <w:szCs w:val="26"/>
      <w:lang w:val="en"/>
    </w:rPr>
  </w:style>
  <w:style w:type="character" w:styleId="nfasissutil">
    <w:name w:val="Subtle Emphasis"/>
    <w:basedOn w:val="Referenciasutil"/>
    <w:uiPriority w:val="19"/>
    <w:qFormat/>
    <w:rsid w:val="004A30CD"/>
    <w:rPr>
      <w:rFonts w:asciiTheme="minorHAnsi" w:hAnsiTheme="minorHAnsi"/>
      <w:i/>
      <w:iCs/>
      <w:smallCaps/>
      <w:color w:val="auto"/>
      <w:sz w:val="24"/>
    </w:rPr>
  </w:style>
  <w:style w:type="paragraph" w:styleId="Cita">
    <w:name w:val="Quote"/>
    <w:basedOn w:val="Normal"/>
    <w:next w:val="Normal"/>
    <w:link w:val="CitaCar"/>
    <w:uiPriority w:val="29"/>
    <w:qFormat/>
    <w:rsid w:val="004A30CD"/>
    <w:pPr>
      <w:spacing w:before="80" w:after="40"/>
      <w:ind w:left="720" w:right="864"/>
    </w:pPr>
    <w:rPr>
      <w:i/>
      <w:iCs/>
    </w:rPr>
  </w:style>
  <w:style w:type="character" w:styleId="Referenciasutil">
    <w:name w:val="Subtle Reference"/>
    <w:basedOn w:val="Fuentedeprrafopredeter"/>
    <w:uiPriority w:val="31"/>
    <w:qFormat/>
    <w:rsid w:val="004A30CD"/>
    <w:rPr>
      <w:smallCaps/>
      <w:color w:val="5A5A5A" w:themeColor="text1" w:themeTint="A5"/>
    </w:rPr>
  </w:style>
  <w:style w:type="character" w:customStyle="1" w:styleId="CitaCar">
    <w:name w:val="Cita Car"/>
    <w:basedOn w:val="Fuentedeprrafopredeter"/>
    <w:link w:val="Cita"/>
    <w:uiPriority w:val="29"/>
    <w:rsid w:val="004A30CD"/>
    <w:rPr>
      <w:i/>
      <w:iCs/>
      <w:sz w:val="24"/>
      <w:lang w:val="en"/>
    </w:rPr>
  </w:style>
  <w:style w:type="character" w:styleId="Textoennegrita">
    <w:name w:val="Strong"/>
    <w:basedOn w:val="Fuentedeprrafopredeter"/>
    <w:uiPriority w:val="22"/>
    <w:qFormat/>
    <w:rsid w:val="00533905"/>
    <w:rPr>
      <w:b/>
      <w:bCs/>
    </w:rPr>
  </w:style>
  <w:style w:type="character" w:customStyle="1" w:styleId="Mencinsinresolver1">
    <w:name w:val="Mención sin resolver1"/>
    <w:basedOn w:val="Fuentedeprrafopredeter"/>
    <w:uiPriority w:val="99"/>
    <w:semiHidden/>
    <w:unhideWhenUsed/>
    <w:rsid w:val="001F521D"/>
    <w:rPr>
      <w:color w:val="605E5C"/>
      <w:shd w:val="clear" w:color="auto" w:fill="E1DFDD"/>
    </w:rPr>
  </w:style>
  <w:style w:type="character" w:styleId="Nmerodepgina">
    <w:name w:val="page number"/>
    <w:basedOn w:val="Fuentedeprrafopredeter"/>
    <w:uiPriority w:val="99"/>
    <w:semiHidden/>
    <w:unhideWhenUsed/>
    <w:rsid w:val="009D23B0"/>
  </w:style>
  <w:style w:type="table" w:styleId="Tabladecuadrcula5oscura-nfasis5">
    <w:name w:val="Grid Table 5 Dark Accent 5"/>
    <w:basedOn w:val="Tablanormal"/>
    <w:uiPriority w:val="50"/>
    <w:rsid w:val="00DD60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4-nfasis1">
    <w:name w:val="Grid Table 4 Accent 1"/>
    <w:basedOn w:val="Tablanormal"/>
    <w:uiPriority w:val="49"/>
    <w:rsid w:val="00DD60A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2-nfasis1">
    <w:name w:val="Grid Table 2 Accent 1"/>
    <w:basedOn w:val="Tablanormal"/>
    <w:uiPriority w:val="47"/>
    <w:rsid w:val="00FC5C2F"/>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10903">
      <w:bodyDiv w:val="1"/>
      <w:marLeft w:val="0"/>
      <w:marRight w:val="0"/>
      <w:marTop w:val="0"/>
      <w:marBottom w:val="0"/>
      <w:divBdr>
        <w:top w:val="none" w:sz="0" w:space="0" w:color="auto"/>
        <w:left w:val="none" w:sz="0" w:space="0" w:color="auto"/>
        <w:bottom w:val="none" w:sz="0" w:space="0" w:color="auto"/>
        <w:right w:val="none" w:sz="0" w:space="0" w:color="auto"/>
      </w:divBdr>
      <w:divsChild>
        <w:div w:id="1740667406">
          <w:marLeft w:val="0"/>
          <w:marRight w:val="0"/>
          <w:marTop w:val="0"/>
          <w:marBottom w:val="240"/>
          <w:divBdr>
            <w:top w:val="none" w:sz="0" w:space="0" w:color="auto"/>
            <w:left w:val="none" w:sz="0" w:space="0" w:color="auto"/>
            <w:bottom w:val="none" w:sz="0" w:space="0" w:color="auto"/>
            <w:right w:val="none" w:sz="0" w:space="0" w:color="auto"/>
          </w:divBdr>
        </w:div>
        <w:div w:id="307707670">
          <w:marLeft w:val="0"/>
          <w:marRight w:val="0"/>
          <w:marTop w:val="0"/>
          <w:marBottom w:val="240"/>
          <w:divBdr>
            <w:top w:val="none" w:sz="0" w:space="0" w:color="auto"/>
            <w:left w:val="none" w:sz="0" w:space="0" w:color="auto"/>
            <w:bottom w:val="none" w:sz="0" w:space="0" w:color="auto"/>
            <w:right w:val="none" w:sz="0" w:space="0" w:color="auto"/>
          </w:divBdr>
        </w:div>
        <w:div w:id="1155101431">
          <w:marLeft w:val="0"/>
          <w:marRight w:val="0"/>
          <w:marTop w:val="0"/>
          <w:marBottom w:val="0"/>
          <w:divBdr>
            <w:top w:val="none" w:sz="0" w:space="0" w:color="auto"/>
            <w:left w:val="none" w:sz="0" w:space="0" w:color="auto"/>
            <w:bottom w:val="none" w:sz="0" w:space="0" w:color="auto"/>
            <w:right w:val="none" w:sz="0" w:space="0" w:color="auto"/>
          </w:divBdr>
        </w:div>
      </w:divsChild>
    </w:div>
    <w:div w:id="155193734">
      <w:bodyDiv w:val="1"/>
      <w:marLeft w:val="0"/>
      <w:marRight w:val="0"/>
      <w:marTop w:val="0"/>
      <w:marBottom w:val="0"/>
      <w:divBdr>
        <w:top w:val="none" w:sz="0" w:space="0" w:color="auto"/>
        <w:left w:val="none" w:sz="0" w:space="0" w:color="auto"/>
        <w:bottom w:val="none" w:sz="0" w:space="0" w:color="auto"/>
        <w:right w:val="none" w:sz="0" w:space="0" w:color="auto"/>
      </w:divBdr>
      <w:divsChild>
        <w:div w:id="165948253">
          <w:marLeft w:val="0"/>
          <w:marRight w:val="0"/>
          <w:marTop w:val="0"/>
          <w:marBottom w:val="240"/>
          <w:divBdr>
            <w:top w:val="none" w:sz="0" w:space="0" w:color="auto"/>
            <w:left w:val="none" w:sz="0" w:space="0" w:color="auto"/>
            <w:bottom w:val="none" w:sz="0" w:space="0" w:color="auto"/>
            <w:right w:val="none" w:sz="0" w:space="0" w:color="auto"/>
          </w:divBdr>
        </w:div>
        <w:div w:id="424963097">
          <w:marLeft w:val="0"/>
          <w:marRight w:val="0"/>
          <w:marTop w:val="0"/>
          <w:marBottom w:val="240"/>
          <w:divBdr>
            <w:top w:val="none" w:sz="0" w:space="0" w:color="auto"/>
            <w:left w:val="none" w:sz="0" w:space="0" w:color="auto"/>
            <w:bottom w:val="none" w:sz="0" w:space="0" w:color="auto"/>
            <w:right w:val="none" w:sz="0" w:space="0" w:color="auto"/>
          </w:divBdr>
        </w:div>
        <w:div w:id="760953790">
          <w:marLeft w:val="0"/>
          <w:marRight w:val="0"/>
          <w:marTop w:val="0"/>
          <w:marBottom w:val="240"/>
          <w:divBdr>
            <w:top w:val="none" w:sz="0" w:space="0" w:color="auto"/>
            <w:left w:val="none" w:sz="0" w:space="0" w:color="auto"/>
            <w:bottom w:val="none" w:sz="0" w:space="0" w:color="auto"/>
            <w:right w:val="none" w:sz="0" w:space="0" w:color="auto"/>
          </w:divBdr>
        </w:div>
        <w:div w:id="243102904">
          <w:marLeft w:val="0"/>
          <w:marRight w:val="0"/>
          <w:marTop w:val="0"/>
          <w:marBottom w:val="240"/>
          <w:divBdr>
            <w:top w:val="none" w:sz="0" w:space="0" w:color="auto"/>
            <w:left w:val="none" w:sz="0" w:space="0" w:color="auto"/>
            <w:bottom w:val="none" w:sz="0" w:space="0" w:color="auto"/>
            <w:right w:val="none" w:sz="0" w:space="0" w:color="auto"/>
          </w:divBdr>
        </w:div>
        <w:div w:id="1379087253">
          <w:marLeft w:val="0"/>
          <w:marRight w:val="0"/>
          <w:marTop w:val="0"/>
          <w:marBottom w:val="240"/>
          <w:divBdr>
            <w:top w:val="none" w:sz="0" w:space="0" w:color="auto"/>
            <w:left w:val="none" w:sz="0" w:space="0" w:color="auto"/>
            <w:bottom w:val="none" w:sz="0" w:space="0" w:color="auto"/>
            <w:right w:val="none" w:sz="0" w:space="0" w:color="auto"/>
          </w:divBdr>
        </w:div>
        <w:div w:id="1963682252">
          <w:marLeft w:val="0"/>
          <w:marRight w:val="0"/>
          <w:marTop w:val="0"/>
          <w:marBottom w:val="240"/>
          <w:divBdr>
            <w:top w:val="none" w:sz="0" w:space="0" w:color="auto"/>
            <w:left w:val="none" w:sz="0" w:space="0" w:color="auto"/>
            <w:bottom w:val="none" w:sz="0" w:space="0" w:color="auto"/>
            <w:right w:val="none" w:sz="0" w:space="0" w:color="auto"/>
          </w:divBdr>
        </w:div>
        <w:div w:id="1837917366">
          <w:marLeft w:val="0"/>
          <w:marRight w:val="0"/>
          <w:marTop w:val="0"/>
          <w:marBottom w:val="240"/>
          <w:divBdr>
            <w:top w:val="none" w:sz="0" w:space="0" w:color="auto"/>
            <w:left w:val="none" w:sz="0" w:space="0" w:color="auto"/>
            <w:bottom w:val="none" w:sz="0" w:space="0" w:color="auto"/>
            <w:right w:val="none" w:sz="0" w:space="0" w:color="auto"/>
          </w:divBdr>
        </w:div>
        <w:div w:id="1206723606">
          <w:marLeft w:val="0"/>
          <w:marRight w:val="0"/>
          <w:marTop w:val="0"/>
          <w:marBottom w:val="240"/>
          <w:divBdr>
            <w:top w:val="none" w:sz="0" w:space="0" w:color="auto"/>
            <w:left w:val="none" w:sz="0" w:space="0" w:color="auto"/>
            <w:bottom w:val="none" w:sz="0" w:space="0" w:color="auto"/>
            <w:right w:val="none" w:sz="0" w:space="0" w:color="auto"/>
          </w:divBdr>
        </w:div>
        <w:div w:id="1920558775">
          <w:marLeft w:val="0"/>
          <w:marRight w:val="0"/>
          <w:marTop w:val="0"/>
          <w:marBottom w:val="240"/>
          <w:divBdr>
            <w:top w:val="none" w:sz="0" w:space="0" w:color="auto"/>
            <w:left w:val="none" w:sz="0" w:space="0" w:color="auto"/>
            <w:bottom w:val="none" w:sz="0" w:space="0" w:color="auto"/>
            <w:right w:val="none" w:sz="0" w:space="0" w:color="auto"/>
          </w:divBdr>
        </w:div>
        <w:div w:id="573785622">
          <w:marLeft w:val="0"/>
          <w:marRight w:val="0"/>
          <w:marTop w:val="0"/>
          <w:marBottom w:val="240"/>
          <w:divBdr>
            <w:top w:val="none" w:sz="0" w:space="0" w:color="auto"/>
            <w:left w:val="none" w:sz="0" w:space="0" w:color="auto"/>
            <w:bottom w:val="none" w:sz="0" w:space="0" w:color="auto"/>
            <w:right w:val="none" w:sz="0" w:space="0" w:color="auto"/>
          </w:divBdr>
        </w:div>
        <w:div w:id="1238593209">
          <w:marLeft w:val="0"/>
          <w:marRight w:val="0"/>
          <w:marTop w:val="0"/>
          <w:marBottom w:val="240"/>
          <w:divBdr>
            <w:top w:val="none" w:sz="0" w:space="0" w:color="auto"/>
            <w:left w:val="none" w:sz="0" w:space="0" w:color="auto"/>
            <w:bottom w:val="none" w:sz="0" w:space="0" w:color="auto"/>
            <w:right w:val="none" w:sz="0" w:space="0" w:color="auto"/>
          </w:divBdr>
        </w:div>
        <w:div w:id="1735470897">
          <w:marLeft w:val="0"/>
          <w:marRight w:val="0"/>
          <w:marTop w:val="0"/>
          <w:marBottom w:val="0"/>
          <w:divBdr>
            <w:top w:val="none" w:sz="0" w:space="0" w:color="auto"/>
            <w:left w:val="none" w:sz="0" w:space="0" w:color="auto"/>
            <w:bottom w:val="none" w:sz="0" w:space="0" w:color="auto"/>
            <w:right w:val="none" w:sz="0" w:space="0" w:color="auto"/>
          </w:divBdr>
        </w:div>
      </w:divsChild>
    </w:div>
    <w:div w:id="197814269">
      <w:bodyDiv w:val="1"/>
      <w:marLeft w:val="0"/>
      <w:marRight w:val="0"/>
      <w:marTop w:val="0"/>
      <w:marBottom w:val="0"/>
      <w:divBdr>
        <w:top w:val="none" w:sz="0" w:space="0" w:color="auto"/>
        <w:left w:val="none" w:sz="0" w:space="0" w:color="auto"/>
        <w:bottom w:val="none" w:sz="0" w:space="0" w:color="auto"/>
        <w:right w:val="none" w:sz="0" w:space="0" w:color="auto"/>
      </w:divBdr>
      <w:divsChild>
        <w:div w:id="1382091163">
          <w:marLeft w:val="0"/>
          <w:marRight w:val="0"/>
          <w:marTop w:val="0"/>
          <w:marBottom w:val="0"/>
          <w:divBdr>
            <w:top w:val="none" w:sz="0" w:space="0" w:color="auto"/>
            <w:left w:val="none" w:sz="0" w:space="0" w:color="auto"/>
            <w:bottom w:val="none" w:sz="0" w:space="0" w:color="auto"/>
            <w:right w:val="none" w:sz="0" w:space="0" w:color="auto"/>
          </w:divBdr>
        </w:div>
      </w:divsChild>
    </w:div>
    <w:div w:id="242839174">
      <w:bodyDiv w:val="1"/>
      <w:marLeft w:val="0"/>
      <w:marRight w:val="0"/>
      <w:marTop w:val="0"/>
      <w:marBottom w:val="0"/>
      <w:divBdr>
        <w:top w:val="none" w:sz="0" w:space="0" w:color="auto"/>
        <w:left w:val="none" w:sz="0" w:space="0" w:color="auto"/>
        <w:bottom w:val="none" w:sz="0" w:space="0" w:color="auto"/>
        <w:right w:val="none" w:sz="0" w:space="0" w:color="auto"/>
      </w:divBdr>
      <w:divsChild>
        <w:div w:id="118956198">
          <w:marLeft w:val="0"/>
          <w:marRight w:val="0"/>
          <w:marTop w:val="0"/>
          <w:marBottom w:val="0"/>
          <w:divBdr>
            <w:top w:val="none" w:sz="0" w:space="0" w:color="auto"/>
            <w:left w:val="none" w:sz="0" w:space="0" w:color="auto"/>
            <w:bottom w:val="none" w:sz="0" w:space="0" w:color="auto"/>
            <w:right w:val="none" w:sz="0" w:space="0" w:color="auto"/>
          </w:divBdr>
        </w:div>
      </w:divsChild>
    </w:div>
    <w:div w:id="279461876">
      <w:bodyDiv w:val="1"/>
      <w:marLeft w:val="0"/>
      <w:marRight w:val="0"/>
      <w:marTop w:val="0"/>
      <w:marBottom w:val="0"/>
      <w:divBdr>
        <w:top w:val="none" w:sz="0" w:space="0" w:color="auto"/>
        <w:left w:val="none" w:sz="0" w:space="0" w:color="auto"/>
        <w:bottom w:val="none" w:sz="0" w:space="0" w:color="auto"/>
        <w:right w:val="none" w:sz="0" w:space="0" w:color="auto"/>
      </w:divBdr>
      <w:divsChild>
        <w:div w:id="501354525">
          <w:marLeft w:val="0"/>
          <w:marRight w:val="0"/>
          <w:marTop w:val="0"/>
          <w:marBottom w:val="240"/>
          <w:divBdr>
            <w:top w:val="none" w:sz="0" w:space="0" w:color="auto"/>
            <w:left w:val="none" w:sz="0" w:space="0" w:color="auto"/>
            <w:bottom w:val="none" w:sz="0" w:space="0" w:color="auto"/>
            <w:right w:val="none" w:sz="0" w:space="0" w:color="auto"/>
          </w:divBdr>
        </w:div>
        <w:div w:id="687216529">
          <w:marLeft w:val="0"/>
          <w:marRight w:val="0"/>
          <w:marTop w:val="0"/>
          <w:marBottom w:val="240"/>
          <w:divBdr>
            <w:top w:val="none" w:sz="0" w:space="0" w:color="auto"/>
            <w:left w:val="none" w:sz="0" w:space="0" w:color="auto"/>
            <w:bottom w:val="none" w:sz="0" w:space="0" w:color="auto"/>
            <w:right w:val="none" w:sz="0" w:space="0" w:color="auto"/>
          </w:divBdr>
        </w:div>
        <w:div w:id="869294045">
          <w:marLeft w:val="0"/>
          <w:marRight w:val="0"/>
          <w:marTop w:val="0"/>
          <w:marBottom w:val="240"/>
          <w:divBdr>
            <w:top w:val="none" w:sz="0" w:space="0" w:color="auto"/>
            <w:left w:val="none" w:sz="0" w:space="0" w:color="auto"/>
            <w:bottom w:val="none" w:sz="0" w:space="0" w:color="auto"/>
            <w:right w:val="none" w:sz="0" w:space="0" w:color="auto"/>
          </w:divBdr>
        </w:div>
        <w:div w:id="1096242759">
          <w:marLeft w:val="0"/>
          <w:marRight w:val="0"/>
          <w:marTop w:val="0"/>
          <w:marBottom w:val="240"/>
          <w:divBdr>
            <w:top w:val="none" w:sz="0" w:space="0" w:color="auto"/>
            <w:left w:val="none" w:sz="0" w:space="0" w:color="auto"/>
            <w:bottom w:val="none" w:sz="0" w:space="0" w:color="auto"/>
            <w:right w:val="none" w:sz="0" w:space="0" w:color="auto"/>
          </w:divBdr>
        </w:div>
        <w:div w:id="146628905">
          <w:marLeft w:val="0"/>
          <w:marRight w:val="0"/>
          <w:marTop w:val="0"/>
          <w:marBottom w:val="240"/>
          <w:divBdr>
            <w:top w:val="none" w:sz="0" w:space="0" w:color="auto"/>
            <w:left w:val="none" w:sz="0" w:space="0" w:color="auto"/>
            <w:bottom w:val="none" w:sz="0" w:space="0" w:color="auto"/>
            <w:right w:val="none" w:sz="0" w:space="0" w:color="auto"/>
          </w:divBdr>
        </w:div>
        <w:div w:id="1978414266">
          <w:marLeft w:val="0"/>
          <w:marRight w:val="0"/>
          <w:marTop w:val="0"/>
          <w:marBottom w:val="240"/>
          <w:divBdr>
            <w:top w:val="none" w:sz="0" w:space="0" w:color="auto"/>
            <w:left w:val="none" w:sz="0" w:space="0" w:color="auto"/>
            <w:bottom w:val="none" w:sz="0" w:space="0" w:color="auto"/>
            <w:right w:val="none" w:sz="0" w:space="0" w:color="auto"/>
          </w:divBdr>
        </w:div>
        <w:div w:id="1217818582">
          <w:marLeft w:val="0"/>
          <w:marRight w:val="0"/>
          <w:marTop w:val="0"/>
          <w:marBottom w:val="0"/>
          <w:divBdr>
            <w:top w:val="none" w:sz="0" w:space="0" w:color="auto"/>
            <w:left w:val="none" w:sz="0" w:space="0" w:color="auto"/>
            <w:bottom w:val="none" w:sz="0" w:space="0" w:color="auto"/>
            <w:right w:val="none" w:sz="0" w:space="0" w:color="auto"/>
          </w:divBdr>
        </w:div>
      </w:divsChild>
    </w:div>
    <w:div w:id="332148473">
      <w:bodyDiv w:val="1"/>
      <w:marLeft w:val="0"/>
      <w:marRight w:val="0"/>
      <w:marTop w:val="0"/>
      <w:marBottom w:val="0"/>
      <w:divBdr>
        <w:top w:val="none" w:sz="0" w:space="0" w:color="auto"/>
        <w:left w:val="none" w:sz="0" w:space="0" w:color="auto"/>
        <w:bottom w:val="none" w:sz="0" w:space="0" w:color="auto"/>
        <w:right w:val="none" w:sz="0" w:space="0" w:color="auto"/>
      </w:divBdr>
      <w:divsChild>
        <w:div w:id="1792936798">
          <w:marLeft w:val="480"/>
          <w:marRight w:val="0"/>
          <w:marTop w:val="0"/>
          <w:marBottom w:val="0"/>
          <w:divBdr>
            <w:top w:val="none" w:sz="0" w:space="0" w:color="auto"/>
            <w:left w:val="none" w:sz="0" w:space="0" w:color="auto"/>
            <w:bottom w:val="none" w:sz="0" w:space="0" w:color="auto"/>
            <w:right w:val="none" w:sz="0" w:space="0" w:color="auto"/>
          </w:divBdr>
          <w:divsChild>
            <w:div w:id="1410619131">
              <w:marLeft w:val="0"/>
              <w:marRight w:val="0"/>
              <w:marTop w:val="0"/>
              <w:marBottom w:val="0"/>
              <w:divBdr>
                <w:top w:val="none" w:sz="0" w:space="0" w:color="auto"/>
                <w:left w:val="none" w:sz="0" w:space="0" w:color="auto"/>
                <w:bottom w:val="none" w:sz="0" w:space="0" w:color="auto"/>
                <w:right w:val="none" w:sz="0" w:space="0" w:color="auto"/>
              </w:divBdr>
              <w:divsChild>
                <w:div w:id="385299078">
                  <w:marLeft w:val="0"/>
                  <w:marRight w:val="0"/>
                  <w:marTop w:val="0"/>
                  <w:marBottom w:val="0"/>
                  <w:divBdr>
                    <w:top w:val="none" w:sz="0" w:space="0" w:color="auto"/>
                    <w:left w:val="none" w:sz="0" w:space="0" w:color="auto"/>
                    <w:bottom w:val="none" w:sz="0" w:space="0" w:color="auto"/>
                    <w:right w:val="none" w:sz="0" w:space="0" w:color="auto"/>
                  </w:divBdr>
                  <w:divsChild>
                    <w:div w:id="1142188143">
                      <w:marLeft w:val="0"/>
                      <w:marRight w:val="0"/>
                      <w:marTop w:val="0"/>
                      <w:marBottom w:val="0"/>
                      <w:divBdr>
                        <w:top w:val="none" w:sz="0" w:space="0" w:color="auto"/>
                        <w:left w:val="none" w:sz="0" w:space="0" w:color="auto"/>
                        <w:bottom w:val="none" w:sz="0" w:space="0" w:color="auto"/>
                        <w:right w:val="none" w:sz="0" w:space="0" w:color="auto"/>
                      </w:divBdr>
                      <w:divsChild>
                        <w:div w:id="13836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039737">
      <w:bodyDiv w:val="1"/>
      <w:marLeft w:val="0"/>
      <w:marRight w:val="0"/>
      <w:marTop w:val="0"/>
      <w:marBottom w:val="0"/>
      <w:divBdr>
        <w:top w:val="none" w:sz="0" w:space="0" w:color="auto"/>
        <w:left w:val="none" w:sz="0" w:space="0" w:color="auto"/>
        <w:bottom w:val="none" w:sz="0" w:space="0" w:color="auto"/>
        <w:right w:val="none" w:sz="0" w:space="0" w:color="auto"/>
      </w:divBdr>
      <w:divsChild>
        <w:div w:id="1660884702">
          <w:marLeft w:val="0"/>
          <w:marRight w:val="0"/>
          <w:marTop w:val="0"/>
          <w:marBottom w:val="240"/>
          <w:divBdr>
            <w:top w:val="none" w:sz="0" w:space="0" w:color="auto"/>
            <w:left w:val="none" w:sz="0" w:space="0" w:color="auto"/>
            <w:bottom w:val="none" w:sz="0" w:space="0" w:color="auto"/>
            <w:right w:val="none" w:sz="0" w:space="0" w:color="auto"/>
          </w:divBdr>
        </w:div>
        <w:div w:id="1487085432">
          <w:marLeft w:val="0"/>
          <w:marRight w:val="0"/>
          <w:marTop w:val="0"/>
          <w:marBottom w:val="240"/>
          <w:divBdr>
            <w:top w:val="none" w:sz="0" w:space="0" w:color="auto"/>
            <w:left w:val="none" w:sz="0" w:space="0" w:color="auto"/>
            <w:bottom w:val="none" w:sz="0" w:space="0" w:color="auto"/>
            <w:right w:val="none" w:sz="0" w:space="0" w:color="auto"/>
          </w:divBdr>
        </w:div>
        <w:div w:id="1084960608">
          <w:marLeft w:val="0"/>
          <w:marRight w:val="0"/>
          <w:marTop w:val="0"/>
          <w:marBottom w:val="0"/>
          <w:divBdr>
            <w:top w:val="none" w:sz="0" w:space="0" w:color="auto"/>
            <w:left w:val="none" w:sz="0" w:space="0" w:color="auto"/>
            <w:bottom w:val="none" w:sz="0" w:space="0" w:color="auto"/>
            <w:right w:val="none" w:sz="0" w:space="0" w:color="auto"/>
          </w:divBdr>
        </w:div>
      </w:divsChild>
    </w:div>
    <w:div w:id="467556397">
      <w:bodyDiv w:val="1"/>
      <w:marLeft w:val="0"/>
      <w:marRight w:val="0"/>
      <w:marTop w:val="0"/>
      <w:marBottom w:val="0"/>
      <w:divBdr>
        <w:top w:val="none" w:sz="0" w:space="0" w:color="auto"/>
        <w:left w:val="none" w:sz="0" w:space="0" w:color="auto"/>
        <w:bottom w:val="none" w:sz="0" w:space="0" w:color="auto"/>
        <w:right w:val="none" w:sz="0" w:space="0" w:color="auto"/>
      </w:divBdr>
      <w:divsChild>
        <w:div w:id="1161232762">
          <w:marLeft w:val="0"/>
          <w:marRight w:val="0"/>
          <w:marTop w:val="0"/>
          <w:marBottom w:val="0"/>
          <w:divBdr>
            <w:top w:val="none" w:sz="0" w:space="0" w:color="auto"/>
            <w:left w:val="none" w:sz="0" w:space="0" w:color="auto"/>
            <w:bottom w:val="none" w:sz="0" w:space="0" w:color="auto"/>
            <w:right w:val="none" w:sz="0" w:space="0" w:color="auto"/>
          </w:divBdr>
        </w:div>
      </w:divsChild>
    </w:div>
    <w:div w:id="512765217">
      <w:bodyDiv w:val="1"/>
      <w:marLeft w:val="0"/>
      <w:marRight w:val="0"/>
      <w:marTop w:val="0"/>
      <w:marBottom w:val="0"/>
      <w:divBdr>
        <w:top w:val="none" w:sz="0" w:space="0" w:color="auto"/>
        <w:left w:val="none" w:sz="0" w:space="0" w:color="auto"/>
        <w:bottom w:val="none" w:sz="0" w:space="0" w:color="auto"/>
        <w:right w:val="none" w:sz="0" w:space="0" w:color="auto"/>
      </w:divBdr>
      <w:divsChild>
        <w:div w:id="1096025996">
          <w:marLeft w:val="0"/>
          <w:marRight w:val="0"/>
          <w:marTop w:val="0"/>
          <w:marBottom w:val="240"/>
          <w:divBdr>
            <w:top w:val="none" w:sz="0" w:space="0" w:color="auto"/>
            <w:left w:val="none" w:sz="0" w:space="0" w:color="auto"/>
            <w:bottom w:val="none" w:sz="0" w:space="0" w:color="auto"/>
            <w:right w:val="none" w:sz="0" w:space="0" w:color="auto"/>
          </w:divBdr>
        </w:div>
        <w:div w:id="115879056">
          <w:marLeft w:val="0"/>
          <w:marRight w:val="0"/>
          <w:marTop w:val="0"/>
          <w:marBottom w:val="240"/>
          <w:divBdr>
            <w:top w:val="none" w:sz="0" w:space="0" w:color="auto"/>
            <w:left w:val="none" w:sz="0" w:space="0" w:color="auto"/>
            <w:bottom w:val="none" w:sz="0" w:space="0" w:color="auto"/>
            <w:right w:val="none" w:sz="0" w:space="0" w:color="auto"/>
          </w:divBdr>
        </w:div>
        <w:div w:id="346978562">
          <w:marLeft w:val="0"/>
          <w:marRight w:val="0"/>
          <w:marTop w:val="0"/>
          <w:marBottom w:val="240"/>
          <w:divBdr>
            <w:top w:val="none" w:sz="0" w:space="0" w:color="auto"/>
            <w:left w:val="none" w:sz="0" w:space="0" w:color="auto"/>
            <w:bottom w:val="none" w:sz="0" w:space="0" w:color="auto"/>
            <w:right w:val="none" w:sz="0" w:space="0" w:color="auto"/>
          </w:divBdr>
        </w:div>
        <w:div w:id="1662152989">
          <w:marLeft w:val="0"/>
          <w:marRight w:val="0"/>
          <w:marTop w:val="0"/>
          <w:marBottom w:val="0"/>
          <w:divBdr>
            <w:top w:val="none" w:sz="0" w:space="0" w:color="auto"/>
            <w:left w:val="none" w:sz="0" w:space="0" w:color="auto"/>
            <w:bottom w:val="none" w:sz="0" w:space="0" w:color="auto"/>
            <w:right w:val="none" w:sz="0" w:space="0" w:color="auto"/>
          </w:divBdr>
        </w:div>
      </w:divsChild>
    </w:div>
    <w:div w:id="637221407">
      <w:bodyDiv w:val="1"/>
      <w:marLeft w:val="0"/>
      <w:marRight w:val="0"/>
      <w:marTop w:val="0"/>
      <w:marBottom w:val="0"/>
      <w:divBdr>
        <w:top w:val="none" w:sz="0" w:space="0" w:color="auto"/>
        <w:left w:val="none" w:sz="0" w:space="0" w:color="auto"/>
        <w:bottom w:val="none" w:sz="0" w:space="0" w:color="auto"/>
        <w:right w:val="none" w:sz="0" w:space="0" w:color="auto"/>
      </w:divBdr>
      <w:divsChild>
        <w:div w:id="952399762">
          <w:marLeft w:val="0"/>
          <w:marRight w:val="0"/>
          <w:marTop w:val="0"/>
          <w:marBottom w:val="240"/>
          <w:divBdr>
            <w:top w:val="none" w:sz="0" w:space="0" w:color="auto"/>
            <w:left w:val="none" w:sz="0" w:space="0" w:color="auto"/>
            <w:bottom w:val="none" w:sz="0" w:space="0" w:color="auto"/>
            <w:right w:val="none" w:sz="0" w:space="0" w:color="auto"/>
          </w:divBdr>
        </w:div>
        <w:div w:id="1184633897">
          <w:marLeft w:val="0"/>
          <w:marRight w:val="0"/>
          <w:marTop w:val="0"/>
          <w:marBottom w:val="240"/>
          <w:divBdr>
            <w:top w:val="none" w:sz="0" w:space="0" w:color="auto"/>
            <w:left w:val="none" w:sz="0" w:space="0" w:color="auto"/>
            <w:bottom w:val="none" w:sz="0" w:space="0" w:color="auto"/>
            <w:right w:val="none" w:sz="0" w:space="0" w:color="auto"/>
          </w:divBdr>
        </w:div>
        <w:div w:id="114103685">
          <w:marLeft w:val="0"/>
          <w:marRight w:val="0"/>
          <w:marTop w:val="0"/>
          <w:marBottom w:val="0"/>
          <w:divBdr>
            <w:top w:val="none" w:sz="0" w:space="0" w:color="auto"/>
            <w:left w:val="none" w:sz="0" w:space="0" w:color="auto"/>
            <w:bottom w:val="none" w:sz="0" w:space="0" w:color="auto"/>
            <w:right w:val="none" w:sz="0" w:space="0" w:color="auto"/>
          </w:divBdr>
        </w:div>
      </w:divsChild>
    </w:div>
    <w:div w:id="660893032">
      <w:bodyDiv w:val="1"/>
      <w:marLeft w:val="0"/>
      <w:marRight w:val="0"/>
      <w:marTop w:val="0"/>
      <w:marBottom w:val="0"/>
      <w:divBdr>
        <w:top w:val="none" w:sz="0" w:space="0" w:color="auto"/>
        <w:left w:val="none" w:sz="0" w:space="0" w:color="auto"/>
        <w:bottom w:val="none" w:sz="0" w:space="0" w:color="auto"/>
        <w:right w:val="none" w:sz="0" w:space="0" w:color="auto"/>
      </w:divBdr>
      <w:divsChild>
        <w:div w:id="1745452711">
          <w:marLeft w:val="0"/>
          <w:marRight w:val="0"/>
          <w:marTop w:val="0"/>
          <w:marBottom w:val="240"/>
          <w:divBdr>
            <w:top w:val="none" w:sz="0" w:space="0" w:color="auto"/>
            <w:left w:val="none" w:sz="0" w:space="0" w:color="auto"/>
            <w:bottom w:val="none" w:sz="0" w:space="0" w:color="auto"/>
            <w:right w:val="none" w:sz="0" w:space="0" w:color="auto"/>
          </w:divBdr>
        </w:div>
        <w:div w:id="115635993">
          <w:marLeft w:val="0"/>
          <w:marRight w:val="0"/>
          <w:marTop w:val="0"/>
          <w:marBottom w:val="240"/>
          <w:divBdr>
            <w:top w:val="none" w:sz="0" w:space="0" w:color="auto"/>
            <w:left w:val="none" w:sz="0" w:space="0" w:color="auto"/>
            <w:bottom w:val="none" w:sz="0" w:space="0" w:color="auto"/>
            <w:right w:val="none" w:sz="0" w:space="0" w:color="auto"/>
          </w:divBdr>
        </w:div>
        <w:div w:id="773477378">
          <w:marLeft w:val="0"/>
          <w:marRight w:val="0"/>
          <w:marTop w:val="0"/>
          <w:marBottom w:val="240"/>
          <w:divBdr>
            <w:top w:val="none" w:sz="0" w:space="0" w:color="auto"/>
            <w:left w:val="none" w:sz="0" w:space="0" w:color="auto"/>
            <w:bottom w:val="none" w:sz="0" w:space="0" w:color="auto"/>
            <w:right w:val="none" w:sz="0" w:space="0" w:color="auto"/>
          </w:divBdr>
        </w:div>
        <w:div w:id="1710758840">
          <w:marLeft w:val="0"/>
          <w:marRight w:val="0"/>
          <w:marTop w:val="0"/>
          <w:marBottom w:val="240"/>
          <w:divBdr>
            <w:top w:val="none" w:sz="0" w:space="0" w:color="auto"/>
            <w:left w:val="none" w:sz="0" w:space="0" w:color="auto"/>
            <w:bottom w:val="none" w:sz="0" w:space="0" w:color="auto"/>
            <w:right w:val="none" w:sz="0" w:space="0" w:color="auto"/>
          </w:divBdr>
        </w:div>
        <w:div w:id="13775733">
          <w:marLeft w:val="0"/>
          <w:marRight w:val="0"/>
          <w:marTop w:val="0"/>
          <w:marBottom w:val="0"/>
          <w:divBdr>
            <w:top w:val="none" w:sz="0" w:space="0" w:color="auto"/>
            <w:left w:val="none" w:sz="0" w:space="0" w:color="auto"/>
            <w:bottom w:val="none" w:sz="0" w:space="0" w:color="auto"/>
            <w:right w:val="none" w:sz="0" w:space="0" w:color="auto"/>
          </w:divBdr>
        </w:div>
      </w:divsChild>
    </w:div>
    <w:div w:id="675545340">
      <w:bodyDiv w:val="1"/>
      <w:marLeft w:val="0"/>
      <w:marRight w:val="0"/>
      <w:marTop w:val="0"/>
      <w:marBottom w:val="0"/>
      <w:divBdr>
        <w:top w:val="none" w:sz="0" w:space="0" w:color="auto"/>
        <w:left w:val="none" w:sz="0" w:space="0" w:color="auto"/>
        <w:bottom w:val="none" w:sz="0" w:space="0" w:color="auto"/>
        <w:right w:val="none" w:sz="0" w:space="0" w:color="auto"/>
      </w:divBdr>
      <w:divsChild>
        <w:div w:id="1963490695">
          <w:marLeft w:val="0"/>
          <w:marRight w:val="0"/>
          <w:marTop w:val="0"/>
          <w:marBottom w:val="240"/>
          <w:divBdr>
            <w:top w:val="none" w:sz="0" w:space="0" w:color="auto"/>
            <w:left w:val="none" w:sz="0" w:space="0" w:color="auto"/>
            <w:bottom w:val="none" w:sz="0" w:space="0" w:color="auto"/>
            <w:right w:val="none" w:sz="0" w:space="0" w:color="auto"/>
          </w:divBdr>
        </w:div>
        <w:div w:id="1656837047">
          <w:marLeft w:val="0"/>
          <w:marRight w:val="0"/>
          <w:marTop w:val="0"/>
          <w:marBottom w:val="240"/>
          <w:divBdr>
            <w:top w:val="none" w:sz="0" w:space="0" w:color="auto"/>
            <w:left w:val="none" w:sz="0" w:space="0" w:color="auto"/>
            <w:bottom w:val="none" w:sz="0" w:space="0" w:color="auto"/>
            <w:right w:val="none" w:sz="0" w:space="0" w:color="auto"/>
          </w:divBdr>
        </w:div>
        <w:div w:id="927081675">
          <w:marLeft w:val="0"/>
          <w:marRight w:val="0"/>
          <w:marTop w:val="0"/>
          <w:marBottom w:val="240"/>
          <w:divBdr>
            <w:top w:val="none" w:sz="0" w:space="0" w:color="auto"/>
            <w:left w:val="none" w:sz="0" w:space="0" w:color="auto"/>
            <w:bottom w:val="none" w:sz="0" w:space="0" w:color="auto"/>
            <w:right w:val="none" w:sz="0" w:space="0" w:color="auto"/>
          </w:divBdr>
        </w:div>
        <w:div w:id="89393058">
          <w:marLeft w:val="0"/>
          <w:marRight w:val="0"/>
          <w:marTop w:val="0"/>
          <w:marBottom w:val="240"/>
          <w:divBdr>
            <w:top w:val="none" w:sz="0" w:space="0" w:color="auto"/>
            <w:left w:val="none" w:sz="0" w:space="0" w:color="auto"/>
            <w:bottom w:val="none" w:sz="0" w:space="0" w:color="auto"/>
            <w:right w:val="none" w:sz="0" w:space="0" w:color="auto"/>
          </w:divBdr>
        </w:div>
        <w:div w:id="1717706067">
          <w:marLeft w:val="0"/>
          <w:marRight w:val="0"/>
          <w:marTop w:val="0"/>
          <w:marBottom w:val="240"/>
          <w:divBdr>
            <w:top w:val="none" w:sz="0" w:space="0" w:color="auto"/>
            <w:left w:val="none" w:sz="0" w:space="0" w:color="auto"/>
            <w:bottom w:val="none" w:sz="0" w:space="0" w:color="auto"/>
            <w:right w:val="none" w:sz="0" w:space="0" w:color="auto"/>
          </w:divBdr>
        </w:div>
        <w:div w:id="2058115693">
          <w:marLeft w:val="0"/>
          <w:marRight w:val="0"/>
          <w:marTop w:val="0"/>
          <w:marBottom w:val="240"/>
          <w:divBdr>
            <w:top w:val="none" w:sz="0" w:space="0" w:color="auto"/>
            <w:left w:val="none" w:sz="0" w:space="0" w:color="auto"/>
            <w:bottom w:val="none" w:sz="0" w:space="0" w:color="auto"/>
            <w:right w:val="none" w:sz="0" w:space="0" w:color="auto"/>
          </w:divBdr>
        </w:div>
        <w:div w:id="480584324">
          <w:marLeft w:val="0"/>
          <w:marRight w:val="0"/>
          <w:marTop w:val="0"/>
          <w:marBottom w:val="0"/>
          <w:divBdr>
            <w:top w:val="none" w:sz="0" w:space="0" w:color="auto"/>
            <w:left w:val="none" w:sz="0" w:space="0" w:color="auto"/>
            <w:bottom w:val="none" w:sz="0" w:space="0" w:color="auto"/>
            <w:right w:val="none" w:sz="0" w:space="0" w:color="auto"/>
          </w:divBdr>
        </w:div>
      </w:divsChild>
    </w:div>
    <w:div w:id="683438858">
      <w:bodyDiv w:val="1"/>
      <w:marLeft w:val="0"/>
      <w:marRight w:val="0"/>
      <w:marTop w:val="0"/>
      <w:marBottom w:val="0"/>
      <w:divBdr>
        <w:top w:val="none" w:sz="0" w:space="0" w:color="auto"/>
        <w:left w:val="none" w:sz="0" w:space="0" w:color="auto"/>
        <w:bottom w:val="none" w:sz="0" w:space="0" w:color="auto"/>
        <w:right w:val="none" w:sz="0" w:space="0" w:color="auto"/>
      </w:divBdr>
      <w:divsChild>
        <w:div w:id="1910843539">
          <w:marLeft w:val="480"/>
          <w:marRight w:val="0"/>
          <w:marTop w:val="0"/>
          <w:marBottom w:val="0"/>
          <w:divBdr>
            <w:top w:val="none" w:sz="0" w:space="0" w:color="auto"/>
            <w:left w:val="none" w:sz="0" w:space="0" w:color="auto"/>
            <w:bottom w:val="none" w:sz="0" w:space="0" w:color="auto"/>
            <w:right w:val="none" w:sz="0" w:space="0" w:color="auto"/>
          </w:divBdr>
          <w:divsChild>
            <w:div w:id="2028098635">
              <w:marLeft w:val="0"/>
              <w:marRight w:val="0"/>
              <w:marTop w:val="0"/>
              <w:marBottom w:val="0"/>
              <w:divBdr>
                <w:top w:val="none" w:sz="0" w:space="0" w:color="auto"/>
                <w:left w:val="none" w:sz="0" w:space="0" w:color="auto"/>
                <w:bottom w:val="none" w:sz="0" w:space="0" w:color="auto"/>
                <w:right w:val="none" w:sz="0" w:space="0" w:color="auto"/>
              </w:divBdr>
              <w:divsChild>
                <w:div w:id="434060182">
                  <w:marLeft w:val="0"/>
                  <w:marRight w:val="0"/>
                  <w:marTop w:val="0"/>
                  <w:marBottom w:val="0"/>
                  <w:divBdr>
                    <w:top w:val="none" w:sz="0" w:space="0" w:color="auto"/>
                    <w:left w:val="none" w:sz="0" w:space="0" w:color="auto"/>
                    <w:bottom w:val="none" w:sz="0" w:space="0" w:color="auto"/>
                    <w:right w:val="none" w:sz="0" w:space="0" w:color="auto"/>
                  </w:divBdr>
                  <w:divsChild>
                    <w:div w:id="1163204170">
                      <w:marLeft w:val="0"/>
                      <w:marRight w:val="0"/>
                      <w:marTop w:val="0"/>
                      <w:marBottom w:val="0"/>
                      <w:divBdr>
                        <w:top w:val="none" w:sz="0" w:space="0" w:color="auto"/>
                        <w:left w:val="none" w:sz="0" w:space="0" w:color="auto"/>
                        <w:bottom w:val="none" w:sz="0" w:space="0" w:color="auto"/>
                        <w:right w:val="none" w:sz="0" w:space="0" w:color="auto"/>
                      </w:divBdr>
                      <w:divsChild>
                        <w:div w:id="2865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441893">
      <w:bodyDiv w:val="1"/>
      <w:marLeft w:val="0"/>
      <w:marRight w:val="0"/>
      <w:marTop w:val="0"/>
      <w:marBottom w:val="0"/>
      <w:divBdr>
        <w:top w:val="none" w:sz="0" w:space="0" w:color="auto"/>
        <w:left w:val="none" w:sz="0" w:space="0" w:color="auto"/>
        <w:bottom w:val="none" w:sz="0" w:space="0" w:color="auto"/>
        <w:right w:val="none" w:sz="0" w:space="0" w:color="auto"/>
      </w:divBdr>
      <w:divsChild>
        <w:div w:id="636764178">
          <w:marLeft w:val="0"/>
          <w:marRight w:val="0"/>
          <w:marTop w:val="0"/>
          <w:marBottom w:val="240"/>
          <w:divBdr>
            <w:top w:val="none" w:sz="0" w:space="0" w:color="auto"/>
            <w:left w:val="none" w:sz="0" w:space="0" w:color="auto"/>
            <w:bottom w:val="none" w:sz="0" w:space="0" w:color="auto"/>
            <w:right w:val="none" w:sz="0" w:space="0" w:color="auto"/>
          </w:divBdr>
        </w:div>
        <w:div w:id="385688469">
          <w:marLeft w:val="0"/>
          <w:marRight w:val="0"/>
          <w:marTop w:val="0"/>
          <w:marBottom w:val="240"/>
          <w:divBdr>
            <w:top w:val="none" w:sz="0" w:space="0" w:color="auto"/>
            <w:left w:val="none" w:sz="0" w:space="0" w:color="auto"/>
            <w:bottom w:val="none" w:sz="0" w:space="0" w:color="auto"/>
            <w:right w:val="none" w:sz="0" w:space="0" w:color="auto"/>
          </w:divBdr>
        </w:div>
        <w:div w:id="656955645">
          <w:marLeft w:val="0"/>
          <w:marRight w:val="0"/>
          <w:marTop w:val="0"/>
          <w:marBottom w:val="240"/>
          <w:divBdr>
            <w:top w:val="none" w:sz="0" w:space="0" w:color="auto"/>
            <w:left w:val="none" w:sz="0" w:space="0" w:color="auto"/>
            <w:bottom w:val="none" w:sz="0" w:space="0" w:color="auto"/>
            <w:right w:val="none" w:sz="0" w:space="0" w:color="auto"/>
          </w:divBdr>
        </w:div>
        <w:div w:id="316420411">
          <w:marLeft w:val="0"/>
          <w:marRight w:val="0"/>
          <w:marTop w:val="0"/>
          <w:marBottom w:val="240"/>
          <w:divBdr>
            <w:top w:val="none" w:sz="0" w:space="0" w:color="auto"/>
            <w:left w:val="none" w:sz="0" w:space="0" w:color="auto"/>
            <w:bottom w:val="none" w:sz="0" w:space="0" w:color="auto"/>
            <w:right w:val="none" w:sz="0" w:space="0" w:color="auto"/>
          </w:divBdr>
        </w:div>
        <w:div w:id="998580188">
          <w:marLeft w:val="0"/>
          <w:marRight w:val="0"/>
          <w:marTop w:val="0"/>
          <w:marBottom w:val="240"/>
          <w:divBdr>
            <w:top w:val="none" w:sz="0" w:space="0" w:color="auto"/>
            <w:left w:val="none" w:sz="0" w:space="0" w:color="auto"/>
            <w:bottom w:val="none" w:sz="0" w:space="0" w:color="auto"/>
            <w:right w:val="none" w:sz="0" w:space="0" w:color="auto"/>
          </w:divBdr>
        </w:div>
        <w:div w:id="1182553989">
          <w:marLeft w:val="0"/>
          <w:marRight w:val="0"/>
          <w:marTop w:val="0"/>
          <w:marBottom w:val="0"/>
          <w:divBdr>
            <w:top w:val="none" w:sz="0" w:space="0" w:color="auto"/>
            <w:left w:val="none" w:sz="0" w:space="0" w:color="auto"/>
            <w:bottom w:val="none" w:sz="0" w:space="0" w:color="auto"/>
            <w:right w:val="none" w:sz="0" w:space="0" w:color="auto"/>
          </w:divBdr>
        </w:div>
      </w:divsChild>
    </w:div>
    <w:div w:id="958880469">
      <w:bodyDiv w:val="1"/>
      <w:marLeft w:val="0"/>
      <w:marRight w:val="0"/>
      <w:marTop w:val="0"/>
      <w:marBottom w:val="0"/>
      <w:divBdr>
        <w:top w:val="none" w:sz="0" w:space="0" w:color="auto"/>
        <w:left w:val="none" w:sz="0" w:space="0" w:color="auto"/>
        <w:bottom w:val="none" w:sz="0" w:space="0" w:color="auto"/>
        <w:right w:val="none" w:sz="0" w:space="0" w:color="auto"/>
      </w:divBdr>
      <w:divsChild>
        <w:div w:id="1369836917">
          <w:marLeft w:val="0"/>
          <w:marRight w:val="0"/>
          <w:marTop w:val="0"/>
          <w:marBottom w:val="240"/>
          <w:divBdr>
            <w:top w:val="none" w:sz="0" w:space="0" w:color="auto"/>
            <w:left w:val="none" w:sz="0" w:space="0" w:color="auto"/>
            <w:bottom w:val="none" w:sz="0" w:space="0" w:color="auto"/>
            <w:right w:val="none" w:sz="0" w:space="0" w:color="auto"/>
          </w:divBdr>
        </w:div>
      </w:divsChild>
    </w:div>
    <w:div w:id="996542662">
      <w:bodyDiv w:val="1"/>
      <w:marLeft w:val="0"/>
      <w:marRight w:val="0"/>
      <w:marTop w:val="0"/>
      <w:marBottom w:val="0"/>
      <w:divBdr>
        <w:top w:val="none" w:sz="0" w:space="0" w:color="auto"/>
        <w:left w:val="none" w:sz="0" w:space="0" w:color="auto"/>
        <w:bottom w:val="none" w:sz="0" w:space="0" w:color="auto"/>
        <w:right w:val="none" w:sz="0" w:space="0" w:color="auto"/>
      </w:divBdr>
      <w:divsChild>
        <w:div w:id="1961256236">
          <w:marLeft w:val="0"/>
          <w:marRight w:val="0"/>
          <w:marTop w:val="0"/>
          <w:marBottom w:val="240"/>
          <w:divBdr>
            <w:top w:val="none" w:sz="0" w:space="0" w:color="auto"/>
            <w:left w:val="none" w:sz="0" w:space="0" w:color="auto"/>
            <w:bottom w:val="none" w:sz="0" w:space="0" w:color="auto"/>
            <w:right w:val="none" w:sz="0" w:space="0" w:color="auto"/>
          </w:divBdr>
        </w:div>
        <w:div w:id="1809738650">
          <w:marLeft w:val="0"/>
          <w:marRight w:val="0"/>
          <w:marTop w:val="0"/>
          <w:marBottom w:val="240"/>
          <w:divBdr>
            <w:top w:val="none" w:sz="0" w:space="0" w:color="auto"/>
            <w:left w:val="none" w:sz="0" w:space="0" w:color="auto"/>
            <w:bottom w:val="none" w:sz="0" w:space="0" w:color="auto"/>
            <w:right w:val="none" w:sz="0" w:space="0" w:color="auto"/>
          </w:divBdr>
        </w:div>
        <w:div w:id="216824324">
          <w:marLeft w:val="0"/>
          <w:marRight w:val="0"/>
          <w:marTop w:val="0"/>
          <w:marBottom w:val="240"/>
          <w:divBdr>
            <w:top w:val="none" w:sz="0" w:space="0" w:color="auto"/>
            <w:left w:val="none" w:sz="0" w:space="0" w:color="auto"/>
            <w:bottom w:val="none" w:sz="0" w:space="0" w:color="auto"/>
            <w:right w:val="none" w:sz="0" w:space="0" w:color="auto"/>
          </w:divBdr>
        </w:div>
        <w:div w:id="164983259">
          <w:marLeft w:val="0"/>
          <w:marRight w:val="0"/>
          <w:marTop w:val="0"/>
          <w:marBottom w:val="240"/>
          <w:divBdr>
            <w:top w:val="none" w:sz="0" w:space="0" w:color="auto"/>
            <w:left w:val="none" w:sz="0" w:space="0" w:color="auto"/>
            <w:bottom w:val="none" w:sz="0" w:space="0" w:color="auto"/>
            <w:right w:val="none" w:sz="0" w:space="0" w:color="auto"/>
          </w:divBdr>
        </w:div>
        <w:div w:id="2015496031">
          <w:marLeft w:val="0"/>
          <w:marRight w:val="0"/>
          <w:marTop w:val="0"/>
          <w:marBottom w:val="240"/>
          <w:divBdr>
            <w:top w:val="none" w:sz="0" w:space="0" w:color="auto"/>
            <w:left w:val="none" w:sz="0" w:space="0" w:color="auto"/>
            <w:bottom w:val="none" w:sz="0" w:space="0" w:color="auto"/>
            <w:right w:val="none" w:sz="0" w:space="0" w:color="auto"/>
          </w:divBdr>
        </w:div>
        <w:div w:id="1310359273">
          <w:marLeft w:val="0"/>
          <w:marRight w:val="0"/>
          <w:marTop w:val="0"/>
          <w:marBottom w:val="240"/>
          <w:divBdr>
            <w:top w:val="none" w:sz="0" w:space="0" w:color="auto"/>
            <w:left w:val="none" w:sz="0" w:space="0" w:color="auto"/>
            <w:bottom w:val="none" w:sz="0" w:space="0" w:color="auto"/>
            <w:right w:val="none" w:sz="0" w:space="0" w:color="auto"/>
          </w:divBdr>
        </w:div>
        <w:div w:id="1307247767">
          <w:marLeft w:val="0"/>
          <w:marRight w:val="0"/>
          <w:marTop w:val="0"/>
          <w:marBottom w:val="240"/>
          <w:divBdr>
            <w:top w:val="none" w:sz="0" w:space="0" w:color="auto"/>
            <w:left w:val="none" w:sz="0" w:space="0" w:color="auto"/>
            <w:bottom w:val="none" w:sz="0" w:space="0" w:color="auto"/>
            <w:right w:val="none" w:sz="0" w:space="0" w:color="auto"/>
          </w:divBdr>
        </w:div>
        <w:div w:id="288783986">
          <w:marLeft w:val="0"/>
          <w:marRight w:val="0"/>
          <w:marTop w:val="0"/>
          <w:marBottom w:val="240"/>
          <w:divBdr>
            <w:top w:val="none" w:sz="0" w:space="0" w:color="auto"/>
            <w:left w:val="none" w:sz="0" w:space="0" w:color="auto"/>
            <w:bottom w:val="none" w:sz="0" w:space="0" w:color="auto"/>
            <w:right w:val="none" w:sz="0" w:space="0" w:color="auto"/>
          </w:divBdr>
        </w:div>
        <w:div w:id="145317182">
          <w:marLeft w:val="0"/>
          <w:marRight w:val="0"/>
          <w:marTop w:val="0"/>
          <w:marBottom w:val="240"/>
          <w:divBdr>
            <w:top w:val="none" w:sz="0" w:space="0" w:color="auto"/>
            <w:left w:val="none" w:sz="0" w:space="0" w:color="auto"/>
            <w:bottom w:val="none" w:sz="0" w:space="0" w:color="auto"/>
            <w:right w:val="none" w:sz="0" w:space="0" w:color="auto"/>
          </w:divBdr>
        </w:div>
        <w:div w:id="618222408">
          <w:marLeft w:val="0"/>
          <w:marRight w:val="0"/>
          <w:marTop w:val="0"/>
          <w:marBottom w:val="240"/>
          <w:divBdr>
            <w:top w:val="none" w:sz="0" w:space="0" w:color="auto"/>
            <w:left w:val="none" w:sz="0" w:space="0" w:color="auto"/>
            <w:bottom w:val="none" w:sz="0" w:space="0" w:color="auto"/>
            <w:right w:val="none" w:sz="0" w:space="0" w:color="auto"/>
          </w:divBdr>
        </w:div>
        <w:div w:id="560988576">
          <w:marLeft w:val="0"/>
          <w:marRight w:val="0"/>
          <w:marTop w:val="0"/>
          <w:marBottom w:val="240"/>
          <w:divBdr>
            <w:top w:val="none" w:sz="0" w:space="0" w:color="auto"/>
            <w:left w:val="none" w:sz="0" w:space="0" w:color="auto"/>
            <w:bottom w:val="none" w:sz="0" w:space="0" w:color="auto"/>
            <w:right w:val="none" w:sz="0" w:space="0" w:color="auto"/>
          </w:divBdr>
        </w:div>
        <w:div w:id="1737704578">
          <w:marLeft w:val="0"/>
          <w:marRight w:val="0"/>
          <w:marTop w:val="0"/>
          <w:marBottom w:val="0"/>
          <w:divBdr>
            <w:top w:val="none" w:sz="0" w:space="0" w:color="auto"/>
            <w:left w:val="none" w:sz="0" w:space="0" w:color="auto"/>
            <w:bottom w:val="none" w:sz="0" w:space="0" w:color="auto"/>
            <w:right w:val="none" w:sz="0" w:space="0" w:color="auto"/>
          </w:divBdr>
        </w:div>
      </w:divsChild>
    </w:div>
    <w:div w:id="1194687375">
      <w:bodyDiv w:val="1"/>
      <w:marLeft w:val="0"/>
      <w:marRight w:val="0"/>
      <w:marTop w:val="0"/>
      <w:marBottom w:val="0"/>
      <w:divBdr>
        <w:top w:val="none" w:sz="0" w:space="0" w:color="auto"/>
        <w:left w:val="none" w:sz="0" w:space="0" w:color="auto"/>
        <w:bottom w:val="none" w:sz="0" w:space="0" w:color="auto"/>
        <w:right w:val="none" w:sz="0" w:space="0" w:color="auto"/>
      </w:divBdr>
      <w:divsChild>
        <w:div w:id="1931505915">
          <w:marLeft w:val="0"/>
          <w:marRight w:val="0"/>
          <w:marTop w:val="0"/>
          <w:marBottom w:val="240"/>
          <w:divBdr>
            <w:top w:val="none" w:sz="0" w:space="0" w:color="auto"/>
            <w:left w:val="none" w:sz="0" w:space="0" w:color="auto"/>
            <w:bottom w:val="none" w:sz="0" w:space="0" w:color="auto"/>
            <w:right w:val="none" w:sz="0" w:space="0" w:color="auto"/>
          </w:divBdr>
        </w:div>
        <w:div w:id="1994290319">
          <w:marLeft w:val="0"/>
          <w:marRight w:val="0"/>
          <w:marTop w:val="0"/>
          <w:marBottom w:val="240"/>
          <w:divBdr>
            <w:top w:val="none" w:sz="0" w:space="0" w:color="auto"/>
            <w:left w:val="none" w:sz="0" w:space="0" w:color="auto"/>
            <w:bottom w:val="none" w:sz="0" w:space="0" w:color="auto"/>
            <w:right w:val="none" w:sz="0" w:space="0" w:color="auto"/>
          </w:divBdr>
        </w:div>
        <w:div w:id="797796112">
          <w:marLeft w:val="0"/>
          <w:marRight w:val="0"/>
          <w:marTop w:val="0"/>
          <w:marBottom w:val="240"/>
          <w:divBdr>
            <w:top w:val="none" w:sz="0" w:space="0" w:color="auto"/>
            <w:left w:val="none" w:sz="0" w:space="0" w:color="auto"/>
            <w:bottom w:val="none" w:sz="0" w:space="0" w:color="auto"/>
            <w:right w:val="none" w:sz="0" w:space="0" w:color="auto"/>
          </w:divBdr>
        </w:div>
        <w:div w:id="1788965270">
          <w:marLeft w:val="0"/>
          <w:marRight w:val="0"/>
          <w:marTop w:val="0"/>
          <w:marBottom w:val="240"/>
          <w:divBdr>
            <w:top w:val="none" w:sz="0" w:space="0" w:color="auto"/>
            <w:left w:val="none" w:sz="0" w:space="0" w:color="auto"/>
            <w:bottom w:val="none" w:sz="0" w:space="0" w:color="auto"/>
            <w:right w:val="none" w:sz="0" w:space="0" w:color="auto"/>
          </w:divBdr>
        </w:div>
        <w:div w:id="779491694">
          <w:marLeft w:val="0"/>
          <w:marRight w:val="0"/>
          <w:marTop w:val="0"/>
          <w:marBottom w:val="240"/>
          <w:divBdr>
            <w:top w:val="none" w:sz="0" w:space="0" w:color="auto"/>
            <w:left w:val="none" w:sz="0" w:space="0" w:color="auto"/>
            <w:bottom w:val="none" w:sz="0" w:space="0" w:color="auto"/>
            <w:right w:val="none" w:sz="0" w:space="0" w:color="auto"/>
          </w:divBdr>
        </w:div>
        <w:div w:id="627901816">
          <w:marLeft w:val="0"/>
          <w:marRight w:val="0"/>
          <w:marTop w:val="0"/>
          <w:marBottom w:val="0"/>
          <w:divBdr>
            <w:top w:val="none" w:sz="0" w:space="0" w:color="auto"/>
            <w:left w:val="none" w:sz="0" w:space="0" w:color="auto"/>
            <w:bottom w:val="none" w:sz="0" w:space="0" w:color="auto"/>
            <w:right w:val="none" w:sz="0" w:space="0" w:color="auto"/>
          </w:divBdr>
        </w:div>
      </w:divsChild>
    </w:div>
    <w:div w:id="1221088022">
      <w:bodyDiv w:val="1"/>
      <w:marLeft w:val="0"/>
      <w:marRight w:val="0"/>
      <w:marTop w:val="0"/>
      <w:marBottom w:val="0"/>
      <w:divBdr>
        <w:top w:val="none" w:sz="0" w:space="0" w:color="auto"/>
        <w:left w:val="none" w:sz="0" w:space="0" w:color="auto"/>
        <w:bottom w:val="none" w:sz="0" w:space="0" w:color="auto"/>
        <w:right w:val="none" w:sz="0" w:space="0" w:color="auto"/>
      </w:divBdr>
      <w:divsChild>
        <w:div w:id="956060444">
          <w:marLeft w:val="0"/>
          <w:marRight w:val="0"/>
          <w:marTop w:val="0"/>
          <w:marBottom w:val="240"/>
          <w:divBdr>
            <w:top w:val="none" w:sz="0" w:space="0" w:color="auto"/>
            <w:left w:val="none" w:sz="0" w:space="0" w:color="auto"/>
            <w:bottom w:val="none" w:sz="0" w:space="0" w:color="auto"/>
            <w:right w:val="none" w:sz="0" w:space="0" w:color="auto"/>
          </w:divBdr>
        </w:div>
        <w:div w:id="2146460199">
          <w:marLeft w:val="0"/>
          <w:marRight w:val="0"/>
          <w:marTop w:val="0"/>
          <w:marBottom w:val="240"/>
          <w:divBdr>
            <w:top w:val="none" w:sz="0" w:space="0" w:color="auto"/>
            <w:left w:val="none" w:sz="0" w:space="0" w:color="auto"/>
            <w:bottom w:val="none" w:sz="0" w:space="0" w:color="auto"/>
            <w:right w:val="none" w:sz="0" w:space="0" w:color="auto"/>
          </w:divBdr>
        </w:div>
        <w:div w:id="596407002">
          <w:marLeft w:val="0"/>
          <w:marRight w:val="0"/>
          <w:marTop w:val="0"/>
          <w:marBottom w:val="240"/>
          <w:divBdr>
            <w:top w:val="none" w:sz="0" w:space="0" w:color="auto"/>
            <w:left w:val="none" w:sz="0" w:space="0" w:color="auto"/>
            <w:bottom w:val="none" w:sz="0" w:space="0" w:color="auto"/>
            <w:right w:val="none" w:sz="0" w:space="0" w:color="auto"/>
          </w:divBdr>
        </w:div>
        <w:div w:id="884482799">
          <w:marLeft w:val="0"/>
          <w:marRight w:val="0"/>
          <w:marTop w:val="0"/>
          <w:marBottom w:val="240"/>
          <w:divBdr>
            <w:top w:val="none" w:sz="0" w:space="0" w:color="auto"/>
            <w:left w:val="none" w:sz="0" w:space="0" w:color="auto"/>
            <w:bottom w:val="none" w:sz="0" w:space="0" w:color="auto"/>
            <w:right w:val="none" w:sz="0" w:space="0" w:color="auto"/>
          </w:divBdr>
        </w:div>
        <w:div w:id="742340327">
          <w:marLeft w:val="0"/>
          <w:marRight w:val="0"/>
          <w:marTop w:val="0"/>
          <w:marBottom w:val="0"/>
          <w:divBdr>
            <w:top w:val="none" w:sz="0" w:space="0" w:color="auto"/>
            <w:left w:val="none" w:sz="0" w:space="0" w:color="auto"/>
            <w:bottom w:val="none" w:sz="0" w:space="0" w:color="auto"/>
            <w:right w:val="none" w:sz="0" w:space="0" w:color="auto"/>
          </w:divBdr>
        </w:div>
      </w:divsChild>
    </w:div>
    <w:div w:id="1423604485">
      <w:bodyDiv w:val="1"/>
      <w:marLeft w:val="0"/>
      <w:marRight w:val="0"/>
      <w:marTop w:val="0"/>
      <w:marBottom w:val="0"/>
      <w:divBdr>
        <w:top w:val="none" w:sz="0" w:space="0" w:color="auto"/>
        <w:left w:val="none" w:sz="0" w:space="0" w:color="auto"/>
        <w:bottom w:val="none" w:sz="0" w:space="0" w:color="auto"/>
        <w:right w:val="none" w:sz="0" w:space="0" w:color="auto"/>
      </w:divBdr>
      <w:divsChild>
        <w:div w:id="187304827">
          <w:marLeft w:val="0"/>
          <w:marRight w:val="0"/>
          <w:marTop w:val="0"/>
          <w:marBottom w:val="240"/>
          <w:divBdr>
            <w:top w:val="none" w:sz="0" w:space="0" w:color="auto"/>
            <w:left w:val="none" w:sz="0" w:space="0" w:color="auto"/>
            <w:bottom w:val="none" w:sz="0" w:space="0" w:color="auto"/>
            <w:right w:val="none" w:sz="0" w:space="0" w:color="auto"/>
          </w:divBdr>
        </w:div>
      </w:divsChild>
    </w:div>
    <w:div w:id="1432821225">
      <w:bodyDiv w:val="1"/>
      <w:marLeft w:val="0"/>
      <w:marRight w:val="0"/>
      <w:marTop w:val="0"/>
      <w:marBottom w:val="0"/>
      <w:divBdr>
        <w:top w:val="none" w:sz="0" w:space="0" w:color="auto"/>
        <w:left w:val="none" w:sz="0" w:space="0" w:color="auto"/>
        <w:bottom w:val="none" w:sz="0" w:space="0" w:color="auto"/>
        <w:right w:val="none" w:sz="0" w:space="0" w:color="auto"/>
      </w:divBdr>
      <w:divsChild>
        <w:div w:id="867330318">
          <w:marLeft w:val="0"/>
          <w:marRight w:val="0"/>
          <w:marTop w:val="0"/>
          <w:marBottom w:val="240"/>
          <w:divBdr>
            <w:top w:val="none" w:sz="0" w:space="0" w:color="auto"/>
            <w:left w:val="none" w:sz="0" w:space="0" w:color="auto"/>
            <w:bottom w:val="none" w:sz="0" w:space="0" w:color="auto"/>
            <w:right w:val="none" w:sz="0" w:space="0" w:color="auto"/>
          </w:divBdr>
        </w:div>
        <w:div w:id="1699699086">
          <w:marLeft w:val="0"/>
          <w:marRight w:val="0"/>
          <w:marTop w:val="0"/>
          <w:marBottom w:val="240"/>
          <w:divBdr>
            <w:top w:val="none" w:sz="0" w:space="0" w:color="auto"/>
            <w:left w:val="none" w:sz="0" w:space="0" w:color="auto"/>
            <w:bottom w:val="none" w:sz="0" w:space="0" w:color="auto"/>
            <w:right w:val="none" w:sz="0" w:space="0" w:color="auto"/>
          </w:divBdr>
        </w:div>
        <w:div w:id="1139804585">
          <w:marLeft w:val="0"/>
          <w:marRight w:val="0"/>
          <w:marTop w:val="0"/>
          <w:marBottom w:val="240"/>
          <w:divBdr>
            <w:top w:val="none" w:sz="0" w:space="0" w:color="auto"/>
            <w:left w:val="none" w:sz="0" w:space="0" w:color="auto"/>
            <w:bottom w:val="none" w:sz="0" w:space="0" w:color="auto"/>
            <w:right w:val="none" w:sz="0" w:space="0" w:color="auto"/>
          </w:divBdr>
        </w:div>
        <w:div w:id="296763338">
          <w:marLeft w:val="0"/>
          <w:marRight w:val="0"/>
          <w:marTop w:val="0"/>
          <w:marBottom w:val="0"/>
          <w:divBdr>
            <w:top w:val="none" w:sz="0" w:space="0" w:color="auto"/>
            <w:left w:val="none" w:sz="0" w:space="0" w:color="auto"/>
            <w:bottom w:val="none" w:sz="0" w:space="0" w:color="auto"/>
            <w:right w:val="none" w:sz="0" w:space="0" w:color="auto"/>
          </w:divBdr>
        </w:div>
      </w:divsChild>
    </w:div>
    <w:div w:id="1604335120">
      <w:bodyDiv w:val="1"/>
      <w:marLeft w:val="0"/>
      <w:marRight w:val="0"/>
      <w:marTop w:val="0"/>
      <w:marBottom w:val="0"/>
      <w:divBdr>
        <w:top w:val="none" w:sz="0" w:space="0" w:color="auto"/>
        <w:left w:val="none" w:sz="0" w:space="0" w:color="auto"/>
        <w:bottom w:val="none" w:sz="0" w:space="0" w:color="auto"/>
        <w:right w:val="none" w:sz="0" w:space="0" w:color="auto"/>
      </w:divBdr>
      <w:divsChild>
        <w:div w:id="505024846">
          <w:marLeft w:val="0"/>
          <w:marRight w:val="0"/>
          <w:marTop w:val="0"/>
          <w:marBottom w:val="240"/>
          <w:divBdr>
            <w:top w:val="none" w:sz="0" w:space="0" w:color="auto"/>
            <w:left w:val="none" w:sz="0" w:space="0" w:color="auto"/>
            <w:bottom w:val="none" w:sz="0" w:space="0" w:color="auto"/>
            <w:right w:val="none" w:sz="0" w:space="0" w:color="auto"/>
          </w:divBdr>
        </w:div>
        <w:div w:id="1619994475">
          <w:marLeft w:val="0"/>
          <w:marRight w:val="0"/>
          <w:marTop w:val="0"/>
          <w:marBottom w:val="240"/>
          <w:divBdr>
            <w:top w:val="none" w:sz="0" w:space="0" w:color="auto"/>
            <w:left w:val="none" w:sz="0" w:space="0" w:color="auto"/>
            <w:bottom w:val="none" w:sz="0" w:space="0" w:color="auto"/>
            <w:right w:val="none" w:sz="0" w:space="0" w:color="auto"/>
          </w:divBdr>
        </w:div>
        <w:div w:id="1083382332">
          <w:marLeft w:val="0"/>
          <w:marRight w:val="0"/>
          <w:marTop w:val="0"/>
          <w:marBottom w:val="240"/>
          <w:divBdr>
            <w:top w:val="none" w:sz="0" w:space="0" w:color="auto"/>
            <w:left w:val="none" w:sz="0" w:space="0" w:color="auto"/>
            <w:bottom w:val="none" w:sz="0" w:space="0" w:color="auto"/>
            <w:right w:val="none" w:sz="0" w:space="0" w:color="auto"/>
          </w:divBdr>
        </w:div>
        <w:div w:id="2126075517">
          <w:marLeft w:val="0"/>
          <w:marRight w:val="0"/>
          <w:marTop w:val="0"/>
          <w:marBottom w:val="240"/>
          <w:divBdr>
            <w:top w:val="none" w:sz="0" w:space="0" w:color="auto"/>
            <w:left w:val="none" w:sz="0" w:space="0" w:color="auto"/>
            <w:bottom w:val="none" w:sz="0" w:space="0" w:color="auto"/>
            <w:right w:val="none" w:sz="0" w:space="0" w:color="auto"/>
          </w:divBdr>
        </w:div>
        <w:div w:id="434981872">
          <w:marLeft w:val="0"/>
          <w:marRight w:val="0"/>
          <w:marTop w:val="0"/>
          <w:marBottom w:val="0"/>
          <w:divBdr>
            <w:top w:val="none" w:sz="0" w:space="0" w:color="auto"/>
            <w:left w:val="none" w:sz="0" w:space="0" w:color="auto"/>
            <w:bottom w:val="none" w:sz="0" w:space="0" w:color="auto"/>
            <w:right w:val="none" w:sz="0" w:space="0" w:color="auto"/>
          </w:divBdr>
        </w:div>
      </w:divsChild>
    </w:div>
    <w:div w:id="1742169057">
      <w:bodyDiv w:val="1"/>
      <w:marLeft w:val="0"/>
      <w:marRight w:val="0"/>
      <w:marTop w:val="0"/>
      <w:marBottom w:val="0"/>
      <w:divBdr>
        <w:top w:val="none" w:sz="0" w:space="0" w:color="auto"/>
        <w:left w:val="none" w:sz="0" w:space="0" w:color="auto"/>
        <w:bottom w:val="none" w:sz="0" w:space="0" w:color="auto"/>
        <w:right w:val="none" w:sz="0" w:space="0" w:color="auto"/>
      </w:divBdr>
      <w:divsChild>
        <w:div w:id="2090228239">
          <w:marLeft w:val="0"/>
          <w:marRight w:val="0"/>
          <w:marTop w:val="0"/>
          <w:marBottom w:val="240"/>
          <w:divBdr>
            <w:top w:val="none" w:sz="0" w:space="0" w:color="auto"/>
            <w:left w:val="none" w:sz="0" w:space="0" w:color="auto"/>
            <w:bottom w:val="none" w:sz="0" w:space="0" w:color="auto"/>
            <w:right w:val="none" w:sz="0" w:space="0" w:color="auto"/>
          </w:divBdr>
        </w:div>
        <w:div w:id="223221669">
          <w:marLeft w:val="0"/>
          <w:marRight w:val="0"/>
          <w:marTop w:val="0"/>
          <w:marBottom w:val="240"/>
          <w:divBdr>
            <w:top w:val="none" w:sz="0" w:space="0" w:color="auto"/>
            <w:left w:val="none" w:sz="0" w:space="0" w:color="auto"/>
            <w:bottom w:val="none" w:sz="0" w:space="0" w:color="auto"/>
            <w:right w:val="none" w:sz="0" w:space="0" w:color="auto"/>
          </w:divBdr>
        </w:div>
        <w:div w:id="606548464">
          <w:marLeft w:val="0"/>
          <w:marRight w:val="0"/>
          <w:marTop w:val="0"/>
          <w:marBottom w:val="240"/>
          <w:divBdr>
            <w:top w:val="none" w:sz="0" w:space="0" w:color="auto"/>
            <w:left w:val="none" w:sz="0" w:space="0" w:color="auto"/>
            <w:bottom w:val="none" w:sz="0" w:space="0" w:color="auto"/>
            <w:right w:val="none" w:sz="0" w:space="0" w:color="auto"/>
          </w:divBdr>
        </w:div>
        <w:div w:id="1232735756">
          <w:marLeft w:val="0"/>
          <w:marRight w:val="0"/>
          <w:marTop w:val="0"/>
          <w:marBottom w:val="0"/>
          <w:divBdr>
            <w:top w:val="none" w:sz="0" w:space="0" w:color="auto"/>
            <w:left w:val="none" w:sz="0" w:space="0" w:color="auto"/>
            <w:bottom w:val="none" w:sz="0" w:space="0" w:color="auto"/>
            <w:right w:val="none" w:sz="0" w:space="0" w:color="auto"/>
          </w:divBdr>
        </w:div>
      </w:divsChild>
    </w:div>
    <w:div w:id="1745451676">
      <w:bodyDiv w:val="1"/>
      <w:marLeft w:val="0"/>
      <w:marRight w:val="0"/>
      <w:marTop w:val="0"/>
      <w:marBottom w:val="0"/>
      <w:divBdr>
        <w:top w:val="none" w:sz="0" w:space="0" w:color="auto"/>
        <w:left w:val="none" w:sz="0" w:space="0" w:color="auto"/>
        <w:bottom w:val="none" w:sz="0" w:space="0" w:color="auto"/>
        <w:right w:val="none" w:sz="0" w:space="0" w:color="auto"/>
      </w:divBdr>
      <w:divsChild>
        <w:div w:id="1761177905">
          <w:marLeft w:val="0"/>
          <w:marRight w:val="0"/>
          <w:marTop w:val="0"/>
          <w:marBottom w:val="240"/>
          <w:divBdr>
            <w:top w:val="none" w:sz="0" w:space="0" w:color="auto"/>
            <w:left w:val="none" w:sz="0" w:space="0" w:color="auto"/>
            <w:bottom w:val="none" w:sz="0" w:space="0" w:color="auto"/>
            <w:right w:val="none" w:sz="0" w:space="0" w:color="auto"/>
          </w:divBdr>
        </w:div>
        <w:div w:id="92170089">
          <w:marLeft w:val="0"/>
          <w:marRight w:val="0"/>
          <w:marTop w:val="0"/>
          <w:marBottom w:val="240"/>
          <w:divBdr>
            <w:top w:val="none" w:sz="0" w:space="0" w:color="auto"/>
            <w:left w:val="none" w:sz="0" w:space="0" w:color="auto"/>
            <w:bottom w:val="none" w:sz="0" w:space="0" w:color="auto"/>
            <w:right w:val="none" w:sz="0" w:space="0" w:color="auto"/>
          </w:divBdr>
        </w:div>
        <w:div w:id="1271471119">
          <w:marLeft w:val="0"/>
          <w:marRight w:val="0"/>
          <w:marTop w:val="0"/>
          <w:marBottom w:val="240"/>
          <w:divBdr>
            <w:top w:val="none" w:sz="0" w:space="0" w:color="auto"/>
            <w:left w:val="none" w:sz="0" w:space="0" w:color="auto"/>
            <w:bottom w:val="none" w:sz="0" w:space="0" w:color="auto"/>
            <w:right w:val="none" w:sz="0" w:space="0" w:color="auto"/>
          </w:divBdr>
        </w:div>
        <w:div w:id="1835073672">
          <w:marLeft w:val="0"/>
          <w:marRight w:val="0"/>
          <w:marTop w:val="0"/>
          <w:marBottom w:val="240"/>
          <w:divBdr>
            <w:top w:val="none" w:sz="0" w:space="0" w:color="auto"/>
            <w:left w:val="none" w:sz="0" w:space="0" w:color="auto"/>
            <w:bottom w:val="none" w:sz="0" w:space="0" w:color="auto"/>
            <w:right w:val="none" w:sz="0" w:space="0" w:color="auto"/>
          </w:divBdr>
        </w:div>
        <w:div w:id="1984038798">
          <w:marLeft w:val="0"/>
          <w:marRight w:val="0"/>
          <w:marTop w:val="0"/>
          <w:marBottom w:val="0"/>
          <w:divBdr>
            <w:top w:val="none" w:sz="0" w:space="0" w:color="auto"/>
            <w:left w:val="none" w:sz="0" w:space="0" w:color="auto"/>
            <w:bottom w:val="none" w:sz="0" w:space="0" w:color="auto"/>
            <w:right w:val="none" w:sz="0" w:space="0" w:color="auto"/>
          </w:divBdr>
        </w:div>
      </w:divsChild>
    </w:div>
    <w:div w:id="1976790954">
      <w:bodyDiv w:val="1"/>
      <w:marLeft w:val="0"/>
      <w:marRight w:val="0"/>
      <w:marTop w:val="0"/>
      <w:marBottom w:val="0"/>
      <w:divBdr>
        <w:top w:val="none" w:sz="0" w:space="0" w:color="auto"/>
        <w:left w:val="none" w:sz="0" w:space="0" w:color="auto"/>
        <w:bottom w:val="none" w:sz="0" w:space="0" w:color="auto"/>
        <w:right w:val="none" w:sz="0" w:space="0" w:color="auto"/>
      </w:divBdr>
      <w:divsChild>
        <w:div w:id="1334189682">
          <w:marLeft w:val="0"/>
          <w:marRight w:val="0"/>
          <w:marTop w:val="0"/>
          <w:marBottom w:val="240"/>
          <w:divBdr>
            <w:top w:val="none" w:sz="0" w:space="0" w:color="auto"/>
            <w:left w:val="none" w:sz="0" w:space="0" w:color="auto"/>
            <w:bottom w:val="none" w:sz="0" w:space="0" w:color="auto"/>
            <w:right w:val="none" w:sz="0" w:space="0" w:color="auto"/>
          </w:divBdr>
        </w:div>
        <w:div w:id="106200625">
          <w:marLeft w:val="0"/>
          <w:marRight w:val="0"/>
          <w:marTop w:val="0"/>
          <w:marBottom w:val="240"/>
          <w:divBdr>
            <w:top w:val="none" w:sz="0" w:space="0" w:color="auto"/>
            <w:left w:val="none" w:sz="0" w:space="0" w:color="auto"/>
            <w:bottom w:val="none" w:sz="0" w:space="0" w:color="auto"/>
            <w:right w:val="none" w:sz="0" w:space="0" w:color="auto"/>
          </w:divBdr>
        </w:div>
        <w:div w:id="1402097042">
          <w:marLeft w:val="0"/>
          <w:marRight w:val="0"/>
          <w:marTop w:val="0"/>
          <w:marBottom w:val="0"/>
          <w:divBdr>
            <w:top w:val="none" w:sz="0" w:space="0" w:color="auto"/>
            <w:left w:val="none" w:sz="0" w:space="0" w:color="auto"/>
            <w:bottom w:val="none" w:sz="0" w:space="0" w:color="auto"/>
            <w:right w:val="none" w:sz="0" w:space="0" w:color="auto"/>
          </w:divBdr>
        </w:div>
      </w:divsChild>
    </w:div>
    <w:div w:id="2016302554">
      <w:bodyDiv w:val="1"/>
      <w:marLeft w:val="0"/>
      <w:marRight w:val="0"/>
      <w:marTop w:val="0"/>
      <w:marBottom w:val="0"/>
      <w:divBdr>
        <w:top w:val="none" w:sz="0" w:space="0" w:color="auto"/>
        <w:left w:val="none" w:sz="0" w:space="0" w:color="auto"/>
        <w:bottom w:val="none" w:sz="0" w:space="0" w:color="auto"/>
        <w:right w:val="none" w:sz="0" w:space="0" w:color="auto"/>
      </w:divBdr>
      <w:divsChild>
        <w:div w:id="57557034">
          <w:marLeft w:val="0"/>
          <w:marRight w:val="0"/>
          <w:marTop w:val="0"/>
          <w:marBottom w:val="240"/>
          <w:divBdr>
            <w:top w:val="none" w:sz="0" w:space="0" w:color="auto"/>
            <w:left w:val="none" w:sz="0" w:space="0" w:color="auto"/>
            <w:bottom w:val="none" w:sz="0" w:space="0" w:color="auto"/>
            <w:right w:val="none" w:sz="0" w:space="0" w:color="auto"/>
          </w:divBdr>
        </w:div>
        <w:div w:id="700059625">
          <w:marLeft w:val="0"/>
          <w:marRight w:val="0"/>
          <w:marTop w:val="0"/>
          <w:marBottom w:val="240"/>
          <w:divBdr>
            <w:top w:val="none" w:sz="0" w:space="0" w:color="auto"/>
            <w:left w:val="none" w:sz="0" w:space="0" w:color="auto"/>
            <w:bottom w:val="none" w:sz="0" w:space="0" w:color="auto"/>
            <w:right w:val="none" w:sz="0" w:space="0" w:color="auto"/>
          </w:divBdr>
        </w:div>
        <w:div w:id="1586916549">
          <w:marLeft w:val="0"/>
          <w:marRight w:val="0"/>
          <w:marTop w:val="0"/>
          <w:marBottom w:val="240"/>
          <w:divBdr>
            <w:top w:val="none" w:sz="0" w:space="0" w:color="auto"/>
            <w:left w:val="none" w:sz="0" w:space="0" w:color="auto"/>
            <w:bottom w:val="none" w:sz="0" w:space="0" w:color="auto"/>
            <w:right w:val="none" w:sz="0" w:space="0" w:color="auto"/>
          </w:divBdr>
        </w:div>
        <w:div w:id="2085252036">
          <w:marLeft w:val="0"/>
          <w:marRight w:val="0"/>
          <w:marTop w:val="0"/>
          <w:marBottom w:val="0"/>
          <w:divBdr>
            <w:top w:val="none" w:sz="0" w:space="0" w:color="auto"/>
            <w:left w:val="none" w:sz="0" w:space="0" w:color="auto"/>
            <w:bottom w:val="none" w:sz="0" w:space="0" w:color="auto"/>
            <w:right w:val="none" w:sz="0" w:space="0" w:color="auto"/>
          </w:divBdr>
        </w:div>
      </w:divsChild>
    </w:div>
    <w:div w:id="2137793833">
      <w:bodyDiv w:val="1"/>
      <w:marLeft w:val="0"/>
      <w:marRight w:val="0"/>
      <w:marTop w:val="0"/>
      <w:marBottom w:val="0"/>
      <w:divBdr>
        <w:top w:val="none" w:sz="0" w:space="0" w:color="auto"/>
        <w:left w:val="none" w:sz="0" w:space="0" w:color="auto"/>
        <w:bottom w:val="none" w:sz="0" w:space="0" w:color="auto"/>
        <w:right w:val="none" w:sz="0" w:space="0" w:color="auto"/>
      </w:divBdr>
      <w:divsChild>
        <w:div w:id="1026370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orres@elpoderdelconsumidor.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2DDD0EF3-B4CD-4639-A021-ED0ABD01E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9026</Words>
  <Characters>52534</Characters>
  <Application>Microsoft Office Word</Application>
  <DocSecurity>0</DocSecurity>
  <Lines>1117</Lines>
  <Paragraphs>330</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9</cp:revision>
  <dcterms:created xsi:type="dcterms:W3CDTF">2025-05-17T20:55:00Z</dcterms:created>
  <dcterms:modified xsi:type="dcterms:W3CDTF">2025-05-17T21:20:00Z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95dd54479e17de3bc4c8a77655c17854ab4df3eeb475d3a7edb80c89e09e2187</vt:lpwstr>
  </property>
  <property fmtid="{D5CDD505-2E9C-101B-9397-08002B2CF9AE}" pid="3" name="LE1">
    <vt:filetime>2024-12-18T19:26:12Z</vt:filetime>
  </property>
  <property fmtid="{D5CDD505-2E9C-101B-9397-08002B2CF9AE}" pid="4" name="Mendeley Citation Style_1">
    <vt:lpwstr>http://www.zotero.org/styles/vancouver</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http://www.zotero.org/styles/harvard-cite-them-right</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http://www.zotero.org/styles/vancouver</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17th edition (author-date)</vt:lpwstr>
  </property>
  <property fmtid="{D5CDD505-2E9C-101B-9397-08002B2CF9AE}" pid="21" name="Mendeley Recent Style Name 5_1">
    <vt:lpwstr>Cite Them Right 10th edition - Harvard</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8th edition</vt:lpwstr>
  </property>
  <property fmtid="{D5CDD505-2E9C-101B-9397-08002B2CF9AE}" pid="25" name="Mendeley Recent Style Name 9_1">
    <vt:lpwstr>Vancouver</vt:lpwstr>
  </property>
  <property fmtid="{D5CDD505-2E9C-101B-9397-08002B2CF9AE}" pid="26" name="Mendeley Unique User Id_1">
    <vt:lpwstr>6eacd9c7-cefb-380c-a60c-eb075ebb34da</vt:lpwstr>
  </property>
</Properties>
</file>