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F26F" w14:textId="3AAA33B8" w:rsidR="009F10EE" w:rsidRPr="006C4A73" w:rsidRDefault="009F10EE" w:rsidP="009F10EE">
      <w:pPr>
        <w:spacing w:line="480" w:lineRule="auto"/>
        <w:rPr>
          <w:rFonts w:ascii="Times New Roman" w:eastAsia="微软雅黑" w:hAnsi="Times New Roman" w:cs="Times New Roman"/>
          <w:b/>
          <w:bCs/>
          <w:kern w:val="0"/>
          <w:sz w:val="24"/>
          <w:szCs w:val="24"/>
          <w14:ligatures w14:val="none"/>
        </w:rPr>
      </w:pPr>
      <w:bookmarkStart w:id="0" w:name="OLE_LINK16"/>
      <w:r>
        <w:rPr>
          <w:rFonts w:ascii="Times New Roman" w:eastAsia="微软雅黑" w:hAnsi="Times New Roman" w:cs="Times New Roman" w:hint="eastAsia"/>
          <w:b/>
          <w:bCs/>
          <w:kern w:val="0"/>
          <w:sz w:val="24"/>
          <w:szCs w:val="24"/>
          <w14:ligatures w14:val="none"/>
        </w:rPr>
        <w:t>1</w:t>
      </w:r>
      <w:r>
        <w:rPr>
          <w:rFonts w:ascii="Times New Roman" w:eastAsia="微软雅黑" w:hAnsi="Times New Roman" w:cs="Times New Roman"/>
          <w:b/>
          <w:bCs/>
          <w:kern w:val="0"/>
          <w:sz w:val="24"/>
          <w:szCs w:val="24"/>
          <w14:ligatures w14:val="none"/>
        </w:rPr>
        <w:t xml:space="preserve">. </w:t>
      </w:r>
      <w:r w:rsidRPr="006C4A73">
        <w:rPr>
          <w:rFonts w:ascii="Times New Roman" w:eastAsia="微软雅黑" w:hAnsi="Times New Roman" w:cs="Times New Roman"/>
          <w:b/>
          <w:bCs/>
          <w:kern w:val="0"/>
          <w:sz w:val="24"/>
          <w:szCs w:val="24"/>
          <w14:ligatures w14:val="none"/>
        </w:rPr>
        <w:t>Materials and Methods</w:t>
      </w:r>
    </w:p>
    <w:p w14:paraId="0ECDD409" w14:textId="356E6EC4" w:rsidR="00D7483B" w:rsidRPr="001844FB" w:rsidRDefault="009F10EE" w:rsidP="00D7483B">
      <w:pPr>
        <w:spacing w:line="480" w:lineRule="auto"/>
        <w:rPr>
          <w:rFonts w:ascii="Times New Roman" w:hAnsi="Times New Roman" w:cs="Times New Roman"/>
          <w:sz w:val="24"/>
          <w:szCs w:val="24"/>
        </w:rPr>
      </w:pPr>
      <w:r>
        <w:rPr>
          <w:rFonts w:ascii="Times New Roman" w:hAnsi="Times New Roman" w:cs="Times New Roman" w:hint="eastAsia"/>
          <w:sz w:val="24"/>
          <w:szCs w:val="24"/>
        </w:rPr>
        <w:t>1.1</w:t>
      </w:r>
      <w:r w:rsidR="00D7483B">
        <w:rPr>
          <w:rFonts w:ascii="Times New Roman" w:hAnsi="Times New Roman" w:cs="Times New Roman"/>
          <w:sz w:val="24"/>
          <w:szCs w:val="24"/>
        </w:rPr>
        <w:t>.</w:t>
      </w:r>
      <w:r w:rsidR="00D7483B" w:rsidRPr="001844FB">
        <w:t xml:space="preserve"> </w:t>
      </w:r>
      <w:r w:rsidR="00D7483B" w:rsidRPr="001844FB">
        <w:rPr>
          <w:rFonts w:ascii="Times New Roman" w:hAnsi="Times New Roman" w:cs="Times New Roman"/>
          <w:sz w:val="24"/>
          <w:szCs w:val="24"/>
        </w:rPr>
        <w:t>RNA-seq</w:t>
      </w:r>
    </w:p>
    <w:p w14:paraId="094C250E" w14:textId="77777777"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t xml:space="preserve">Total RNA was extracted according to the instruction manual of </w:t>
      </w:r>
      <w:proofErr w:type="spellStart"/>
      <w:r w:rsidRPr="001844FB">
        <w:rPr>
          <w:rFonts w:ascii="Times New Roman" w:hAnsi="Times New Roman" w:cs="Times New Roman"/>
          <w:sz w:val="24"/>
          <w:szCs w:val="24"/>
        </w:rPr>
        <w:t>TRIzol</w:t>
      </w:r>
      <w:proofErr w:type="spellEnd"/>
      <w:r w:rsidRPr="001844FB">
        <w:rPr>
          <w:rFonts w:ascii="Times New Roman" w:hAnsi="Times New Roman" w:cs="Times New Roman"/>
          <w:sz w:val="24"/>
          <w:szCs w:val="24"/>
        </w:rPr>
        <w:t xml:space="preserve"> reagent (Life Technologies, Carlsbad, CA, USA). RNA concentration and purity were measured using a </w:t>
      </w:r>
      <w:proofErr w:type="spellStart"/>
      <w:r w:rsidRPr="001844FB">
        <w:rPr>
          <w:rFonts w:ascii="Times New Roman" w:hAnsi="Times New Roman" w:cs="Times New Roman"/>
          <w:sz w:val="24"/>
          <w:szCs w:val="24"/>
        </w:rPr>
        <w:t>NanoDrop</w:t>
      </w:r>
      <w:proofErr w:type="spellEnd"/>
      <w:r w:rsidRPr="001844FB">
        <w:rPr>
          <w:rFonts w:ascii="Times New Roman" w:hAnsi="Times New Roman" w:cs="Times New Roman"/>
          <w:sz w:val="24"/>
          <w:szCs w:val="24"/>
        </w:rPr>
        <w:t xml:space="preserve"> 2000 (</w:t>
      </w:r>
      <w:proofErr w:type="spellStart"/>
      <w:r w:rsidRPr="001844FB">
        <w:rPr>
          <w:rFonts w:ascii="Times New Roman" w:hAnsi="Times New Roman" w:cs="Times New Roman"/>
          <w:sz w:val="24"/>
          <w:szCs w:val="24"/>
        </w:rPr>
        <w:t>Thermo</w:t>
      </w:r>
      <w:proofErr w:type="spellEnd"/>
      <w:r w:rsidRPr="001844FB">
        <w:rPr>
          <w:rFonts w:ascii="Times New Roman" w:hAnsi="Times New Roman" w:cs="Times New Roman"/>
          <w:sz w:val="24"/>
          <w:szCs w:val="24"/>
        </w:rPr>
        <w:t xml:space="preserve"> Fisher Scientific, Wilmington, DE, USA). RNA integrity was assessed using the RNA Nano 6000 Assay Kit of the Agilent Bioanalyzer 2100 system (Agilent Technologies, CA, USA). A total amount of 1 </w:t>
      </w:r>
      <w:proofErr w:type="spellStart"/>
      <w:r w:rsidRPr="001844FB">
        <w:rPr>
          <w:rFonts w:ascii="Times New Roman" w:hAnsi="Times New Roman" w:cs="Times New Roman"/>
          <w:sz w:val="24"/>
          <w:szCs w:val="24"/>
        </w:rPr>
        <w:t>μg</w:t>
      </w:r>
      <w:proofErr w:type="spellEnd"/>
      <w:r w:rsidRPr="001844FB">
        <w:rPr>
          <w:rFonts w:ascii="Times New Roman" w:hAnsi="Times New Roman" w:cs="Times New Roman"/>
          <w:sz w:val="24"/>
          <w:szCs w:val="24"/>
        </w:rPr>
        <w:t xml:space="preserve"> RNA per sample was used as input material for the RNA sample preparations.</w:t>
      </w:r>
    </w:p>
    <w:p w14:paraId="49363E03" w14:textId="77777777"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t xml:space="preserve">Sequencing libraries were generated using a </w:t>
      </w:r>
      <w:proofErr w:type="spellStart"/>
      <w:r w:rsidRPr="001844FB">
        <w:rPr>
          <w:rFonts w:ascii="Times New Roman" w:hAnsi="Times New Roman" w:cs="Times New Roman"/>
          <w:sz w:val="24"/>
          <w:szCs w:val="24"/>
        </w:rPr>
        <w:t>NEBNext</w:t>
      </w:r>
      <w:proofErr w:type="spellEnd"/>
      <w:r w:rsidRPr="001844FB">
        <w:rPr>
          <w:rFonts w:ascii="Times New Roman" w:hAnsi="Times New Roman" w:cs="Times New Roman"/>
          <w:sz w:val="24"/>
          <w:szCs w:val="24"/>
        </w:rPr>
        <w:t xml:space="preserve"> Ultra™ RNA Library Prep Kit for Illumina (NEB, USA) following the manufacturer’s recommendations and index codes were added to attribute sequences to each sample. Clustering of the index-coded samples was performed on a </w:t>
      </w:r>
      <w:proofErr w:type="spellStart"/>
      <w:r w:rsidRPr="001844FB">
        <w:rPr>
          <w:rFonts w:ascii="Times New Roman" w:hAnsi="Times New Roman" w:cs="Times New Roman"/>
          <w:sz w:val="24"/>
          <w:szCs w:val="24"/>
        </w:rPr>
        <w:t>cBot</w:t>
      </w:r>
      <w:proofErr w:type="spellEnd"/>
      <w:r w:rsidRPr="001844FB">
        <w:rPr>
          <w:rFonts w:ascii="Times New Roman" w:hAnsi="Times New Roman" w:cs="Times New Roman"/>
          <w:sz w:val="24"/>
          <w:szCs w:val="24"/>
        </w:rPr>
        <w:t xml:space="preserve"> Cluster Generation System using a </w:t>
      </w:r>
      <w:proofErr w:type="spellStart"/>
      <w:r w:rsidRPr="001844FB">
        <w:rPr>
          <w:rFonts w:ascii="Times New Roman" w:hAnsi="Times New Roman" w:cs="Times New Roman"/>
          <w:sz w:val="24"/>
          <w:szCs w:val="24"/>
        </w:rPr>
        <w:t>TruSeq</w:t>
      </w:r>
      <w:proofErr w:type="spellEnd"/>
      <w:r w:rsidRPr="001844FB">
        <w:rPr>
          <w:rFonts w:ascii="Times New Roman" w:hAnsi="Times New Roman" w:cs="Times New Roman"/>
          <w:sz w:val="24"/>
          <w:szCs w:val="24"/>
        </w:rPr>
        <w:t xml:space="preserve"> PE Cluster Kit v4-cBot-HS (Illumina) according to the manufacturer’s instructions. After cluster generation, the library preparations were sequenced on an Illumina platform and paired-end reads were generated.</w:t>
      </w:r>
    </w:p>
    <w:p w14:paraId="40F5CE35" w14:textId="77777777"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t>Raw data (raw reads) in FASTQ format were first processed using in-house Perl scripts. The adaptor sequences and low-quality sequence reads were removed from the data sets. Raw sequences were transformed into clean reads after data processing. These clean reads were then mapped to the reference genome sequence. Gene expression levels were estimated by fragments per kilobase of transcript per million fragments mapped. The formula</w:t>
      </w:r>
      <w:r>
        <w:rPr>
          <w:rFonts w:ascii="Times New Roman" w:hAnsi="Times New Roman" w:cs="Times New Roman" w:hint="eastAsia"/>
          <w:sz w:val="24"/>
          <w:szCs w:val="24"/>
        </w:rPr>
        <w:t xml:space="preserve"> was</w:t>
      </w:r>
      <w:r w:rsidRPr="001844FB">
        <w:rPr>
          <w:rFonts w:ascii="Times New Roman" w:hAnsi="Times New Roman" w:cs="Times New Roman"/>
          <w:sz w:val="24"/>
          <w:szCs w:val="24"/>
        </w:rPr>
        <w:t xml:space="preserve"> shown as follows:</w:t>
      </w:r>
    </w:p>
    <w:p w14:paraId="30F4AE48" w14:textId="77777777" w:rsidR="00D7483B" w:rsidRDefault="00D7483B" w:rsidP="00D7483B">
      <w:pPr>
        <w:spacing w:line="480" w:lineRule="auto"/>
        <w:jc w:val="center"/>
        <w:rPr>
          <w:rFonts w:ascii="Times New Roman" w:hAnsi="Times New Roman" w:cs="Times New Roman"/>
          <w:sz w:val="24"/>
          <w:szCs w:val="24"/>
        </w:rPr>
      </w:pPr>
      <m:oMathPara>
        <m:oMath>
          <m:r>
            <w:rPr>
              <w:rFonts w:ascii="Cambria Math" w:eastAsia="宋体" w:hAnsi="Cambria Math"/>
              <w:color w:val="000000"/>
              <w:sz w:val="24"/>
              <w:szCs w:val="24"/>
              <w:shd w:val="clear" w:color="auto" w:fill="FFFFFF"/>
            </w:rPr>
            <m:t>FPKM</m:t>
          </m:r>
          <m:r>
            <w:rPr>
              <w:rFonts w:ascii="Cambria Math" w:eastAsia="宋体" w:hAnsi="Cambria Math"/>
              <w:color w:val="000000"/>
              <w:sz w:val="24"/>
              <w:szCs w:val="24"/>
            </w:rPr>
            <m:t>=</m:t>
          </m:r>
          <m:f>
            <m:fPr>
              <m:ctrlPr>
                <w:rPr>
                  <w:rFonts w:ascii="Cambria Math" w:eastAsia="宋体" w:hAnsi="Cambria Math"/>
                  <w:i/>
                  <w:color w:val="000000"/>
                  <w:sz w:val="24"/>
                  <w:szCs w:val="24"/>
                </w:rPr>
              </m:ctrlPr>
            </m:fPr>
            <m:num>
              <m:r>
                <w:rPr>
                  <w:rFonts w:ascii="Cambria Math" w:eastAsia="宋体" w:hAnsi="Cambria Math"/>
                  <w:color w:val="000000"/>
                  <w:sz w:val="24"/>
                  <w:szCs w:val="24"/>
                  <w:shd w:val="clear" w:color="auto" w:fill="FFFFFF"/>
                </w:rPr>
                <m:t>cDNAFragments</m:t>
              </m:r>
            </m:num>
            <m:den>
              <m:r>
                <w:rPr>
                  <w:rFonts w:ascii="Cambria Math" w:eastAsia="宋体" w:hAnsi="Cambria Math"/>
                  <w:color w:val="000000"/>
                  <w:sz w:val="24"/>
                  <w:szCs w:val="24"/>
                  <w:shd w:val="clear" w:color="auto" w:fill="FFFFFF"/>
                </w:rPr>
                <m:t>MappedFragments(Millions)*TranscriptLength(kb)</m:t>
              </m:r>
            </m:den>
          </m:f>
        </m:oMath>
      </m:oMathPara>
    </w:p>
    <w:p w14:paraId="35CED0A1" w14:textId="5D12C943"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lastRenderedPageBreak/>
        <w:t xml:space="preserve">Differential expression analysis of two conditions/groups was performed using DESeq2. DESeq2 provides statistical routines for determining differential expression in digital gene expression data using a model based on a negative binomial distribution. The resulting P values were adjusted using the Benjamini and Hochberg’s approach for controlling the false discovery rate. Differential expression analysis of two samples was performed using DESeq2. </w:t>
      </w:r>
      <w:r w:rsidR="00A5053B" w:rsidRPr="00A5053B">
        <w:rPr>
          <w:rFonts w:ascii="Times New Roman" w:hAnsi="Times New Roman" w:cs="Times New Roman" w:hint="eastAsia"/>
          <w:color w:val="EE0000"/>
          <w:sz w:val="24"/>
          <w:szCs w:val="24"/>
        </w:rPr>
        <w:t>|Fold Change|</w:t>
      </w:r>
      <w:r w:rsidR="00A5053B" w:rsidRPr="00A5053B">
        <w:rPr>
          <w:rFonts w:ascii="Times New Roman" w:hAnsi="Times New Roman" w:cs="Times New Roman" w:hint="eastAsia"/>
          <w:color w:val="EE0000"/>
          <w:sz w:val="24"/>
          <w:szCs w:val="24"/>
        </w:rPr>
        <w:t>≥</w:t>
      </w:r>
      <w:r w:rsidR="00A5053B" w:rsidRPr="00A5053B">
        <w:rPr>
          <w:rFonts w:ascii="Times New Roman" w:hAnsi="Times New Roman" w:cs="Times New Roman" w:hint="eastAsia"/>
          <w:color w:val="EE0000"/>
          <w:sz w:val="24"/>
          <w:szCs w:val="24"/>
        </w:rPr>
        <w:t>1.5 and P value &lt; 0.0</w:t>
      </w:r>
      <w:r w:rsidR="00A5053B">
        <w:rPr>
          <w:rFonts w:ascii="Times New Roman" w:hAnsi="Times New Roman" w:cs="Times New Roman" w:hint="eastAsia"/>
          <w:color w:val="EE0000"/>
          <w:sz w:val="24"/>
          <w:szCs w:val="24"/>
        </w:rPr>
        <w:t>1</w:t>
      </w:r>
      <w:r w:rsidRPr="001844FB">
        <w:rPr>
          <w:rFonts w:ascii="Times New Roman" w:hAnsi="Times New Roman" w:cs="Times New Roman"/>
          <w:sz w:val="24"/>
          <w:szCs w:val="24"/>
        </w:rPr>
        <w:t xml:space="preserve"> were set as the threshold for significantly different expression. Gene Ontology (GO) enrichment analysis of the </w:t>
      </w:r>
      <w:r>
        <w:rPr>
          <w:rFonts w:ascii="Times New Roman" w:hAnsi="Times New Roman" w:cs="Times New Roman"/>
          <w:sz w:val="24"/>
          <w:szCs w:val="24"/>
        </w:rPr>
        <w:t>DEGs</w:t>
      </w:r>
      <w:r w:rsidRPr="001844FB">
        <w:rPr>
          <w:rFonts w:ascii="Times New Roman" w:hAnsi="Times New Roman" w:cs="Times New Roman"/>
          <w:sz w:val="24"/>
          <w:szCs w:val="24"/>
        </w:rPr>
        <w:t xml:space="preserve"> was implemented by the GOseq R package based on Wallenius’ noncentral hyper-geometric distribution, which can adjust for gene length bias in DEGs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{"citationID":"FlQeRQoe","properties":{"formattedCitation":"\\super 1\\nosupersub{}","plainCitation":"1","noteIndex":0},"citationItems":[{"id":810,"uris":["http://zotero.org/users/12371979/items/43E59PWN"],"itemData":{"id":810,"type":"article-journal","abstract":"GOseq is a method for GO analysis of RNA-seq data that takes into account the length bias inherent in RNA-seq, We present GOseq, an application for performing Gene Ontology (GO) analysis on RNA-seq data. GO analysis is widely used to reduce complexity and highlight biological processes in genome-wide expression studies, but standard methods give biased results on RNA-seq data due to over-detection of differential expression for long and highly expressed transcripts. Application of GOseq to a prostate cancer data set shows that GOseq dramatically changes the results, highlighting categories more consistent with the known biology.","container-title":"Genome Biology","DOI":"10.1186/gb-2010-11-2-r14","ISSN":"1465-6906","issue":"2","journalAbbreviation":"Genome Biol","note":"PMID: 20132535\nPMCID: PMC2872874","page":"R14","source":"PubMed Central","title":"Gene ontology analysis for RNA-seq: accounting for selection bias","title-short":"Gene ontology analysis for RNA-seq","volume":"11","author":[{"family":"Young","given":"Matthew D"},{"family":"Wakefield","given":"Matthew J"},{"family":"Smyth","given":"Gordon K"},{"family":"Oshlack","given":"Alicia"}],"issued":{"date-parts":[["2010"]]}}}],"schema":"https://github.com/citation-style-language/schema/raw/master/csl-citation.json"} </w:instrText>
      </w:r>
      <w:r>
        <w:rPr>
          <w:rFonts w:ascii="Times New Roman" w:hAnsi="Times New Roman" w:cs="Times New Roman"/>
          <w:sz w:val="24"/>
          <w:szCs w:val="24"/>
        </w:rPr>
        <w:fldChar w:fldCharType="separate"/>
      </w:r>
      <w:r w:rsidRPr="00D7483B">
        <w:rPr>
          <w:rFonts w:ascii="Times New Roman" w:hAnsi="Times New Roman" w:cs="Times New Roman"/>
          <w:kern w:val="0"/>
          <w:sz w:val="24"/>
          <w:vertAlign w:val="superscript"/>
        </w:rPr>
        <w:t>1</w:t>
      </w:r>
      <w:r>
        <w:rPr>
          <w:rFonts w:ascii="Times New Roman" w:hAnsi="Times New Roman" w:cs="Times New Roman"/>
          <w:sz w:val="24"/>
          <w:szCs w:val="24"/>
        </w:rPr>
        <w:fldChar w:fldCharType="end"/>
      </w:r>
      <w:r w:rsidRPr="001844FB">
        <w:rPr>
          <w:rFonts w:ascii="Times New Roman" w:hAnsi="Times New Roman" w:cs="Times New Roman"/>
          <w:sz w:val="24"/>
          <w:szCs w:val="24"/>
        </w:rPr>
        <w:t>. We used KOBAS software to test the statistical enrichment of differential expression genes in KEGG pathways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{"citationID":"LTPsCdeB","properties":{"formattedCitation":"\\super 2\\nosupersub{}","plainCitation":"2","noteIndex":0},"citationItems":[{"id":813,"uris":["http://zotero.org/users/12371979/items/JCVY35UB"],"itemData":{"id":813,"type":"article-journal","abstract":"MOTIVATION: High-throughput technologies such as DNA sequencing and microarrays have created the need for automated annotation of large sets of genes, including whole genomes, and automated identification of pathways. Ontologies, such as the popular Gene Ontology (GO), provide a common controlled vocabulary for these types of automated analysis. Yet, while GO offers tremendous value, it also has certain limitations such as the lack of direct association with pathways.\nRESULTS: We demonstrated the use of the KEGG Orthology (KO), part of the KEGG suite of resources, as an alternative controlled vocabulary for automated annotation and pathway identification. We developed a KO-Based Annotation System (KOBAS) that can automatically annotate a set of sequences with KO terms and identify both the most frequent and the statistically significantly enriched pathways. Results from both whole genome and microarray gene cluster annotations with KOBAS are comparable and complementary to known annotations. KOBAS is a freely available stand-alone Python program that can contribute significantly to genome annotation and microarray analysis.","container-title":"Bioinformatics (Oxford, England)","DOI":"10.1093/bioinformatics/bti430","ISSN":"1367-4803","issue":"19","journalAbbreviation":"Bioinformatics","language":"eng","note":"PMID: 15817693","page":"3787-3793","source":"PubMed","title":"Automated genome annotation and pathway identification using the KEGG Orthology (KO) as a controlled vocabulary","volume":"21","author":[{"family":"Mao","given":"Xizeng"},{"family":"Cai","given":"Tao"},{"family":"Olyarchuk","given":"John G."},{"family":"Wei","given":"Liping"}],"issued":{"date-parts":[["2005",10,1]]}}}],"schema":"https://github.com/citation-style-language/schema/raw/master/csl-citation.json"} </w:instrText>
      </w:r>
      <w:r>
        <w:rPr>
          <w:rFonts w:ascii="Times New Roman" w:hAnsi="Times New Roman" w:cs="Times New Roman"/>
          <w:sz w:val="24"/>
          <w:szCs w:val="24"/>
        </w:rPr>
        <w:fldChar w:fldCharType="separate"/>
      </w:r>
      <w:r w:rsidRPr="00D7483B">
        <w:rPr>
          <w:rFonts w:ascii="Times New Roman" w:hAnsi="Times New Roman" w:cs="Times New Roman"/>
          <w:kern w:val="0"/>
          <w:sz w:val="24"/>
          <w:vertAlign w:val="superscript"/>
        </w:rPr>
        <w:t>2</w:t>
      </w:r>
      <w:r>
        <w:rPr>
          <w:rFonts w:ascii="Times New Roman" w:hAnsi="Times New Roman" w:cs="Times New Roman"/>
          <w:sz w:val="24"/>
          <w:szCs w:val="24"/>
        </w:rPr>
        <w:fldChar w:fldCharType="end"/>
      </w:r>
      <w:r w:rsidRPr="001844FB">
        <w:rPr>
          <w:rFonts w:ascii="Times New Roman" w:hAnsi="Times New Roman" w:cs="Times New Roman"/>
          <w:sz w:val="24"/>
          <w:szCs w:val="24"/>
        </w:rPr>
        <w:t>.</w:t>
      </w:r>
    </w:p>
    <w:p w14:paraId="5A268D79" w14:textId="0C8FBD29" w:rsidR="00D7483B" w:rsidRDefault="009F10EE" w:rsidP="00D7483B">
      <w:pPr>
        <w:spacing w:line="480" w:lineRule="auto"/>
        <w:rPr>
          <w:rFonts w:ascii="Times New Roman" w:hAnsi="Times New Roman" w:cs="Times New Roman"/>
          <w:sz w:val="24"/>
          <w:szCs w:val="24"/>
        </w:rPr>
      </w:pPr>
      <w:r>
        <w:rPr>
          <w:rFonts w:ascii="Times New Roman" w:hAnsi="Times New Roman" w:cs="Times New Roman" w:hint="eastAsia"/>
          <w:sz w:val="24"/>
          <w:szCs w:val="24"/>
        </w:rPr>
        <w:t>1.2</w:t>
      </w:r>
      <w:r w:rsidR="00D7483B">
        <w:rPr>
          <w:rFonts w:ascii="Times New Roman" w:hAnsi="Times New Roman" w:cs="Times New Roman"/>
          <w:sz w:val="24"/>
          <w:szCs w:val="24"/>
        </w:rPr>
        <w:t>.</w:t>
      </w:r>
      <w:r w:rsidR="00D7483B" w:rsidRPr="001844FB">
        <w:rPr>
          <w:rFonts w:ascii="Times New Roman" w:hAnsi="Times New Roman" w:cs="Times New Roman"/>
          <w:sz w:val="24"/>
          <w:szCs w:val="24"/>
        </w:rPr>
        <w:t xml:space="preserve"> ATAC-seq</w:t>
      </w:r>
    </w:p>
    <w:p w14:paraId="140E44C2" w14:textId="77777777" w:rsidR="00D7483B" w:rsidRPr="001844FB" w:rsidRDefault="00D7483B" w:rsidP="00D7483B">
      <w:pPr>
        <w:spacing w:line="480" w:lineRule="auto"/>
        <w:rPr>
          <w:rFonts w:ascii="Times New Roman" w:hAnsi="Times New Roman" w:cs="Times New Roman"/>
          <w:sz w:val="24"/>
          <w:szCs w:val="24"/>
        </w:rPr>
      </w:pPr>
      <w:bookmarkStart w:id="1" w:name="OLE_LINK50"/>
      <w:bookmarkStart w:id="2" w:name="OLE_LINK59"/>
      <w:r w:rsidRPr="001844FB">
        <w:rPr>
          <w:rFonts w:ascii="Times New Roman" w:hAnsi="Times New Roman" w:cs="Times New Roman"/>
          <w:sz w:val="24"/>
          <w:szCs w:val="24"/>
        </w:rPr>
        <w:t>The transposing reaction system was configured with the Tn5 Transposase. The cell nucleus was suspended with the transposing reaction system, and the DNA were purified after incubating at 37℃ for 30 minutes. The PCR reaction system was configured with the purified DNA, and then the PCR amplification reaction was performed. The final DNA libraries were runed on Illumina platform after the DNA were purified. Raw Reads were filtered to remove adapters and then high-quality Clean Reads provided in FASTQ format were obtained for subsequent information analysis.</w:t>
      </w:r>
    </w:p>
    <w:p w14:paraId="02708C3D" w14:textId="77777777"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t xml:space="preserve">The Bowtie2 software was used to compare the high-quality Reads obtained from the sequencing of each sample with the reference genome to obtain the alignment efficiency of the sample Reads and the position information of the Reads on the genome. The </w:t>
      </w:r>
      <w:r w:rsidRPr="001844FB">
        <w:rPr>
          <w:rFonts w:ascii="Times New Roman" w:hAnsi="Times New Roman" w:cs="Times New Roman"/>
          <w:sz w:val="24"/>
          <w:szCs w:val="24"/>
        </w:rPr>
        <w:lastRenderedPageBreak/>
        <w:t xml:space="preserve">Reads abundance in the whole genome was statistically analyzed by the sliding window method, taking 10kb as the unit length of interval and dividing chromosomes into multiple small Windows. The Mapped Reads landed in each window were counted as Reads abundance, and the Pearson correlation coefficient of normalized Reads abundance was calculated. Sample correlation clustering heat map was made. MACS2 v2.1.1 software was used to perform peak extraction. The </w:t>
      </w:r>
      <w:proofErr w:type="spellStart"/>
      <w:r w:rsidRPr="001844FB">
        <w:rPr>
          <w:rFonts w:ascii="Times New Roman" w:hAnsi="Times New Roman" w:cs="Times New Roman"/>
          <w:sz w:val="24"/>
          <w:szCs w:val="24"/>
        </w:rPr>
        <w:t>ChIPseeker</w:t>
      </w:r>
      <w:proofErr w:type="spellEnd"/>
      <w:r w:rsidRPr="001844FB">
        <w:rPr>
          <w:rFonts w:ascii="Times New Roman" w:hAnsi="Times New Roman" w:cs="Times New Roman"/>
          <w:sz w:val="24"/>
          <w:szCs w:val="24"/>
        </w:rPr>
        <w:t xml:space="preserve"> package was used for functional annotation of genome-wide Peak. The average Peak number of the TSS region was counted. According to the distance relationship between the Peak region and the functional elements of each gene on the genome, the Peak region was annotated as to whether the Peak region was in the TSS, Exon, 5 'UTR, 3' UTR, Intronic or Intergenic region. The proportion of Reads falling into different gene functional elements was calculated to demonstrate the distribution characteristics and patterns of Reads.</w:t>
      </w:r>
    </w:p>
    <w:p w14:paraId="32C0B7C2" w14:textId="77777777"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t xml:space="preserve">By means of BLAST, the associated genes in the Peak region were compared with the functional databases. The R package </w:t>
      </w:r>
      <w:proofErr w:type="spellStart"/>
      <w:r w:rsidRPr="001844FB">
        <w:rPr>
          <w:rFonts w:ascii="Times New Roman" w:hAnsi="Times New Roman" w:cs="Times New Roman"/>
          <w:sz w:val="24"/>
          <w:szCs w:val="24"/>
        </w:rPr>
        <w:t>clusterProfiler</w:t>
      </w:r>
      <w:proofErr w:type="spellEnd"/>
      <w:r w:rsidRPr="001844FB">
        <w:rPr>
          <w:rFonts w:ascii="Times New Roman" w:hAnsi="Times New Roman" w:cs="Times New Roman"/>
          <w:sz w:val="24"/>
          <w:szCs w:val="24"/>
        </w:rPr>
        <w:t xml:space="preserve"> was used to perform enrichment analysis of </w:t>
      </w:r>
      <w:proofErr w:type="gramStart"/>
      <w:r w:rsidRPr="001844FB">
        <w:rPr>
          <w:rFonts w:ascii="Times New Roman" w:hAnsi="Times New Roman" w:cs="Times New Roman"/>
          <w:sz w:val="24"/>
          <w:szCs w:val="24"/>
        </w:rPr>
        <w:t>Biological</w:t>
      </w:r>
      <w:proofErr w:type="gramEnd"/>
      <w:r w:rsidRPr="001844FB">
        <w:rPr>
          <w:rFonts w:ascii="Times New Roman" w:hAnsi="Times New Roman" w:cs="Times New Roman"/>
          <w:sz w:val="24"/>
          <w:szCs w:val="24"/>
        </w:rPr>
        <w:t xml:space="preserve"> process (BP), Molecular function (MF), and Cellular component (CC) on Peak region-associated genes enriched in the Promoter region. The enrichment analysis used a hypergeometric test to find GO items that were significantly enriched compared to the whole genomic background. The R package </w:t>
      </w:r>
      <w:proofErr w:type="spellStart"/>
      <w:r w:rsidRPr="001844FB">
        <w:rPr>
          <w:rFonts w:ascii="Times New Roman" w:hAnsi="Times New Roman" w:cs="Times New Roman"/>
          <w:sz w:val="24"/>
          <w:szCs w:val="24"/>
        </w:rPr>
        <w:t>clusterProfiler</w:t>
      </w:r>
      <w:proofErr w:type="spellEnd"/>
      <w:r w:rsidRPr="001844FB">
        <w:rPr>
          <w:rFonts w:ascii="Times New Roman" w:hAnsi="Times New Roman" w:cs="Times New Roman"/>
          <w:sz w:val="24"/>
          <w:szCs w:val="24"/>
        </w:rPr>
        <w:t xml:space="preserve"> was performed to analyze KEGG pathway enrichment on Peak region-associated genes enriched in the Promoter region. MEME-</w:t>
      </w:r>
      <w:proofErr w:type="spellStart"/>
      <w:r w:rsidRPr="001844FB">
        <w:rPr>
          <w:rFonts w:ascii="Times New Roman" w:hAnsi="Times New Roman" w:cs="Times New Roman"/>
          <w:sz w:val="24"/>
          <w:szCs w:val="24"/>
        </w:rPr>
        <w:t>ChIP</w:t>
      </w:r>
      <w:proofErr w:type="spellEnd"/>
      <w:r w:rsidRPr="001844FB">
        <w:rPr>
          <w:rFonts w:ascii="Times New Roman" w:hAnsi="Times New Roman" w:cs="Times New Roman"/>
          <w:sz w:val="24"/>
          <w:szCs w:val="24"/>
        </w:rPr>
        <w:t xml:space="preserve"> 4.11.2 was used to identify and annotate Motif. Using </w:t>
      </w:r>
      <w:proofErr w:type="spellStart"/>
      <w:r w:rsidRPr="001844FB">
        <w:rPr>
          <w:rFonts w:ascii="Times New Roman" w:hAnsi="Times New Roman" w:cs="Times New Roman"/>
          <w:sz w:val="24"/>
          <w:szCs w:val="24"/>
        </w:rPr>
        <w:t>Tomtom</w:t>
      </w:r>
      <w:proofErr w:type="spellEnd"/>
      <w:r w:rsidRPr="001844FB">
        <w:rPr>
          <w:rFonts w:ascii="Times New Roman" w:hAnsi="Times New Roman" w:cs="Times New Roman"/>
          <w:sz w:val="24"/>
          <w:szCs w:val="24"/>
        </w:rPr>
        <w:t xml:space="preserve"> to align the detected Motif sequence with a known Motif.</w:t>
      </w:r>
    </w:p>
    <w:p w14:paraId="26565EC7" w14:textId="784BD37A" w:rsidR="00D7483B" w:rsidRPr="001844FB" w:rsidRDefault="00D7483B" w:rsidP="00D7483B">
      <w:pPr>
        <w:spacing w:line="480" w:lineRule="auto"/>
        <w:rPr>
          <w:rFonts w:ascii="Times New Roman" w:hAnsi="Times New Roman" w:cs="Times New Roman"/>
          <w:sz w:val="24"/>
          <w:szCs w:val="24"/>
        </w:rPr>
      </w:pPr>
      <w:bookmarkStart w:id="3" w:name="OLE_LINK6"/>
      <w:r w:rsidRPr="001844FB">
        <w:rPr>
          <w:rFonts w:ascii="Times New Roman" w:hAnsi="Times New Roman" w:cs="Times New Roman"/>
          <w:sz w:val="24"/>
          <w:szCs w:val="24"/>
        </w:rPr>
        <w:t xml:space="preserve">For studies with biological replicates, differential accessible regions analysis of two </w:t>
      </w:r>
      <w:bookmarkEnd w:id="1"/>
      <w:r w:rsidRPr="001844FB">
        <w:rPr>
          <w:rFonts w:ascii="Times New Roman" w:hAnsi="Times New Roman" w:cs="Times New Roman"/>
          <w:sz w:val="24"/>
          <w:szCs w:val="24"/>
        </w:rPr>
        <w:lastRenderedPageBreak/>
        <w:t xml:space="preserve">conditions/groups was performed using </w:t>
      </w:r>
      <w:proofErr w:type="spellStart"/>
      <w:r w:rsidRPr="001844FB">
        <w:rPr>
          <w:rFonts w:ascii="Times New Roman" w:hAnsi="Times New Roman" w:cs="Times New Roman"/>
          <w:sz w:val="24"/>
          <w:szCs w:val="24"/>
        </w:rPr>
        <w:t>DESeq</w:t>
      </w:r>
      <w:proofErr w:type="spellEnd"/>
      <w:r w:rsidRPr="001844FB">
        <w:rPr>
          <w:rFonts w:ascii="Times New Roman" w:hAnsi="Times New Roman" w:cs="Times New Roman"/>
          <w:sz w:val="24"/>
          <w:szCs w:val="24"/>
        </w:rPr>
        <w:t xml:space="preserve"> R package (1.6.3). </w:t>
      </w:r>
      <w:r w:rsidR="00A01679" w:rsidRPr="00A01679">
        <w:rPr>
          <w:rFonts w:ascii="Times New Roman" w:hAnsi="Times New Roman" w:cs="Times New Roman" w:hint="eastAsia"/>
          <w:color w:val="EE0000"/>
          <w:sz w:val="24"/>
          <w:szCs w:val="24"/>
        </w:rPr>
        <w:t xml:space="preserve">Differentially accessible regions (DARs) were identified using a threshold of </w:t>
      </w:r>
      <w:r w:rsidR="00231426" w:rsidRPr="00231426">
        <w:rPr>
          <w:rFonts w:ascii="Times New Roman" w:hAnsi="Times New Roman" w:cs="Times New Roman" w:hint="eastAsia"/>
          <w:color w:val="EE0000"/>
          <w:sz w:val="24"/>
          <w:szCs w:val="24"/>
        </w:rPr>
        <w:t xml:space="preserve">|fold change| </w:t>
      </w:r>
      <w:r w:rsidR="00231426" w:rsidRPr="00231426">
        <w:rPr>
          <w:rFonts w:ascii="Times New Roman" w:hAnsi="Times New Roman" w:cs="Times New Roman" w:hint="eastAsia"/>
          <w:color w:val="EE0000"/>
          <w:sz w:val="24"/>
          <w:szCs w:val="24"/>
        </w:rPr>
        <w:t>≥</w:t>
      </w:r>
      <w:r w:rsidR="00231426" w:rsidRPr="00231426">
        <w:rPr>
          <w:rFonts w:ascii="Times New Roman" w:hAnsi="Times New Roman" w:cs="Times New Roman" w:hint="eastAsia"/>
          <w:color w:val="EE0000"/>
          <w:sz w:val="24"/>
          <w:szCs w:val="24"/>
        </w:rPr>
        <w:t>2, FDR &lt; 0.05</w:t>
      </w:r>
      <w:r w:rsidR="00A01679" w:rsidRPr="00A01679">
        <w:rPr>
          <w:rFonts w:ascii="Times New Roman" w:hAnsi="Times New Roman" w:cs="Times New Roman" w:hint="eastAsia"/>
          <w:color w:val="EE0000"/>
          <w:sz w:val="24"/>
          <w:szCs w:val="24"/>
        </w:rPr>
        <w:t>.</w:t>
      </w:r>
      <w:r w:rsidR="00A01679" w:rsidRPr="00A01679">
        <w:rPr>
          <w:rFonts w:ascii="Times New Roman" w:hAnsi="Times New Roman" w:cs="Times New Roman" w:hint="eastAsia"/>
          <w:sz w:val="24"/>
          <w:szCs w:val="24"/>
        </w:rPr>
        <w:t xml:space="preserve"> </w:t>
      </w:r>
      <w:bookmarkStart w:id="4" w:name="OLE_LINK56"/>
      <w:r w:rsidRPr="001844FB">
        <w:rPr>
          <w:rFonts w:ascii="Times New Roman" w:hAnsi="Times New Roman" w:cs="Times New Roman"/>
          <w:sz w:val="24"/>
          <w:szCs w:val="24"/>
        </w:rPr>
        <w:t xml:space="preserve">For studies without biological replicates, prior to differential accessible region analysis, the read counts in each sequenced library were adjusted by </w:t>
      </w:r>
      <w:proofErr w:type="spellStart"/>
      <w:r w:rsidRPr="001844FB">
        <w:rPr>
          <w:rFonts w:ascii="Times New Roman" w:hAnsi="Times New Roman" w:cs="Times New Roman"/>
          <w:sz w:val="24"/>
          <w:szCs w:val="24"/>
        </w:rPr>
        <w:t>EBSeq</w:t>
      </w:r>
      <w:proofErr w:type="spellEnd"/>
      <w:r w:rsidRPr="001844FB">
        <w:rPr>
          <w:rFonts w:ascii="Times New Roman" w:hAnsi="Times New Roman" w:cs="Times New Roman"/>
          <w:sz w:val="24"/>
          <w:szCs w:val="24"/>
        </w:rPr>
        <w:t xml:space="preserve"> program package through empirical Bayesian approach. </w:t>
      </w:r>
      <w:bookmarkStart w:id="5" w:name="OLE_LINK51"/>
      <w:r w:rsidRPr="001844FB">
        <w:rPr>
          <w:rFonts w:ascii="Times New Roman" w:hAnsi="Times New Roman" w:cs="Times New Roman"/>
          <w:sz w:val="24"/>
          <w:szCs w:val="24"/>
        </w:rPr>
        <w:t>Differential accessible regions of two samples w</w:t>
      </w:r>
      <w:r>
        <w:rPr>
          <w:rFonts w:ascii="Times New Roman" w:hAnsi="Times New Roman" w:cs="Times New Roman" w:hint="eastAsia"/>
          <w:sz w:val="24"/>
          <w:szCs w:val="24"/>
        </w:rPr>
        <w:t>ere</w:t>
      </w:r>
      <w:r w:rsidRPr="001844FB">
        <w:rPr>
          <w:rFonts w:ascii="Times New Roman" w:hAnsi="Times New Roman" w:cs="Times New Roman"/>
          <w:sz w:val="24"/>
          <w:szCs w:val="24"/>
        </w:rPr>
        <w:t xml:space="preserve"> performed using the </w:t>
      </w:r>
      <w:proofErr w:type="spellStart"/>
      <w:r w:rsidRPr="001844FB">
        <w:rPr>
          <w:rFonts w:ascii="Times New Roman" w:hAnsi="Times New Roman" w:cs="Times New Roman"/>
          <w:sz w:val="24"/>
          <w:szCs w:val="24"/>
        </w:rPr>
        <w:t>EBSeq</w:t>
      </w:r>
      <w:proofErr w:type="spellEnd"/>
      <w:r w:rsidRPr="001844FB">
        <w:rPr>
          <w:rFonts w:ascii="Times New Roman" w:hAnsi="Times New Roman" w:cs="Times New Roman"/>
          <w:sz w:val="24"/>
          <w:szCs w:val="24"/>
        </w:rPr>
        <w:t xml:space="preserve"> R package. The R package </w:t>
      </w:r>
      <w:proofErr w:type="spellStart"/>
      <w:r w:rsidRPr="001844FB">
        <w:rPr>
          <w:rFonts w:ascii="Times New Roman" w:hAnsi="Times New Roman" w:cs="Times New Roman"/>
          <w:sz w:val="24"/>
          <w:szCs w:val="24"/>
        </w:rPr>
        <w:t>clusterProfiler</w:t>
      </w:r>
      <w:proofErr w:type="spellEnd"/>
      <w:r w:rsidRPr="001844FB">
        <w:rPr>
          <w:rFonts w:ascii="Times New Roman" w:hAnsi="Times New Roman" w:cs="Times New Roman"/>
          <w:sz w:val="24"/>
          <w:szCs w:val="24"/>
        </w:rPr>
        <w:t xml:space="preserve"> was used to respectively perform enrichment analysis of BP, MF, and</w:t>
      </w:r>
      <w:r w:rsidR="00FE7032">
        <w:rPr>
          <w:rFonts w:ascii="Times New Roman" w:hAnsi="Times New Roman" w:cs="Times New Roman" w:hint="eastAsia"/>
          <w:sz w:val="24"/>
          <w:szCs w:val="24"/>
        </w:rPr>
        <w:t xml:space="preserve"> </w:t>
      </w:r>
      <w:r w:rsidRPr="001844FB">
        <w:rPr>
          <w:rFonts w:ascii="Times New Roman" w:hAnsi="Times New Roman" w:cs="Times New Roman"/>
          <w:sz w:val="24"/>
          <w:szCs w:val="24"/>
        </w:rPr>
        <w:t>CC of genes associated with different Peak regions enriched in the Promoter region. The enrichment analysis used a hypergeometric test to find GO items that were significantly enriched compared to the whole genomic background.</w:t>
      </w:r>
    </w:p>
    <w:bookmarkEnd w:id="2"/>
    <w:bookmarkEnd w:id="3"/>
    <w:p w14:paraId="5A7EC5D8" w14:textId="419A2899" w:rsidR="00D7483B" w:rsidRPr="001844FB" w:rsidRDefault="00D7483B" w:rsidP="00D7483B">
      <w:pPr>
        <w:spacing w:line="480" w:lineRule="auto"/>
        <w:rPr>
          <w:rFonts w:ascii="Times New Roman" w:hAnsi="Times New Roman" w:cs="Times New Roman"/>
          <w:sz w:val="24"/>
          <w:szCs w:val="24"/>
        </w:rPr>
      </w:pPr>
      <w:r w:rsidRPr="001844FB">
        <w:rPr>
          <w:rFonts w:ascii="Times New Roman" w:hAnsi="Times New Roman" w:cs="Times New Roman"/>
          <w:sz w:val="24"/>
          <w:szCs w:val="24"/>
        </w:rPr>
        <w:t xml:space="preserve">The R package </w:t>
      </w:r>
      <w:proofErr w:type="spellStart"/>
      <w:r w:rsidRPr="001844FB">
        <w:rPr>
          <w:rFonts w:ascii="Times New Roman" w:hAnsi="Times New Roman" w:cs="Times New Roman"/>
          <w:sz w:val="24"/>
          <w:szCs w:val="24"/>
        </w:rPr>
        <w:t>clusterProfiler</w:t>
      </w:r>
      <w:proofErr w:type="spellEnd"/>
      <w:r w:rsidRPr="001844FB">
        <w:rPr>
          <w:rFonts w:ascii="Times New Roman" w:hAnsi="Times New Roman" w:cs="Times New Roman"/>
          <w:sz w:val="24"/>
          <w:szCs w:val="24"/>
        </w:rPr>
        <w:t xml:space="preserve"> was performed to respectively analyze KEGG pathway enrichment of genes associated with different Peak regions enriched in the Promoter region. Motif analysis was performed on the difference Peak obtained from the difference Peak analysis result, and the MEME-</w:t>
      </w:r>
      <w:proofErr w:type="spellStart"/>
      <w:r w:rsidRPr="001844FB">
        <w:rPr>
          <w:rFonts w:ascii="Times New Roman" w:hAnsi="Times New Roman" w:cs="Times New Roman"/>
          <w:sz w:val="24"/>
          <w:szCs w:val="24"/>
        </w:rPr>
        <w:t>ChIP</w:t>
      </w:r>
      <w:proofErr w:type="spellEnd"/>
      <w:r w:rsidRPr="001844FB">
        <w:rPr>
          <w:rFonts w:ascii="Times New Roman" w:hAnsi="Times New Roman" w:cs="Times New Roman"/>
          <w:sz w:val="24"/>
          <w:szCs w:val="24"/>
        </w:rPr>
        <w:t xml:space="preserve"> software was also used to identify and annotate the Motif.</w:t>
      </w:r>
      <w:r w:rsidR="005A6289" w:rsidRPr="005A6289">
        <w:rPr>
          <w:rFonts w:ascii="Times New Roman" w:hAnsi="Times New Roman" w:cs="Times New Roman" w:hint="eastAsia"/>
          <w:sz w:val="24"/>
          <w:szCs w:val="24"/>
        </w:rPr>
        <w:t xml:space="preserve"> </w:t>
      </w:r>
      <w:r w:rsidR="005A6289" w:rsidRPr="0015636A">
        <w:rPr>
          <w:rFonts w:ascii="Times New Roman" w:hAnsi="Times New Roman" w:cs="Times New Roman" w:hint="eastAsia"/>
          <w:color w:val="EE0000"/>
          <w:sz w:val="24"/>
          <w:szCs w:val="24"/>
        </w:rPr>
        <w:t>Significantly enriched motifs were identified with a threshold of P &lt; 0.05.</w:t>
      </w:r>
      <w:r w:rsidRPr="001844FB">
        <w:rPr>
          <w:rFonts w:ascii="Times New Roman" w:hAnsi="Times New Roman" w:cs="Times New Roman"/>
          <w:sz w:val="24"/>
          <w:szCs w:val="24"/>
        </w:rPr>
        <w:t xml:space="preserve"> Using </w:t>
      </w:r>
      <w:proofErr w:type="spellStart"/>
      <w:r w:rsidRPr="001844FB">
        <w:rPr>
          <w:rFonts w:ascii="Times New Roman" w:hAnsi="Times New Roman" w:cs="Times New Roman"/>
          <w:sz w:val="24"/>
          <w:szCs w:val="24"/>
        </w:rPr>
        <w:t>Tomtom</w:t>
      </w:r>
      <w:proofErr w:type="spellEnd"/>
      <w:r w:rsidRPr="001844FB">
        <w:rPr>
          <w:rFonts w:ascii="Times New Roman" w:hAnsi="Times New Roman" w:cs="Times New Roman"/>
          <w:sz w:val="24"/>
          <w:szCs w:val="24"/>
        </w:rPr>
        <w:t xml:space="preserve"> to align the detected Motif sequence with a known Motif.</w:t>
      </w:r>
    </w:p>
    <w:bookmarkEnd w:id="0"/>
    <w:bookmarkEnd w:id="5"/>
    <w:bookmarkEnd w:id="4"/>
    <w:p w14:paraId="2E3256A7" w14:textId="77777777" w:rsidR="00D7483B" w:rsidRPr="00D7483B" w:rsidRDefault="00D7483B" w:rsidP="00D7483B">
      <w:pPr>
        <w:pStyle w:val="af2"/>
        <w:rPr>
          <w:rFonts w:ascii="等线" w:eastAsia="等线" w:hAnsi="等线" w:hint="eastAsia"/>
        </w:rPr>
      </w:pPr>
      <w:r>
        <w:rPr>
          <w:rFonts w:hint="eastAsia"/>
        </w:rPr>
        <w:fldChar w:fldCharType="begin"/>
      </w:r>
      <w:r>
        <w:rPr>
          <w:rFonts w:hint="eastAsia"/>
        </w:rPr>
        <w:instrText xml:space="preserve"> ADDIN ZOTERO_BIBL {"uncited":[],"omitted":[],"custom":[]} CSL_BIBLIOGRAPHY </w:instrText>
      </w:r>
      <w:r>
        <w:rPr>
          <w:rFonts w:hint="eastAsia"/>
        </w:rPr>
        <w:fldChar w:fldCharType="separate"/>
      </w:r>
      <w:r w:rsidRPr="00D7483B">
        <w:rPr>
          <w:rFonts w:ascii="等线" w:eastAsia="等线" w:hAnsi="等线"/>
        </w:rPr>
        <w:t>1.</w:t>
      </w:r>
      <w:r w:rsidRPr="00D7483B">
        <w:rPr>
          <w:rFonts w:ascii="等线" w:eastAsia="等线" w:hAnsi="等线"/>
        </w:rPr>
        <w:tab/>
        <w:t xml:space="preserve">Young, M. D., Wakefield, M. J., Smyth, G. K. &amp; Oshlack, A. Gene ontology analysis for RNA-seq: accounting for selection bias. </w:t>
      </w:r>
      <w:r w:rsidRPr="00D7483B">
        <w:rPr>
          <w:rFonts w:ascii="等线" w:eastAsia="等线" w:hAnsi="等线"/>
          <w:i/>
          <w:iCs/>
        </w:rPr>
        <w:t>Genome Biol.</w:t>
      </w:r>
      <w:r w:rsidRPr="00D7483B">
        <w:rPr>
          <w:rFonts w:ascii="等线" w:eastAsia="等线" w:hAnsi="等线"/>
        </w:rPr>
        <w:t xml:space="preserve"> </w:t>
      </w:r>
      <w:r w:rsidRPr="00D7483B">
        <w:rPr>
          <w:rFonts w:ascii="等线" w:eastAsia="等线" w:hAnsi="等线"/>
          <w:b/>
          <w:bCs/>
        </w:rPr>
        <w:t>11</w:t>
      </w:r>
      <w:r w:rsidRPr="00D7483B">
        <w:rPr>
          <w:rFonts w:ascii="等线" w:eastAsia="等线" w:hAnsi="等线"/>
        </w:rPr>
        <w:t>, R14 (2010).</w:t>
      </w:r>
    </w:p>
    <w:p w14:paraId="5C3313DE" w14:textId="77777777" w:rsidR="00D7483B" w:rsidRPr="00D7483B" w:rsidRDefault="00D7483B" w:rsidP="00D7483B">
      <w:pPr>
        <w:pStyle w:val="af2"/>
        <w:rPr>
          <w:rFonts w:ascii="等线" w:eastAsia="等线" w:hAnsi="等线" w:hint="eastAsia"/>
        </w:rPr>
      </w:pPr>
      <w:r w:rsidRPr="00D7483B">
        <w:rPr>
          <w:rFonts w:ascii="等线" w:eastAsia="等线" w:hAnsi="等线"/>
        </w:rPr>
        <w:t>2.</w:t>
      </w:r>
      <w:r w:rsidRPr="00D7483B">
        <w:rPr>
          <w:rFonts w:ascii="等线" w:eastAsia="等线" w:hAnsi="等线"/>
        </w:rPr>
        <w:tab/>
        <w:t xml:space="preserve">Mao, X., Cai, T., Olyarchuk, J. G. &amp; Wei, L. Automated genome annotation and pathway identification using the KEGG Orthology (KO) as a controlled vocabulary. </w:t>
      </w:r>
      <w:r w:rsidRPr="00D7483B">
        <w:rPr>
          <w:rFonts w:ascii="等线" w:eastAsia="等线" w:hAnsi="等线"/>
          <w:i/>
          <w:iCs/>
        </w:rPr>
        <w:t>Bioinforma. Oxf. Engl.</w:t>
      </w:r>
      <w:r w:rsidRPr="00D7483B">
        <w:rPr>
          <w:rFonts w:ascii="等线" w:eastAsia="等线" w:hAnsi="等线"/>
        </w:rPr>
        <w:t xml:space="preserve"> </w:t>
      </w:r>
      <w:r w:rsidRPr="00D7483B">
        <w:rPr>
          <w:rFonts w:ascii="等线" w:eastAsia="等线" w:hAnsi="等线"/>
          <w:b/>
          <w:bCs/>
        </w:rPr>
        <w:t>21</w:t>
      </w:r>
      <w:r w:rsidRPr="00D7483B">
        <w:rPr>
          <w:rFonts w:ascii="等线" w:eastAsia="等线" w:hAnsi="等线"/>
        </w:rPr>
        <w:t>, 3787–3793 (2005).</w:t>
      </w:r>
    </w:p>
    <w:p w14:paraId="1E10A009" w14:textId="7BD3E758" w:rsidR="00FF47F4" w:rsidRPr="00D7483B" w:rsidRDefault="00D7483B">
      <w:pPr>
        <w:rPr>
          <w:rFonts w:hint="eastAsia"/>
        </w:rPr>
      </w:pPr>
      <w:r>
        <w:rPr>
          <w:rFonts w:hint="eastAsia"/>
        </w:rPr>
        <w:fldChar w:fldCharType="end"/>
      </w:r>
    </w:p>
    <w:sectPr w:rsidR="00FF47F4" w:rsidRPr="00D748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3BD1" w14:textId="77777777" w:rsidR="00D7483B" w:rsidRDefault="00D7483B" w:rsidP="00D7483B">
      <w:pPr>
        <w:rPr>
          <w:rFonts w:hint="eastAsia"/>
        </w:rPr>
      </w:pPr>
      <w:r>
        <w:separator/>
      </w:r>
    </w:p>
  </w:endnote>
  <w:endnote w:type="continuationSeparator" w:id="0">
    <w:p w14:paraId="688FF76B" w14:textId="77777777" w:rsidR="00D7483B" w:rsidRDefault="00D7483B" w:rsidP="00D7483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C9EA" w14:textId="77777777" w:rsidR="00D7483B" w:rsidRDefault="00D7483B" w:rsidP="00D7483B">
      <w:pPr>
        <w:rPr>
          <w:rFonts w:hint="eastAsia"/>
        </w:rPr>
      </w:pPr>
      <w:r>
        <w:separator/>
      </w:r>
    </w:p>
  </w:footnote>
  <w:footnote w:type="continuationSeparator" w:id="0">
    <w:p w14:paraId="31731413" w14:textId="77777777" w:rsidR="00D7483B" w:rsidRDefault="00D7483B" w:rsidP="00D7483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7F4"/>
    <w:rsid w:val="0015636A"/>
    <w:rsid w:val="00231426"/>
    <w:rsid w:val="002A569C"/>
    <w:rsid w:val="00422882"/>
    <w:rsid w:val="004C2D3C"/>
    <w:rsid w:val="005A6289"/>
    <w:rsid w:val="009F10EE"/>
    <w:rsid w:val="00A01679"/>
    <w:rsid w:val="00A5053B"/>
    <w:rsid w:val="00D7483B"/>
    <w:rsid w:val="00D837E3"/>
    <w:rsid w:val="00FE7032"/>
    <w:rsid w:val="00FF4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F01D5"/>
  <w15:chartTrackingRefBased/>
  <w15:docId w15:val="{90571955-C334-44EA-954F-0F48844C9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83B"/>
    <w:pPr>
      <w:widowControl w:val="0"/>
      <w:spacing w:after="0" w:line="240" w:lineRule="auto"/>
      <w:jc w:val="both"/>
    </w:pPr>
    <w:rPr>
      <w:sz w:val="21"/>
      <w:szCs w:val="22"/>
    </w:rPr>
  </w:style>
  <w:style w:type="paragraph" w:styleId="1">
    <w:name w:val="heading 1"/>
    <w:basedOn w:val="a"/>
    <w:next w:val="a"/>
    <w:link w:val="10"/>
    <w:uiPriority w:val="9"/>
    <w:qFormat/>
    <w:rsid w:val="00FF47F4"/>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F47F4"/>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F47F4"/>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F47F4"/>
    <w:pPr>
      <w:keepNext/>
      <w:keepLines/>
      <w:spacing w:before="80" w:after="40" w:line="278" w:lineRule="auto"/>
      <w:jc w:val="left"/>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F47F4"/>
    <w:pPr>
      <w:keepNext/>
      <w:keepLines/>
      <w:spacing w:before="80" w:after="40" w:line="278" w:lineRule="auto"/>
      <w:jc w:val="left"/>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F47F4"/>
    <w:pPr>
      <w:keepNext/>
      <w:keepLines/>
      <w:spacing w:before="40" w:line="278" w:lineRule="auto"/>
      <w:jc w:val="left"/>
      <w:outlineLvl w:val="5"/>
    </w:pPr>
    <w:rPr>
      <w:rFonts w:cstheme="majorBidi"/>
      <w:b/>
      <w:bCs/>
      <w:color w:val="2F5496" w:themeColor="accent1" w:themeShade="BF"/>
      <w:sz w:val="22"/>
      <w:szCs w:val="24"/>
    </w:rPr>
  </w:style>
  <w:style w:type="paragraph" w:styleId="7">
    <w:name w:val="heading 7"/>
    <w:basedOn w:val="a"/>
    <w:next w:val="a"/>
    <w:link w:val="70"/>
    <w:uiPriority w:val="9"/>
    <w:semiHidden/>
    <w:unhideWhenUsed/>
    <w:qFormat/>
    <w:rsid w:val="00FF47F4"/>
    <w:pPr>
      <w:keepNext/>
      <w:keepLines/>
      <w:spacing w:before="40" w:line="278" w:lineRule="auto"/>
      <w:jc w:val="left"/>
      <w:outlineLvl w:val="6"/>
    </w:pPr>
    <w:rPr>
      <w:rFonts w:cstheme="majorBidi"/>
      <w:b/>
      <w:bCs/>
      <w:color w:val="595959" w:themeColor="text1" w:themeTint="A6"/>
      <w:sz w:val="22"/>
      <w:szCs w:val="24"/>
    </w:rPr>
  </w:style>
  <w:style w:type="paragraph" w:styleId="8">
    <w:name w:val="heading 8"/>
    <w:basedOn w:val="a"/>
    <w:next w:val="a"/>
    <w:link w:val="80"/>
    <w:uiPriority w:val="9"/>
    <w:semiHidden/>
    <w:unhideWhenUsed/>
    <w:qFormat/>
    <w:rsid w:val="00FF47F4"/>
    <w:pPr>
      <w:keepNext/>
      <w:keepLines/>
      <w:spacing w:line="278" w:lineRule="auto"/>
      <w:jc w:val="left"/>
      <w:outlineLvl w:val="7"/>
    </w:pPr>
    <w:rPr>
      <w:rFonts w:cstheme="majorBidi"/>
      <w:color w:val="595959" w:themeColor="text1" w:themeTint="A6"/>
      <w:sz w:val="22"/>
      <w:szCs w:val="24"/>
    </w:rPr>
  </w:style>
  <w:style w:type="paragraph" w:styleId="9">
    <w:name w:val="heading 9"/>
    <w:basedOn w:val="a"/>
    <w:next w:val="a"/>
    <w:link w:val="90"/>
    <w:uiPriority w:val="9"/>
    <w:semiHidden/>
    <w:unhideWhenUsed/>
    <w:qFormat/>
    <w:rsid w:val="00FF47F4"/>
    <w:pPr>
      <w:keepNext/>
      <w:keepLines/>
      <w:spacing w:line="278" w:lineRule="auto"/>
      <w:jc w:val="left"/>
      <w:outlineLvl w:val="8"/>
    </w:pPr>
    <w:rPr>
      <w:rFonts w:eastAsiaTheme="majorEastAsia" w:cstheme="majorBidi"/>
      <w:color w:val="595959" w:themeColor="text1" w:themeTint="A6"/>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47F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F47F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F47F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F47F4"/>
    <w:rPr>
      <w:rFonts w:cstheme="majorBidi"/>
      <w:color w:val="2F5496" w:themeColor="accent1" w:themeShade="BF"/>
      <w:sz w:val="28"/>
      <w:szCs w:val="28"/>
    </w:rPr>
  </w:style>
  <w:style w:type="character" w:customStyle="1" w:styleId="50">
    <w:name w:val="标题 5 字符"/>
    <w:basedOn w:val="a0"/>
    <w:link w:val="5"/>
    <w:uiPriority w:val="9"/>
    <w:semiHidden/>
    <w:rsid w:val="00FF47F4"/>
    <w:rPr>
      <w:rFonts w:cstheme="majorBidi"/>
      <w:color w:val="2F5496" w:themeColor="accent1" w:themeShade="BF"/>
      <w:sz w:val="24"/>
    </w:rPr>
  </w:style>
  <w:style w:type="character" w:customStyle="1" w:styleId="60">
    <w:name w:val="标题 6 字符"/>
    <w:basedOn w:val="a0"/>
    <w:link w:val="6"/>
    <w:uiPriority w:val="9"/>
    <w:semiHidden/>
    <w:rsid w:val="00FF47F4"/>
    <w:rPr>
      <w:rFonts w:cstheme="majorBidi"/>
      <w:b/>
      <w:bCs/>
      <w:color w:val="2F5496" w:themeColor="accent1" w:themeShade="BF"/>
    </w:rPr>
  </w:style>
  <w:style w:type="character" w:customStyle="1" w:styleId="70">
    <w:name w:val="标题 7 字符"/>
    <w:basedOn w:val="a0"/>
    <w:link w:val="7"/>
    <w:uiPriority w:val="9"/>
    <w:semiHidden/>
    <w:rsid w:val="00FF47F4"/>
    <w:rPr>
      <w:rFonts w:cstheme="majorBidi"/>
      <w:b/>
      <w:bCs/>
      <w:color w:val="595959" w:themeColor="text1" w:themeTint="A6"/>
    </w:rPr>
  </w:style>
  <w:style w:type="character" w:customStyle="1" w:styleId="80">
    <w:name w:val="标题 8 字符"/>
    <w:basedOn w:val="a0"/>
    <w:link w:val="8"/>
    <w:uiPriority w:val="9"/>
    <w:semiHidden/>
    <w:rsid w:val="00FF47F4"/>
    <w:rPr>
      <w:rFonts w:cstheme="majorBidi"/>
      <w:color w:val="595959" w:themeColor="text1" w:themeTint="A6"/>
    </w:rPr>
  </w:style>
  <w:style w:type="character" w:customStyle="1" w:styleId="90">
    <w:name w:val="标题 9 字符"/>
    <w:basedOn w:val="a0"/>
    <w:link w:val="9"/>
    <w:uiPriority w:val="9"/>
    <w:semiHidden/>
    <w:rsid w:val="00FF47F4"/>
    <w:rPr>
      <w:rFonts w:eastAsiaTheme="majorEastAsia" w:cstheme="majorBidi"/>
      <w:color w:val="595959" w:themeColor="text1" w:themeTint="A6"/>
    </w:rPr>
  </w:style>
  <w:style w:type="paragraph" w:styleId="a3">
    <w:name w:val="Title"/>
    <w:basedOn w:val="a"/>
    <w:next w:val="a"/>
    <w:link w:val="a4"/>
    <w:uiPriority w:val="10"/>
    <w:qFormat/>
    <w:rsid w:val="00FF47F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47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47F4"/>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47F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47F4"/>
    <w:pPr>
      <w:spacing w:before="160" w:after="160" w:line="278" w:lineRule="auto"/>
      <w:jc w:val="center"/>
    </w:pPr>
    <w:rPr>
      <w:i/>
      <w:iCs/>
      <w:color w:val="404040" w:themeColor="text1" w:themeTint="BF"/>
      <w:sz w:val="22"/>
      <w:szCs w:val="24"/>
    </w:rPr>
  </w:style>
  <w:style w:type="character" w:customStyle="1" w:styleId="a8">
    <w:name w:val="引用 字符"/>
    <w:basedOn w:val="a0"/>
    <w:link w:val="a7"/>
    <w:uiPriority w:val="29"/>
    <w:rsid w:val="00FF47F4"/>
    <w:rPr>
      <w:i/>
      <w:iCs/>
      <w:color w:val="404040" w:themeColor="text1" w:themeTint="BF"/>
    </w:rPr>
  </w:style>
  <w:style w:type="paragraph" w:styleId="a9">
    <w:name w:val="List Paragraph"/>
    <w:basedOn w:val="a"/>
    <w:uiPriority w:val="34"/>
    <w:qFormat/>
    <w:rsid w:val="00FF47F4"/>
    <w:pPr>
      <w:spacing w:after="160" w:line="278" w:lineRule="auto"/>
      <w:ind w:left="720"/>
      <w:contextualSpacing/>
      <w:jc w:val="left"/>
    </w:pPr>
    <w:rPr>
      <w:sz w:val="22"/>
      <w:szCs w:val="24"/>
    </w:rPr>
  </w:style>
  <w:style w:type="character" w:styleId="aa">
    <w:name w:val="Intense Emphasis"/>
    <w:basedOn w:val="a0"/>
    <w:uiPriority w:val="21"/>
    <w:qFormat/>
    <w:rsid w:val="00FF47F4"/>
    <w:rPr>
      <w:i/>
      <w:iCs/>
      <w:color w:val="2F5496" w:themeColor="accent1" w:themeShade="BF"/>
    </w:rPr>
  </w:style>
  <w:style w:type="paragraph" w:styleId="ab">
    <w:name w:val="Intense Quote"/>
    <w:basedOn w:val="a"/>
    <w:next w:val="a"/>
    <w:link w:val="ac"/>
    <w:uiPriority w:val="30"/>
    <w:qFormat/>
    <w:rsid w:val="00FF47F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szCs w:val="24"/>
    </w:rPr>
  </w:style>
  <w:style w:type="character" w:customStyle="1" w:styleId="ac">
    <w:name w:val="明显引用 字符"/>
    <w:basedOn w:val="a0"/>
    <w:link w:val="ab"/>
    <w:uiPriority w:val="30"/>
    <w:rsid w:val="00FF47F4"/>
    <w:rPr>
      <w:i/>
      <w:iCs/>
      <w:color w:val="2F5496" w:themeColor="accent1" w:themeShade="BF"/>
    </w:rPr>
  </w:style>
  <w:style w:type="character" w:styleId="ad">
    <w:name w:val="Intense Reference"/>
    <w:basedOn w:val="a0"/>
    <w:uiPriority w:val="32"/>
    <w:qFormat/>
    <w:rsid w:val="00FF47F4"/>
    <w:rPr>
      <w:b/>
      <w:bCs/>
      <w:smallCaps/>
      <w:color w:val="2F5496" w:themeColor="accent1" w:themeShade="BF"/>
      <w:spacing w:val="5"/>
    </w:rPr>
  </w:style>
  <w:style w:type="paragraph" w:styleId="ae">
    <w:name w:val="header"/>
    <w:basedOn w:val="a"/>
    <w:link w:val="af"/>
    <w:uiPriority w:val="99"/>
    <w:unhideWhenUsed/>
    <w:rsid w:val="00D7483B"/>
    <w:pPr>
      <w:tabs>
        <w:tab w:val="center" w:pos="4153"/>
        <w:tab w:val="right" w:pos="8306"/>
      </w:tabs>
      <w:snapToGrid w:val="0"/>
      <w:spacing w:after="160"/>
      <w:jc w:val="center"/>
    </w:pPr>
    <w:rPr>
      <w:sz w:val="18"/>
      <w:szCs w:val="18"/>
    </w:rPr>
  </w:style>
  <w:style w:type="character" w:customStyle="1" w:styleId="af">
    <w:name w:val="页眉 字符"/>
    <w:basedOn w:val="a0"/>
    <w:link w:val="ae"/>
    <w:uiPriority w:val="99"/>
    <w:rsid w:val="00D7483B"/>
    <w:rPr>
      <w:sz w:val="18"/>
      <w:szCs w:val="18"/>
    </w:rPr>
  </w:style>
  <w:style w:type="paragraph" w:styleId="af0">
    <w:name w:val="footer"/>
    <w:basedOn w:val="a"/>
    <w:link w:val="af1"/>
    <w:uiPriority w:val="99"/>
    <w:unhideWhenUsed/>
    <w:rsid w:val="00D7483B"/>
    <w:pPr>
      <w:tabs>
        <w:tab w:val="center" w:pos="4153"/>
        <w:tab w:val="right" w:pos="8306"/>
      </w:tabs>
      <w:snapToGrid w:val="0"/>
      <w:spacing w:after="160"/>
      <w:jc w:val="left"/>
    </w:pPr>
    <w:rPr>
      <w:sz w:val="18"/>
      <w:szCs w:val="18"/>
    </w:rPr>
  </w:style>
  <w:style w:type="character" w:customStyle="1" w:styleId="af1">
    <w:name w:val="页脚 字符"/>
    <w:basedOn w:val="a0"/>
    <w:link w:val="af0"/>
    <w:uiPriority w:val="99"/>
    <w:rsid w:val="00D7483B"/>
    <w:rPr>
      <w:sz w:val="18"/>
      <w:szCs w:val="18"/>
    </w:rPr>
  </w:style>
  <w:style w:type="paragraph" w:styleId="af2">
    <w:name w:val="Bibliography"/>
    <w:basedOn w:val="a"/>
    <w:next w:val="a"/>
    <w:uiPriority w:val="37"/>
    <w:unhideWhenUsed/>
    <w:rsid w:val="00D7483B"/>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1575</Words>
  <Characters>8979</Characters>
  <Application>Microsoft Office Word</Application>
  <DocSecurity>0</DocSecurity>
  <Lines>74</Lines>
  <Paragraphs>21</Paragraphs>
  <ScaleCrop>false</ScaleCrop>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Iris</dc:creator>
  <cp:keywords/>
  <dc:description/>
  <cp:lastModifiedBy>Zhu Iris</cp:lastModifiedBy>
  <cp:revision>6</cp:revision>
  <dcterms:created xsi:type="dcterms:W3CDTF">2025-03-10T12:58:00Z</dcterms:created>
  <dcterms:modified xsi:type="dcterms:W3CDTF">2026-04-28T00:59:00Z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id="TVv2XL2x"/&gt;&lt;style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